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9" w:lineRule="exact"/>
        <w:rPr>
          <w:rFonts w:eastAsia="方正小标宋简体"/>
          <w:sz w:val="44"/>
          <w:szCs w:val="44"/>
        </w:rPr>
      </w:pPr>
    </w:p>
    <w:p>
      <w:pPr>
        <w:spacing w:line="579" w:lineRule="exact"/>
        <w:jc w:val="center"/>
        <w:rPr>
          <w:rFonts w:eastAsia="方正小标宋简体"/>
          <w:bCs/>
          <w:sz w:val="44"/>
          <w:szCs w:val="44"/>
        </w:rPr>
      </w:pPr>
      <w:r>
        <w:rPr>
          <w:rFonts w:eastAsia="方正小标宋简体"/>
          <w:bCs/>
          <w:sz w:val="44"/>
          <w:szCs w:val="44"/>
        </w:rPr>
        <w:t>浙江省加氢站发展规划</w:t>
      </w:r>
    </w:p>
    <w:p>
      <w:pPr>
        <w:spacing w:line="579" w:lineRule="exact"/>
        <w:jc w:val="center"/>
        <w:rPr>
          <w:rFonts w:eastAsia="方正小标宋简体"/>
          <w:bCs/>
          <w:sz w:val="44"/>
          <w:szCs w:val="44"/>
        </w:rPr>
      </w:pPr>
    </w:p>
    <w:p>
      <w:pPr>
        <w:spacing w:line="579" w:lineRule="exact"/>
        <w:ind w:firstLine="630" w:firstLineChars="200"/>
        <w:rPr>
          <w:szCs w:val="32"/>
        </w:rPr>
      </w:pPr>
      <w:r>
        <w:rPr>
          <w:szCs w:val="32"/>
        </w:rPr>
        <w:t>加氢站是为氢燃料电池汽车提供氢气的基础设施</w:t>
      </w:r>
      <w:bookmarkStart w:id="0" w:name="_Hlk513473994"/>
      <w:r>
        <w:rPr>
          <w:szCs w:val="32"/>
        </w:rPr>
        <w:t>。</w:t>
      </w:r>
      <w:bookmarkEnd w:id="0"/>
      <w:r>
        <w:rPr>
          <w:szCs w:val="32"/>
        </w:rPr>
        <w:t>统筹布局加氢站是</w:t>
      </w:r>
      <w:r>
        <w:rPr>
          <w:rFonts w:hint="eastAsia"/>
          <w:szCs w:val="32"/>
        </w:rPr>
        <w:t>推动</w:t>
      </w:r>
      <w:r>
        <w:rPr>
          <w:szCs w:val="32"/>
        </w:rPr>
        <w:t>氢燃料电池汽车发展、培育完善氢能产业的</w:t>
      </w:r>
      <w:r>
        <w:rPr>
          <w:rFonts w:hint="eastAsia"/>
          <w:szCs w:val="32"/>
        </w:rPr>
        <w:t>基础</w:t>
      </w:r>
      <w:r>
        <w:rPr>
          <w:szCs w:val="32"/>
        </w:rPr>
        <w:t>保障，是加快能源绿色低碳转型的重要抓手。根据省委</w:t>
      </w:r>
      <w:r>
        <w:rPr>
          <w:rFonts w:hint="eastAsia"/>
          <w:szCs w:val="32"/>
        </w:rPr>
        <w:t>、</w:t>
      </w:r>
      <w:r>
        <w:rPr>
          <w:szCs w:val="32"/>
        </w:rPr>
        <w:t>省政府的战略部署，依据《氢能产业发展中长期规划（2021-2035年）》《浙江省加快培育氢能产业发展的指导意见》《浙江省加快培育氢燃料电池汽车产业发展实施方案的通知》</w:t>
      </w:r>
      <w:r>
        <w:rPr>
          <w:rFonts w:hint="eastAsia"/>
          <w:szCs w:val="32"/>
          <w:lang w:val="en-US" w:eastAsia="zh-CN"/>
        </w:rPr>
        <w:t>和《关于加强汽车加氢站建设运营的实施意见》</w:t>
      </w:r>
      <w:r>
        <w:rPr>
          <w:szCs w:val="32"/>
        </w:rPr>
        <w:t>，</w:t>
      </w:r>
      <w:r>
        <w:rPr>
          <w:rFonts w:hint="eastAsia"/>
          <w:szCs w:val="32"/>
        </w:rPr>
        <w:t>编制本规划</w:t>
      </w:r>
      <w:r>
        <w:rPr>
          <w:szCs w:val="32"/>
        </w:rPr>
        <w:t>。规划期限</w:t>
      </w:r>
      <w:r>
        <w:rPr>
          <w:rFonts w:hint="eastAsia"/>
          <w:szCs w:val="32"/>
        </w:rPr>
        <w:t>为</w:t>
      </w:r>
      <w:r>
        <w:rPr>
          <w:szCs w:val="32"/>
        </w:rPr>
        <w:t>202</w:t>
      </w:r>
      <w:r>
        <w:rPr>
          <w:rFonts w:hint="eastAsia"/>
          <w:szCs w:val="32"/>
        </w:rPr>
        <w:t>3</w:t>
      </w:r>
      <w:r>
        <w:rPr>
          <w:szCs w:val="32"/>
        </w:rPr>
        <w:t>-2025年</w:t>
      </w:r>
      <w:r>
        <w:rPr>
          <w:rFonts w:hint="eastAsia"/>
          <w:szCs w:val="32"/>
        </w:rPr>
        <w:t>，展望至2030年</w:t>
      </w:r>
      <w:r>
        <w:rPr>
          <w:szCs w:val="32"/>
        </w:rPr>
        <w:t>。</w:t>
      </w:r>
    </w:p>
    <w:p>
      <w:pPr>
        <w:spacing w:line="579" w:lineRule="exact"/>
        <w:ind w:firstLine="630" w:firstLineChars="200"/>
        <w:outlineLvl w:val="0"/>
        <w:rPr>
          <w:rFonts w:eastAsia="黑体"/>
          <w:bCs/>
          <w:szCs w:val="32"/>
        </w:rPr>
      </w:pPr>
      <w:bookmarkStart w:id="1" w:name="_Toc26318"/>
      <w:bookmarkStart w:id="2" w:name="_Toc31794"/>
      <w:bookmarkStart w:id="3" w:name="_Toc30344"/>
      <w:bookmarkStart w:id="4" w:name="_Toc5699"/>
      <w:bookmarkStart w:id="5" w:name="_Toc5981"/>
      <w:bookmarkStart w:id="6" w:name="_Toc25457"/>
      <w:r>
        <w:rPr>
          <w:rFonts w:hint="eastAsia" w:eastAsia="黑体"/>
          <w:bCs/>
          <w:szCs w:val="32"/>
        </w:rPr>
        <w:t>一、</w:t>
      </w:r>
      <w:r>
        <w:rPr>
          <w:rFonts w:eastAsia="黑体"/>
          <w:bCs/>
          <w:szCs w:val="32"/>
        </w:rPr>
        <w:t>现实基础与面临形势</w:t>
      </w:r>
      <w:bookmarkEnd w:id="1"/>
      <w:bookmarkEnd w:id="2"/>
      <w:bookmarkEnd w:id="3"/>
      <w:bookmarkEnd w:id="4"/>
      <w:bookmarkEnd w:id="5"/>
      <w:bookmarkEnd w:id="6"/>
    </w:p>
    <w:p>
      <w:pPr>
        <w:spacing w:line="579" w:lineRule="exact"/>
        <w:ind w:firstLine="630" w:firstLineChars="200"/>
        <w:outlineLvl w:val="1"/>
        <w:rPr>
          <w:rFonts w:eastAsia="楷体_GB2312"/>
          <w:b/>
          <w:bCs/>
          <w:szCs w:val="32"/>
        </w:rPr>
      </w:pPr>
      <w:bookmarkStart w:id="7" w:name="_Toc3651"/>
      <w:bookmarkStart w:id="8" w:name="_Toc19512"/>
      <w:bookmarkStart w:id="9" w:name="_Toc7345"/>
      <w:bookmarkStart w:id="10" w:name="_Toc5221"/>
      <w:bookmarkStart w:id="11" w:name="_Toc30419"/>
      <w:bookmarkStart w:id="12" w:name="_Toc18371"/>
      <w:r>
        <w:rPr>
          <w:rFonts w:eastAsia="楷体_GB2312"/>
          <w:b/>
          <w:bCs/>
          <w:szCs w:val="32"/>
        </w:rPr>
        <w:t>（一）发展现状</w:t>
      </w:r>
      <w:bookmarkEnd w:id="7"/>
      <w:bookmarkEnd w:id="8"/>
      <w:bookmarkEnd w:id="9"/>
      <w:bookmarkEnd w:id="10"/>
      <w:bookmarkEnd w:id="11"/>
      <w:bookmarkEnd w:id="12"/>
    </w:p>
    <w:p>
      <w:pPr>
        <w:spacing w:line="579" w:lineRule="exact"/>
        <w:ind w:firstLine="630" w:firstLineChars="200"/>
        <w:rPr>
          <w:szCs w:val="32"/>
        </w:rPr>
      </w:pPr>
      <w:r>
        <w:rPr>
          <w:szCs w:val="32"/>
        </w:rPr>
        <w:t>近年来，我省</w:t>
      </w:r>
      <w:r>
        <w:rPr>
          <w:rFonts w:hint="eastAsia"/>
          <w:szCs w:val="32"/>
        </w:rPr>
        <w:t>不断</w:t>
      </w:r>
      <w:r>
        <w:rPr>
          <w:szCs w:val="32"/>
        </w:rPr>
        <w:t>加强氢气生产和提纯、储运装备等关键环节的培育，为加氢站布局建设和氢</w:t>
      </w:r>
      <w:r>
        <w:rPr>
          <w:rFonts w:hint="eastAsia"/>
          <w:szCs w:val="32"/>
        </w:rPr>
        <w:t>燃料电池汽车</w:t>
      </w:r>
      <w:r>
        <w:rPr>
          <w:szCs w:val="32"/>
        </w:rPr>
        <w:t>推广</w:t>
      </w:r>
      <w:r>
        <w:rPr>
          <w:rFonts w:hint="eastAsia"/>
          <w:szCs w:val="32"/>
        </w:rPr>
        <w:t>应用</w:t>
      </w:r>
      <w:r>
        <w:rPr>
          <w:szCs w:val="32"/>
        </w:rPr>
        <w:t>提供了支撑，省内</w:t>
      </w:r>
      <w:r>
        <w:rPr>
          <w:rFonts w:hint="eastAsia" w:ascii="仿宋_GB2312" w:hAnsi="仿宋_GB2312" w:cs="仿宋_GB2312"/>
          <w:szCs w:val="32"/>
        </w:rPr>
        <w:t>“制-储-运-加”网</w:t>
      </w:r>
      <w:r>
        <w:rPr>
          <w:szCs w:val="32"/>
        </w:rPr>
        <w:t>络有序推进。</w:t>
      </w:r>
    </w:p>
    <w:p>
      <w:pPr>
        <w:numPr>
          <w:ilvl w:val="0"/>
          <w:numId w:val="2"/>
        </w:numPr>
        <w:spacing w:line="579" w:lineRule="exact"/>
        <w:ind w:firstLine="630" w:firstLineChars="200"/>
        <w:rPr>
          <w:szCs w:val="32"/>
        </w:rPr>
      </w:pPr>
      <w:r>
        <w:rPr>
          <w:bCs/>
          <w:szCs w:val="32"/>
        </w:rPr>
        <w:t>氢源供应能力持续增强。</w:t>
      </w:r>
      <w:r>
        <w:rPr>
          <w:szCs w:val="32"/>
        </w:rPr>
        <w:t>我省氢源主要以工业副产氢为主，制氢、提纯能力进一步增强，年可外供氢气达10万吨以上</w:t>
      </w:r>
      <w:r>
        <w:rPr>
          <w:rFonts w:hint="eastAsia"/>
          <w:szCs w:val="32"/>
        </w:rPr>
        <w:t>；</w:t>
      </w:r>
      <w:r>
        <w:rPr>
          <w:szCs w:val="32"/>
        </w:rPr>
        <w:t>正积极探索利用海上风电、光伏发电等可再生能源制氢，推动沿海地区开展相关试点工作。</w:t>
      </w:r>
    </w:p>
    <w:p>
      <w:pPr>
        <w:numPr>
          <w:ilvl w:val="0"/>
          <w:numId w:val="2"/>
        </w:numPr>
        <w:spacing w:line="579" w:lineRule="exact"/>
        <w:ind w:firstLine="630" w:firstLineChars="200"/>
        <w:rPr>
          <w:szCs w:val="32"/>
        </w:rPr>
      </w:pPr>
      <w:r>
        <w:rPr>
          <w:bCs/>
          <w:szCs w:val="32"/>
        </w:rPr>
        <w:t>氢能储运设施日益完善。</w:t>
      </w:r>
      <w:r>
        <w:rPr>
          <w:szCs w:val="32"/>
        </w:rPr>
        <w:t>20MPa高压气态氢气长管气瓶组及长管拖车是目前最普遍的氢气运输方式，单车运量300千克左右，经济运输</w:t>
      </w:r>
      <w:r>
        <w:rPr>
          <w:rFonts w:hint="eastAsia"/>
          <w:szCs w:val="32"/>
        </w:rPr>
        <w:t>距离</w:t>
      </w:r>
      <w:r>
        <w:rPr>
          <w:szCs w:val="32"/>
        </w:rPr>
        <w:t>150-200公里。相关企业正积极发展更高压力运氢技术</w:t>
      </w:r>
      <w:r>
        <w:rPr>
          <w:rFonts w:hint="eastAsia"/>
          <w:szCs w:val="32"/>
        </w:rPr>
        <w:t>，</w:t>
      </w:r>
      <w:r>
        <w:rPr>
          <w:szCs w:val="32"/>
        </w:rPr>
        <w:t>在高压液态储氢装备研发生产上</w:t>
      </w:r>
      <w:r>
        <w:rPr>
          <w:rFonts w:hint="eastAsia"/>
          <w:szCs w:val="32"/>
        </w:rPr>
        <w:t>也具</w:t>
      </w:r>
      <w:r>
        <w:rPr>
          <w:szCs w:val="32"/>
        </w:rPr>
        <w:t>有良好基础。</w:t>
      </w:r>
    </w:p>
    <w:p>
      <w:pPr>
        <w:numPr>
          <w:ilvl w:val="0"/>
          <w:numId w:val="2"/>
        </w:numPr>
        <w:spacing w:line="579" w:lineRule="exact"/>
        <w:ind w:firstLine="630" w:firstLineChars="200"/>
        <w:rPr>
          <w:szCs w:val="32"/>
        </w:rPr>
      </w:pPr>
      <w:r>
        <w:rPr>
          <w:szCs w:val="32"/>
        </w:rPr>
        <w:t>加氢站建设有序推进。截至202</w:t>
      </w:r>
      <w:r>
        <w:rPr>
          <w:rFonts w:hint="eastAsia"/>
          <w:szCs w:val="32"/>
        </w:rPr>
        <w:t>2</w:t>
      </w:r>
      <w:r>
        <w:rPr>
          <w:szCs w:val="32"/>
        </w:rPr>
        <w:t>年底，全省共计建成加氢站</w:t>
      </w:r>
      <w:r>
        <w:rPr>
          <w:rFonts w:hint="eastAsia"/>
          <w:szCs w:val="32"/>
        </w:rPr>
        <w:t>22</w:t>
      </w:r>
      <w:r>
        <w:rPr>
          <w:szCs w:val="32"/>
        </w:rPr>
        <w:t>座，嘉兴</w:t>
      </w:r>
      <w:r>
        <w:rPr>
          <w:rFonts w:hint="eastAsia"/>
          <w:szCs w:val="32"/>
        </w:rPr>
        <w:t>8</w:t>
      </w:r>
      <w:r>
        <w:rPr>
          <w:szCs w:val="32"/>
        </w:rPr>
        <w:t>座、宁波4座、杭州3座，金华、台州</w:t>
      </w:r>
      <w:r>
        <w:rPr>
          <w:rFonts w:hint="eastAsia"/>
          <w:szCs w:val="32"/>
        </w:rPr>
        <w:t>各</w:t>
      </w:r>
      <w:r>
        <w:rPr>
          <w:szCs w:val="32"/>
        </w:rPr>
        <w:t>2座，绍兴、湖州</w:t>
      </w:r>
      <w:r>
        <w:rPr>
          <w:rFonts w:hint="eastAsia"/>
          <w:szCs w:val="32"/>
        </w:rPr>
        <w:t>、舟山</w:t>
      </w:r>
      <w:r>
        <w:rPr>
          <w:szCs w:val="32"/>
        </w:rPr>
        <w:t>各1座，其中纯氢站</w:t>
      </w:r>
      <w:r>
        <w:rPr>
          <w:rFonts w:hint="eastAsia"/>
          <w:szCs w:val="32"/>
        </w:rPr>
        <w:t>5</w:t>
      </w:r>
      <w:r>
        <w:rPr>
          <w:szCs w:val="32"/>
        </w:rPr>
        <w:t>座</w:t>
      </w:r>
      <w:r>
        <w:rPr>
          <w:rStyle w:val="12"/>
          <w:szCs w:val="32"/>
        </w:rPr>
        <w:footnoteReference w:id="0"/>
      </w:r>
      <w:r>
        <w:rPr>
          <w:szCs w:val="32"/>
        </w:rPr>
        <w:t>，合建站1</w:t>
      </w:r>
      <w:r>
        <w:rPr>
          <w:rFonts w:hint="eastAsia"/>
          <w:szCs w:val="32"/>
        </w:rPr>
        <w:t>7</w:t>
      </w:r>
      <w:r>
        <w:rPr>
          <w:szCs w:val="32"/>
        </w:rPr>
        <w:t>座</w:t>
      </w:r>
      <w:r>
        <w:rPr>
          <w:rStyle w:val="12"/>
          <w:szCs w:val="32"/>
        </w:rPr>
        <w:footnoteReference w:id="1"/>
      </w:r>
      <w:r>
        <w:rPr>
          <w:szCs w:val="32"/>
        </w:rPr>
        <w:t>，另有在建加氢站</w:t>
      </w:r>
      <w:r>
        <w:rPr>
          <w:rFonts w:hint="eastAsia"/>
          <w:szCs w:val="32"/>
        </w:rPr>
        <w:t>4</w:t>
      </w:r>
      <w:r>
        <w:rPr>
          <w:szCs w:val="32"/>
        </w:rPr>
        <w:t>座</w:t>
      </w:r>
      <w:r>
        <w:rPr>
          <w:rFonts w:hint="eastAsia"/>
          <w:szCs w:val="32"/>
        </w:rPr>
        <w:t>。</w:t>
      </w:r>
      <w:r>
        <w:rPr>
          <w:szCs w:val="32"/>
        </w:rPr>
        <w:t>单座加氢站加氢压力35MPa，日加氢能力以500千克为主。</w:t>
      </w:r>
    </w:p>
    <w:p>
      <w:pPr>
        <w:numPr>
          <w:ilvl w:val="0"/>
          <w:numId w:val="2"/>
        </w:numPr>
        <w:spacing w:line="579" w:lineRule="exact"/>
        <w:ind w:firstLine="630" w:firstLineChars="200"/>
        <w:rPr>
          <w:szCs w:val="32"/>
        </w:rPr>
      </w:pPr>
      <w:r>
        <w:rPr>
          <w:szCs w:val="32"/>
        </w:rPr>
        <w:t>氢燃料电池汽车示范稳步开展。嘉兴、宁波、绍兴、金华、衢州等地已</w:t>
      </w:r>
      <w:r>
        <w:rPr>
          <w:rFonts w:hint="eastAsia"/>
          <w:szCs w:val="32"/>
        </w:rPr>
        <w:t>在</w:t>
      </w:r>
      <w:r>
        <w:rPr>
          <w:szCs w:val="32"/>
        </w:rPr>
        <w:t>公交</w:t>
      </w:r>
      <w:r>
        <w:rPr>
          <w:rFonts w:hint="eastAsia"/>
          <w:szCs w:val="32"/>
        </w:rPr>
        <w:t>、</w:t>
      </w:r>
      <w:r>
        <w:rPr>
          <w:szCs w:val="32"/>
        </w:rPr>
        <w:t>物流、重型卡车、环卫等领域开展氢燃料电池汽车示范应用，截至202</w:t>
      </w:r>
      <w:r>
        <w:rPr>
          <w:rFonts w:hint="eastAsia"/>
          <w:szCs w:val="32"/>
        </w:rPr>
        <w:t>2</w:t>
      </w:r>
      <w:r>
        <w:rPr>
          <w:szCs w:val="32"/>
        </w:rPr>
        <w:t>年底，推广氢燃料电池汽车</w:t>
      </w:r>
      <w:r>
        <w:rPr>
          <w:rFonts w:hint="eastAsia"/>
          <w:szCs w:val="32"/>
        </w:rPr>
        <w:t>200</w:t>
      </w:r>
      <w:r>
        <w:rPr>
          <w:szCs w:val="32"/>
        </w:rPr>
        <w:t>辆以上</w:t>
      </w:r>
      <w:r>
        <w:rPr>
          <w:rFonts w:hint="eastAsia"/>
          <w:szCs w:val="32"/>
        </w:rPr>
        <w:t>。相关企业正加快</w:t>
      </w:r>
      <w:r>
        <w:rPr>
          <w:szCs w:val="32"/>
        </w:rPr>
        <w:t>推进</w:t>
      </w:r>
      <w:r>
        <w:rPr>
          <w:color w:val="222222"/>
          <w:szCs w:val="32"/>
        </w:rPr>
        <w:t>氢</w:t>
      </w:r>
      <w:r>
        <w:rPr>
          <w:rFonts w:hint="eastAsia"/>
          <w:szCs w:val="32"/>
        </w:rPr>
        <w:t>燃料电池</w:t>
      </w:r>
      <w:r>
        <w:rPr>
          <w:color w:val="222222"/>
          <w:szCs w:val="32"/>
        </w:rPr>
        <w:t>汽车产品研发和</w:t>
      </w:r>
      <w:r>
        <w:rPr>
          <w:szCs w:val="32"/>
        </w:rPr>
        <w:t>整车</w:t>
      </w:r>
      <w:r>
        <w:rPr>
          <w:rFonts w:hint="eastAsia"/>
          <w:szCs w:val="32"/>
        </w:rPr>
        <w:t>制造</w:t>
      </w:r>
      <w:r>
        <w:rPr>
          <w:color w:val="222222"/>
          <w:szCs w:val="32"/>
        </w:rPr>
        <w:t>。</w:t>
      </w:r>
      <w:r>
        <w:rPr>
          <w:szCs w:val="32"/>
        </w:rPr>
        <w:t xml:space="preserve"> </w:t>
      </w:r>
    </w:p>
    <w:p>
      <w:pPr>
        <w:numPr>
          <w:ilvl w:val="0"/>
          <w:numId w:val="2"/>
        </w:numPr>
        <w:spacing w:line="579" w:lineRule="exact"/>
        <w:ind w:firstLine="630" w:firstLineChars="200"/>
        <w:rPr>
          <w:szCs w:val="32"/>
        </w:rPr>
      </w:pPr>
      <w:r>
        <w:rPr>
          <w:szCs w:val="32"/>
        </w:rPr>
        <w:t>氢能配套政策和规划陆续出台。我省</w:t>
      </w:r>
      <w:r>
        <w:rPr>
          <w:rFonts w:hint="eastAsia"/>
          <w:szCs w:val="32"/>
        </w:rPr>
        <w:t>已</w:t>
      </w:r>
      <w:r>
        <w:rPr>
          <w:szCs w:val="32"/>
        </w:rPr>
        <w:t>出台《浙江省新能源汽车产业发展</w:t>
      </w:r>
      <w:r>
        <w:rPr>
          <w:rFonts w:hint="eastAsia" w:ascii="仿宋_GB2312" w:hAnsi="仿宋_GB2312" w:cs="仿宋_GB2312"/>
          <w:szCs w:val="32"/>
        </w:rPr>
        <w:t>“十四五”</w:t>
      </w:r>
      <w:r>
        <w:rPr>
          <w:szCs w:val="32"/>
        </w:rPr>
        <w:t>规划》</w:t>
      </w:r>
      <w:r>
        <w:rPr>
          <w:rFonts w:hint="eastAsia"/>
          <w:szCs w:val="32"/>
        </w:rPr>
        <w:t>《浙江省加快新能源汽车产业发展行动方案》</w:t>
      </w:r>
      <w:r>
        <w:rPr>
          <w:szCs w:val="32"/>
        </w:rPr>
        <w:t>《浙江省加快培育氢能产业发展的指导意见》《浙江省加快培育氢燃料电池汽车产业发展实施方案》</w:t>
      </w:r>
      <w:r>
        <w:rPr>
          <w:rFonts w:hint="default"/>
          <w:szCs w:val="32"/>
        </w:rPr>
        <w:t>《关于明确燃料电池汽车加氢站管理部门职责分工的通知》</w:t>
      </w:r>
      <w:r>
        <w:rPr>
          <w:rFonts w:hint="eastAsia"/>
          <w:szCs w:val="32"/>
          <w:lang w:eastAsia="zh-CN"/>
        </w:rPr>
        <w:t>等</w:t>
      </w:r>
      <w:r>
        <w:rPr>
          <w:szCs w:val="32"/>
        </w:rPr>
        <w:t>，</w:t>
      </w:r>
      <w:r>
        <w:rPr>
          <w:rFonts w:hint="eastAsia"/>
          <w:szCs w:val="32"/>
        </w:rPr>
        <w:t>促进加氢站</w:t>
      </w:r>
      <w:r>
        <w:rPr>
          <w:szCs w:val="32"/>
        </w:rPr>
        <w:t>发展</w:t>
      </w:r>
      <w:r>
        <w:rPr>
          <w:rFonts w:hint="eastAsia"/>
          <w:szCs w:val="32"/>
          <w:lang w:eastAsia="zh-CN"/>
        </w:rPr>
        <w:t>，</w:t>
      </w:r>
      <w:r>
        <w:rPr>
          <w:rFonts w:hint="default"/>
          <w:szCs w:val="32"/>
        </w:rPr>
        <w:t>加氢站行业管理日益加强</w:t>
      </w:r>
      <w:r>
        <w:rPr>
          <w:szCs w:val="32"/>
        </w:rPr>
        <w:t>。</w:t>
      </w:r>
    </w:p>
    <w:p>
      <w:pPr>
        <w:numPr>
          <w:ilvl w:val="0"/>
          <w:numId w:val="0"/>
        </w:numPr>
        <w:spacing w:line="579" w:lineRule="exact"/>
        <w:ind w:firstLine="630" w:firstLineChars="200"/>
        <w:outlineLvl w:val="1"/>
        <w:rPr>
          <w:rFonts w:eastAsia="楷体_GB2312"/>
          <w:szCs w:val="32"/>
        </w:rPr>
      </w:pPr>
      <w:bookmarkStart w:id="13" w:name="_Toc3974"/>
      <w:bookmarkStart w:id="14" w:name="_Toc12790"/>
      <w:bookmarkStart w:id="15" w:name="_Toc26768"/>
      <w:bookmarkStart w:id="16" w:name="_Toc19527"/>
      <w:bookmarkStart w:id="17" w:name="_Toc947"/>
      <w:bookmarkStart w:id="18" w:name="_Toc23823"/>
      <w:r>
        <w:rPr>
          <w:rFonts w:hint="default" w:ascii="Times New Roman" w:hAnsi="Times New Roman" w:eastAsia="楷体_GB2312" w:cs="Times New Roman"/>
          <w:b/>
          <w:bCs/>
          <w:szCs w:val="32"/>
        </w:rPr>
        <w:t>（二）</w:t>
      </w:r>
      <w:r>
        <w:rPr>
          <w:rFonts w:ascii="Times New Roman" w:hAnsi="Times New Roman" w:eastAsia="楷体_GB2312" w:cs="Times New Roman"/>
          <w:b/>
          <w:bCs/>
          <w:szCs w:val="32"/>
        </w:rPr>
        <w:t>存在问题</w:t>
      </w:r>
      <w:bookmarkEnd w:id="13"/>
      <w:bookmarkEnd w:id="14"/>
      <w:bookmarkEnd w:id="15"/>
      <w:bookmarkEnd w:id="16"/>
      <w:bookmarkEnd w:id="17"/>
      <w:bookmarkEnd w:id="18"/>
    </w:p>
    <w:p>
      <w:pPr>
        <w:spacing w:line="579" w:lineRule="exact"/>
        <w:ind w:firstLine="630" w:firstLineChars="200"/>
        <w:rPr>
          <w:szCs w:val="32"/>
        </w:rPr>
      </w:pPr>
      <w:r>
        <w:rPr>
          <w:szCs w:val="32"/>
        </w:rPr>
        <w:t>我省</w:t>
      </w:r>
      <w:r>
        <w:rPr>
          <w:rFonts w:hint="eastAsia"/>
          <w:szCs w:val="32"/>
        </w:rPr>
        <w:t>加氢站</w:t>
      </w:r>
      <w:r>
        <w:rPr>
          <w:szCs w:val="32"/>
        </w:rPr>
        <w:t>总体处于试点推广阶段，</w:t>
      </w:r>
      <w:r>
        <w:rPr>
          <w:rFonts w:hint="eastAsia"/>
          <w:szCs w:val="32"/>
        </w:rPr>
        <w:t>基础制度体系和管理体系有待建立完善，</w:t>
      </w:r>
      <w:r>
        <w:rPr>
          <w:szCs w:val="32"/>
        </w:rPr>
        <w:t>面临着</w:t>
      </w:r>
      <w:r>
        <w:rPr>
          <w:rFonts w:hint="eastAsia"/>
          <w:szCs w:val="32"/>
        </w:rPr>
        <w:t>选址难、投运难、风险高、盈利难的发展困局</w:t>
      </w:r>
      <w:r>
        <w:rPr>
          <w:szCs w:val="32"/>
        </w:rPr>
        <w:t>。</w:t>
      </w:r>
    </w:p>
    <w:p>
      <w:pPr>
        <w:numPr>
          <w:ilvl w:val="0"/>
          <w:numId w:val="3"/>
        </w:numPr>
        <w:spacing w:line="579" w:lineRule="exact"/>
        <w:ind w:firstLine="630" w:firstLineChars="200"/>
        <w:rPr>
          <w:rFonts w:hint="eastAsia"/>
          <w:szCs w:val="32"/>
        </w:rPr>
      </w:pPr>
      <w:r>
        <w:rPr>
          <w:rFonts w:hint="eastAsia"/>
          <w:szCs w:val="32"/>
        </w:rPr>
        <w:t>建设运营成本高。加氢站选址难度较大，建设成本较高，且受加氢价格高、应用数量少等因素影响，已投运加氢站普遍处于亏损状态，陷入“成本高-应用少-运营难”困境，加氢网络推进缓慢。</w:t>
      </w:r>
    </w:p>
    <w:p>
      <w:pPr>
        <w:numPr>
          <w:ilvl w:val="0"/>
          <w:numId w:val="3"/>
        </w:numPr>
        <w:spacing w:line="579" w:lineRule="exact"/>
        <w:ind w:firstLine="630" w:firstLineChars="200"/>
        <w:rPr>
          <w:szCs w:val="32"/>
        </w:rPr>
      </w:pPr>
      <w:r>
        <w:rPr>
          <w:szCs w:val="32"/>
        </w:rPr>
        <w:t>管理制度不完善。加氢站建设的准入要求、行政审批程序和管理细则尚待进一步明确和完善</w:t>
      </w:r>
      <w:r>
        <w:rPr>
          <w:szCs w:val="32"/>
          <w:highlight w:val="none"/>
        </w:rPr>
        <w:t>，</w:t>
      </w:r>
      <w:r>
        <w:rPr>
          <w:rFonts w:hint="eastAsia"/>
          <w:szCs w:val="32"/>
          <w:highlight w:val="none"/>
        </w:rPr>
        <w:t>目前省内已建成或在建加氢站点</w:t>
      </w:r>
      <w:r>
        <w:rPr>
          <w:szCs w:val="32"/>
          <w:highlight w:val="none"/>
        </w:rPr>
        <w:t>存在验收、取证无标准条例可循等困难。</w:t>
      </w:r>
    </w:p>
    <w:p>
      <w:pPr>
        <w:spacing w:line="579" w:lineRule="exact"/>
        <w:ind w:firstLine="630" w:firstLineChars="200"/>
        <w:rPr>
          <w:rFonts w:eastAsia="宋体"/>
          <w:sz w:val="21"/>
        </w:rPr>
      </w:pPr>
      <w:r>
        <w:rPr>
          <w:rFonts w:hint="eastAsia"/>
          <w:szCs w:val="32"/>
        </w:rPr>
        <w:t>3.</w:t>
      </w:r>
      <w:r>
        <w:rPr>
          <w:rFonts w:hint="eastAsia"/>
          <w:b/>
          <w:bCs/>
          <w:szCs w:val="32"/>
        </w:rPr>
        <w:t xml:space="preserve"> </w:t>
      </w:r>
      <w:r>
        <w:rPr>
          <w:szCs w:val="32"/>
        </w:rPr>
        <w:t>关键设备国产化程度低。国产的加氢站用氢气压缩机、加注机等设备性能与国外相比尚存在差距，关键部件和材料主要依靠进口，一定程度限制了氢</w:t>
      </w:r>
      <w:r>
        <w:rPr>
          <w:rFonts w:hint="eastAsia"/>
          <w:szCs w:val="32"/>
        </w:rPr>
        <w:t>燃料电池汽车</w:t>
      </w:r>
      <w:r>
        <w:rPr>
          <w:szCs w:val="32"/>
        </w:rPr>
        <w:t>推广和加氢站建设。</w:t>
      </w:r>
    </w:p>
    <w:p>
      <w:pPr>
        <w:numPr>
          <w:ilvl w:val="0"/>
          <w:numId w:val="0"/>
        </w:numPr>
        <w:spacing w:line="579" w:lineRule="exact"/>
        <w:ind w:firstLine="630" w:firstLineChars="200"/>
        <w:outlineLvl w:val="1"/>
        <w:rPr>
          <w:rFonts w:eastAsia="楷体_GB2312"/>
          <w:szCs w:val="32"/>
        </w:rPr>
      </w:pPr>
      <w:bookmarkStart w:id="19" w:name="_Toc8622"/>
      <w:bookmarkStart w:id="20" w:name="_Toc31564"/>
      <w:bookmarkStart w:id="21" w:name="_Toc31450"/>
      <w:bookmarkStart w:id="22" w:name="_Toc21670"/>
      <w:bookmarkStart w:id="23" w:name="_Toc15192"/>
      <w:bookmarkStart w:id="24" w:name="_Toc24076"/>
      <w:r>
        <w:rPr>
          <w:rFonts w:hint="default" w:ascii="Times New Roman" w:hAnsi="Times New Roman" w:eastAsia="楷体_GB2312" w:cs="Times New Roman"/>
          <w:b/>
          <w:bCs/>
          <w:szCs w:val="32"/>
        </w:rPr>
        <w:t>（三）</w:t>
      </w:r>
      <w:r>
        <w:rPr>
          <w:rFonts w:ascii="Times New Roman" w:hAnsi="Times New Roman" w:eastAsia="楷体_GB2312" w:cs="Times New Roman"/>
          <w:b/>
          <w:bCs/>
          <w:szCs w:val="32"/>
        </w:rPr>
        <w:t>面临形势</w:t>
      </w:r>
      <w:bookmarkEnd w:id="19"/>
      <w:bookmarkEnd w:id="20"/>
      <w:bookmarkEnd w:id="21"/>
      <w:bookmarkEnd w:id="22"/>
      <w:bookmarkEnd w:id="23"/>
      <w:bookmarkEnd w:id="24"/>
    </w:p>
    <w:p>
      <w:pPr>
        <w:pStyle w:val="4"/>
        <w:numPr>
          <w:ilvl w:val="0"/>
          <w:numId w:val="0"/>
        </w:numPr>
        <w:spacing w:after="0" w:line="579" w:lineRule="exact"/>
        <w:ind w:firstLine="630" w:firstLineChars="200"/>
        <w:rPr>
          <w:szCs w:val="32"/>
        </w:rPr>
      </w:pPr>
      <w:r>
        <w:rPr>
          <w:szCs w:val="32"/>
        </w:rPr>
        <w:t>加氢站是氢能产业链重要的核心环节，是氢能规模</w:t>
      </w:r>
      <w:r>
        <w:rPr>
          <w:rFonts w:hint="eastAsia"/>
          <w:szCs w:val="32"/>
        </w:rPr>
        <w:t>化</w:t>
      </w:r>
      <w:r>
        <w:rPr>
          <w:szCs w:val="32"/>
        </w:rPr>
        <w:t>应用的基础。</w:t>
      </w:r>
      <w:r>
        <w:rPr>
          <w:rFonts w:hint="eastAsia"/>
          <w:szCs w:val="32"/>
        </w:rPr>
        <w:t>双碳目标</w:t>
      </w:r>
      <w:r>
        <w:rPr>
          <w:szCs w:val="32"/>
        </w:rPr>
        <w:t>下，加氢站的建设迎来重大机遇期。</w:t>
      </w:r>
    </w:p>
    <w:p>
      <w:pPr>
        <w:numPr>
          <w:ilvl w:val="0"/>
          <w:numId w:val="4"/>
        </w:numPr>
        <w:spacing w:line="579" w:lineRule="exact"/>
        <w:ind w:firstLine="630" w:firstLineChars="200"/>
        <w:rPr>
          <w:bCs/>
          <w:szCs w:val="32"/>
        </w:rPr>
      </w:pPr>
      <w:r>
        <w:rPr>
          <w:szCs w:val="32"/>
        </w:rPr>
        <w:t>氢燃料电池汽车发展带动用氢需求增长。</w:t>
      </w:r>
      <w:r>
        <w:rPr>
          <w:bCs/>
          <w:szCs w:val="32"/>
        </w:rPr>
        <w:t>氢燃料电池汽车是新能源汽车发展的重要方向</w:t>
      </w:r>
      <w:r>
        <w:rPr>
          <w:rFonts w:hint="eastAsia"/>
          <w:bCs/>
          <w:szCs w:val="32"/>
        </w:rPr>
        <w:t>之一</w:t>
      </w:r>
      <w:r>
        <w:rPr>
          <w:bCs/>
          <w:szCs w:val="32"/>
        </w:rPr>
        <w:t>。根据《浙江省加快培育氢燃料电池汽车产业发展实施方案》，到2025年，我省在公交、港口、城际物流等领域推广应用氢燃料电池汽车接近5000辆</w:t>
      </w:r>
      <w:r>
        <w:rPr>
          <w:rFonts w:hint="eastAsia"/>
          <w:bCs/>
          <w:szCs w:val="32"/>
        </w:rPr>
        <w:t>，对</w:t>
      </w:r>
      <w:r>
        <w:rPr>
          <w:bCs/>
          <w:szCs w:val="32"/>
        </w:rPr>
        <w:t>加氢站建设数量和普及</w:t>
      </w:r>
      <w:r>
        <w:rPr>
          <w:rFonts w:hint="eastAsia"/>
          <w:bCs/>
          <w:szCs w:val="32"/>
        </w:rPr>
        <w:t>率提出了更大的需求</w:t>
      </w:r>
      <w:r>
        <w:rPr>
          <w:bCs/>
          <w:szCs w:val="32"/>
        </w:rPr>
        <w:t>。</w:t>
      </w:r>
    </w:p>
    <w:p>
      <w:pPr>
        <w:pStyle w:val="3"/>
        <w:numPr>
          <w:ilvl w:val="0"/>
          <w:numId w:val="4"/>
        </w:numPr>
        <w:spacing w:line="579" w:lineRule="exact"/>
        <w:ind w:firstLine="632"/>
        <w:rPr>
          <w:rFonts w:hint="eastAsia"/>
          <w:bCs/>
          <w:szCs w:val="32"/>
        </w:rPr>
      </w:pPr>
      <w:r>
        <w:rPr>
          <w:szCs w:val="32"/>
        </w:rPr>
        <w:t>可再生能源规模化发展为加氢站提供绿氢保障。</w:t>
      </w:r>
      <w:r>
        <w:rPr>
          <w:rFonts w:hint="eastAsia"/>
          <w:bCs/>
          <w:szCs w:val="32"/>
        </w:rPr>
        <w:t>“绿氢”</w:t>
      </w:r>
      <w:r>
        <w:rPr>
          <w:bCs/>
          <w:szCs w:val="32"/>
        </w:rPr>
        <w:t>将成为未来重要的氢源。我省</w:t>
      </w:r>
      <w:r>
        <w:rPr>
          <w:rFonts w:hint="eastAsia"/>
          <w:bCs/>
          <w:szCs w:val="32"/>
        </w:rPr>
        <w:t>通过</w:t>
      </w:r>
      <w:r>
        <w:rPr>
          <w:bCs/>
          <w:szCs w:val="32"/>
        </w:rPr>
        <w:t>实施</w:t>
      </w:r>
      <w:r>
        <w:rPr>
          <w:rFonts w:hint="eastAsia" w:ascii="仿宋_GB2312" w:hAnsi="仿宋_GB2312" w:cs="仿宋_GB2312"/>
          <w:bCs/>
          <w:szCs w:val="32"/>
        </w:rPr>
        <w:t>“风光倍增”工程、积极安全有序发展核电，为探索和推动</w:t>
      </w:r>
      <w:r>
        <w:rPr>
          <w:bCs/>
          <w:szCs w:val="32"/>
        </w:rPr>
        <w:t>可再生能源制氢、</w:t>
      </w:r>
      <w:r>
        <w:rPr>
          <w:rFonts w:hint="eastAsia" w:ascii="仿宋_GB2312" w:hAnsi="仿宋_GB2312" w:cs="仿宋_GB2312"/>
          <w:bCs/>
          <w:szCs w:val="32"/>
        </w:rPr>
        <w:t>核能制氢等提供有利条件，“绿氢”制备规模化和降成本潜力</w:t>
      </w:r>
      <w:r>
        <w:rPr>
          <w:bCs/>
          <w:szCs w:val="32"/>
        </w:rPr>
        <w:t>大，</w:t>
      </w:r>
      <w:r>
        <w:rPr>
          <w:rFonts w:hint="eastAsia"/>
          <w:bCs/>
          <w:szCs w:val="32"/>
        </w:rPr>
        <w:t>为</w:t>
      </w:r>
      <w:r>
        <w:rPr>
          <w:bCs/>
          <w:szCs w:val="32"/>
        </w:rPr>
        <w:t>我省氢源多元</w:t>
      </w:r>
      <w:r>
        <w:rPr>
          <w:rFonts w:hint="eastAsia"/>
          <w:bCs/>
          <w:szCs w:val="32"/>
        </w:rPr>
        <w:t>化、</w:t>
      </w:r>
      <w:r>
        <w:rPr>
          <w:bCs/>
          <w:szCs w:val="32"/>
        </w:rPr>
        <w:t>绿色</w:t>
      </w:r>
      <w:r>
        <w:rPr>
          <w:rFonts w:hint="eastAsia"/>
          <w:bCs/>
          <w:szCs w:val="32"/>
        </w:rPr>
        <w:t>化和经济性提供保障</w:t>
      </w:r>
      <w:r>
        <w:rPr>
          <w:bCs/>
          <w:szCs w:val="32"/>
        </w:rPr>
        <w:t>。</w:t>
      </w:r>
    </w:p>
    <w:p>
      <w:pPr>
        <w:pStyle w:val="3"/>
        <w:numPr>
          <w:ilvl w:val="0"/>
          <w:numId w:val="4"/>
        </w:numPr>
        <w:spacing w:line="579" w:lineRule="exact"/>
        <w:ind w:firstLine="727" w:firstLineChars="231"/>
        <w:rPr>
          <w:szCs w:val="32"/>
        </w:rPr>
      </w:pPr>
      <w:r>
        <w:rPr>
          <w:szCs w:val="32"/>
        </w:rPr>
        <w:t>氢能技术进步为推动加氢网络建设提供有力支撑。以电解水制氢、液态储氢、氢燃料电池和汽车为代表的氢能全产业链关键核心技术不断取得重大突破，</w:t>
      </w:r>
      <w:r>
        <w:rPr>
          <w:rFonts w:hint="eastAsia"/>
          <w:szCs w:val="32"/>
        </w:rPr>
        <w:t>推动</w:t>
      </w:r>
      <w:r>
        <w:rPr>
          <w:szCs w:val="32"/>
        </w:rPr>
        <w:t>成本持续下降</w:t>
      </w:r>
      <w:r>
        <w:rPr>
          <w:rFonts w:hint="eastAsia"/>
          <w:szCs w:val="32"/>
        </w:rPr>
        <w:t>，</w:t>
      </w:r>
      <w:r>
        <w:rPr>
          <w:szCs w:val="32"/>
        </w:rPr>
        <w:t>在制氢、储运、加氢、燃料电池、氢能整车等关键</w:t>
      </w:r>
      <w:r>
        <w:rPr>
          <w:rFonts w:hint="eastAsia"/>
          <w:szCs w:val="32"/>
        </w:rPr>
        <w:t>环节</w:t>
      </w:r>
      <w:r>
        <w:rPr>
          <w:szCs w:val="32"/>
        </w:rPr>
        <w:t>都引进和培育了一批优秀的企业和科研机构，为推动加氢网络建设提供有力支撑。</w:t>
      </w:r>
    </w:p>
    <w:p>
      <w:pPr>
        <w:spacing w:line="579" w:lineRule="exact"/>
        <w:ind w:firstLine="630" w:firstLineChars="200"/>
        <w:outlineLvl w:val="0"/>
        <w:rPr>
          <w:rFonts w:eastAsia="黑体"/>
          <w:bCs/>
          <w:szCs w:val="32"/>
        </w:rPr>
      </w:pPr>
      <w:bookmarkStart w:id="25" w:name="_Toc7758"/>
      <w:bookmarkStart w:id="26" w:name="_Toc22293"/>
      <w:bookmarkStart w:id="27" w:name="_Toc14772"/>
      <w:bookmarkStart w:id="28" w:name="_Toc2138"/>
      <w:bookmarkStart w:id="29" w:name="_Toc3428"/>
      <w:bookmarkStart w:id="30" w:name="_Toc10971"/>
      <w:r>
        <w:rPr>
          <w:rFonts w:hint="eastAsia" w:eastAsia="黑体"/>
          <w:bCs/>
          <w:szCs w:val="32"/>
        </w:rPr>
        <w:t>二、</w:t>
      </w:r>
      <w:r>
        <w:rPr>
          <w:rFonts w:eastAsia="黑体"/>
          <w:bCs/>
          <w:szCs w:val="32"/>
        </w:rPr>
        <w:t>总体要求</w:t>
      </w:r>
      <w:bookmarkEnd w:id="25"/>
      <w:bookmarkEnd w:id="26"/>
      <w:bookmarkEnd w:id="27"/>
      <w:bookmarkEnd w:id="28"/>
      <w:bookmarkEnd w:id="29"/>
      <w:bookmarkEnd w:id="30"/>
    </w:p>
    <w:p>
      <w:pPr>
        <w:spacing w:line="579" w:lineRule="exact"/>
        <w:ind w:firstLine="630" w:firstLineChars="200"/>
        <w:outlineLvl w:val="1"/>
        <w:rPr>
          <w:szCs w:val="32"/>
        </w:rPr>
      </w:pPr>
      <w:bookmarkStart w:id="31" w:name="_Toc7568"/>
      <w:bookmarkStart w:id="32" w:name="_Toc30634"/>
      <w:bookmarkStart w:id="33" w:name="_Toc24224"/>
      <w:bookmarkStart w:id="34" w:name="_Toc21211"/>
      <w:bookmarkStart w:id="35" w:name="_Toc19596"/>
      <w:bookmarkStart w:id="36" w:name="_Toc22472"/>
      <w:r>
        <w:rPr>
          <w:rFonts w:ascii="Times New Roman" w:hAnsi="Times New Roman" w:eastAsia="楷体_GB2312" w:cs="Times New Roman"/>
          <w:b/>
          <w:bCs/>
          <w:szCs w:val="32"/>
        </w:rPr>
        <w:t>（一）指导思想</w:t>
      </w:r>
      <w:bookmarkEnd w:id="31"/>
      <w:bookmarkEnd w:id="32"/>
      <w:bookmarkEnd w:id="33"/>
      <w:bookmarkEnd w:id="34"/>
      <w:bookmarkEnd w:id="35"/>
      <w:bookmarkEnd w:id="36"/>
      <w:r>
        <w:rPr>
          <w:rFonts w:hint="default" w:ascii="Times New Roman" w:hAnsi="Times New Roman" w:eastAsia="楷体_GB2312" w:cs="Times New Roman"/>
          <w:b/>
          <w:bCs/>
          <w:szCs w:val="32"/>
        </w:rPr>
        <w:t>。</w:t>
      </w:r>
      <w:r>
        <w:rPr>
          <w:szCs w:val="32"/>
        </w:rPr>
        <w:t>以习近平新时代中国特色社会主义思想为指导，全面贯彻党的</w:t>
      </w:r>
      <w:r>
        <w:rPr>
          <w:rFonts w:hint="eastAsia"/>
          <w:szCs w:val="32"/>
        </w:rPr>
        <w:t>二十大和二十届一中、二中全会</w:t>
      </w:r>
      <w:r>
        <w:rPr>
          <w:szCs w:val="32"/>
        </w:rPr>
        <w:t>精神，立足新发展阶段，完整、准确、全面贯彻新发展理念，构建新发展格局，</w:t>
      </w:r>
      <w:r>
        <w:rPr>
          <w:rFonts w:hint="eastAsia"/>
          <w:szCs w:val="32"/>
        </w:rPr>
        <w:t>推动</w:t>
      </w:r>
      <w:r>
        <w:rPr>
          <w:szCs w:val="32"/>
        </w:rPr>
        <w:t>高质量发展，深入贯彻习近平生态文明思想和</w:t>
      </w:r>
      <w:r>
        <w:rPr>
          <w:rFonts w:hint="eastAsia" w:ascii="仿宋_GB2312" w:hAnsi="仿宋_GB2312" w:cs="仿宋_GB2312"/>
          <w:szCs w:val="32"/>
        </w:rPr>
        <w:t>“四个革命、一合作”</w:t>
      </w:r>
      <w:r>
        <w:rPr>
          <w:szCs w:val="32"/>
        </w:rPr>
        <w:t>能源安全新战略，以市场需求和产业培育为导向，统筹加氢站及配套储运设施规划和布局，强化氢源保障，加强运营体系建设，构建布局合理、智能高效、清洁低碳、安全可靠的加氢网络体系，优化氢能发展空间格局，夯实氢能产业发展基础，</w:t>
      </w:r>
      <w:r>
        <w:rPr>
          <w:rFonts w:hint="eastAsia"/>
          <w:szCs w:val="32"/>
        </w:rPr>
        <w:t>为奋力推进“两个先行”提供坚实支撑。</w:t>
      </w:r>
    </w:p>
    <w:p>
      <w:pPr>
        <w:spacing w:line="579" w:lineRule="exact"/>
        <w:ind w:firstLine="630" w:firstLineChars="200"/>
        <w:outlineLvl w:val="1"/>
        <w:rPr>
          <w:rFonts w:eastAsia="楷体_GB2312"/>
          <w:szCs w:val="32"/>
        </w:rPr>
      </w:pPr>
      <w:bookmarkStart w:id="37" w:name="_Toc15824"/>
      <w:bookmarkStart w:id="38" w:name="_Toc12751"/>
      <w:bookmarkStart w:id="39" w:name="_Toc31561"/>
      <w:bookmarkStart w:id="40" w:name="_Toc16248"/>
      <w:bookmarkStart w:id="41" w:name="_Toc14339"/>
      <w:bookmarkStart w:id="42" w:name="_Toc6664"/>
      <w:r>
        <w:rPr>
          <w:rFonts w:ascii="Times New Roman" w:hAnsi="Times New Roman" w:eastAsia="楷体_GB2312" w:cs="Times New Roman"/>
          <w:b/>
          <w:bCs/>
          <w:szCs w:val="32"/>
        </w:rPr>
        <w:t>（二）基本原则</w:t>
      </w:r>
      <w:bookmarkEnd w:id="37"/>
      <w:bookmarkEnd w:id="38"/>
      <w:bookmarkEnd w:id="39"/>
      <w:bookmarkEnd w:id="40"/>
      <w:bookmarkEnd w:id="41"/>
      <w:bookmarkEnd w:id="42"/>
    </w:p>
    <w:p>
      <w:pPr>
        <w:pStyle w:val="4"/>
        <w:spacing w:after="0" w:line="579" w:lineRule="exact"/>
        <w:ind w:firstLine="630" w:firstLineChars="200"/>
        <w:rPr>
          <w:b/>
          <w:bCs/>
          <w:szCs w:val="32"/>
        </w:rPr>
      </w:pPr>
      <w:r>
        <w:rPr>
          <w:rFonts w:hint="eastAsia"/>
          <w:szCs w:val="32"/>
        </w:rPr>
        <w:t xml:space="preserve">1. </w:t>
      </w:r>
      <w:r>
        <w:rPr>
          <w:szCs w:val="32"/>
        </w:rPr>
        <w:t>统筹规划、整体布局。坚持系统观念，加强</w:t>
      </w:r>
      <w:r>
        <w:rPr>
          <w:rFonts w:hint="eastAsia"/>
          <w:szCs w:val="32"/>
        </w:rPr>
        <w:t>与</w:t>
      </w:r>
      <w:r>
        <w:rPr>
          <w:szCs w:val="32"/>
        </w:rPr>
        <w:t>国土空间、</w:t>
      </w:r>
      <w:r>
        <w:rPr>
          <w:rFonts w:hint="eastAsia"/>
          <w:szCs w:val="32"/>
          <w:lang w:eastAsia="zh-CN"/>
        </w:rPr>
        <w:t>燃气、</w:t>
      </w:r>
      <w:r>
        <w:rPr>
          <w:szCs w:val="32"/>
        </w:rPr>
        <w:t>交通发展等规划的</w:t>
      </w:r>
      <w:r>
        <w:rPr>
          <w:rFonts w:hint="eastAsia"/>
          <w:szCs w:val="32"/>
        </w:rPr>
        <w:t>衔接，</w:t>
      </w:r>
      <w:r>
        <w:rPr>
          <w:szCs w:val="32"/>
        </w:rPr>
        <w:t>适度超前</w:t>
      </w:r>
      <w:r>
        <w:rPr>
          <w:rFonts w:hint="eastAsia"/>
          <w:szCs w:val="32"/>
        </w:rPr>
        <w:t>规划</w:t>
      </w:r>
      <w:r>
        <w:rPr>
          <w:szCs w:val="32"/>
        </w:rPr>
        <w:t>加氢站，系统推进储运设施</w:t>
      </w:r>
      <w:r>
        <w:rPr>
          <w:rFonts w:hint="eastAsia"/>
          <w:szCs w:val="32"/>
        </w:rPr>
        <w:t>建设布局，</w:t>
      </w:r>
      <w:r>
        <w:rPr>
          <w:szCs w:val="32"/>
        </w:rPr>
        <w:t>就近利用工业副产氢，积极拓展可再生能源制氢，建立与需求分布、道路场站条件、城镇化空间格局相适应的加氢站整体布局。</w:t>
      </w:r>
    </w:p>
    <w:p>
      <w:pPr>
        <w:spacing w:line="579" w:lineRule="exact"/>
        <w:ind w:firstLine="630" w:firstLineChars="200"/>
        <w:rPr>
          <w:szCs w:val="32"/>
        </w:rPr>
      </w:pPr>
      <w:r>
        <w:rPr>
          <w:rFonts w:hint="eastAsia"/>
          <w:szCs w:val="32"/>
        </w:rPr>
        <w:t xml:space="preserve">2. </w:t>
      </w:r>
      <w:r>
        <w:rPr>
          <w:szCs w:val="32"/>
        </w:rPr>
        <w:t>供需协同、链式发展。以市场需求为导向，</w:t>
      </w:r>
      <w:r>
        <w:rPr>
          <w:rFonts w:hint="eastAsia"/>
          <w:szCs w:val="32"/>
        </w:rPr>
        <w:t>拓展</w:t>
      </w:r>
      <w:r>
        <w:rPr>
          <w:spacing w:val="8"/>
          <w:szCs w:val="32"/>
          <w:shd w:val="clear" w:color="auto" w:fill="FFFFFF"/>
        </w:rPr>
        <w:t>氢能在公交、机场、港口、物流、工程等领域场景应用</w:t>
      </w:r>
      <w:r>
        <w:rPr>
          <w:szCs w:val="32"/>
        </w:rPr>
        <w:t>，有序推进加氢基础设施建设，合理安排建设时序，以点带面逐步提升氢能产业整体发展水平，增强产业链供应链稳定性和竞争力。</w:t>
      </w:r>
    </w:p>
    <w:p>
      <w:pPr>
        <w:pStyle w:val="3"/>
        <w:spacing w:line="579" w:lineRule="exact"/>
        <w:ind w:firstLine="632"/>
        <w:rPr>
          <w:spacing w:val="8"/>
          <w:szCs w:val="32"/>
          <w:shd w:val="clear" w:color="auto" w:fill="FFFFFF"/>
        </w:rPr>
      </w:pPr>
      <w:r>
        <w:rPr>
          <w:rFonts w:hint="eastAsia"/>
          <w:szCs w:val="32"/>
        </w:rPr>
        <w:t xml:space="preserve">3. </w:t>
      </w:r>
      <w:r>
        <w:rPr>
          <w:szCs w:val="32"/>
        </w:rPr>
        <w:t>因地制宜、创新驱动。遵循</w:t>
      </w:r>
      <w:r>
        <w:rPr>
          <w:rFonts w:hint="eastAsia" w:ascii="仿宋_GB2312" w:hAnsi="仿宋_GB2312" w:cs="仿宋_GB2312"/>
          <w:szCs w:val="32"/>
        </w:rPr>
        <w:t>“依法依规、高效集约”</w:t>
      </w:r>
      <w:r>
        <w:rPr>
          <w:szCs w:val="32"/>
        </w:rPr>
        <w:t>技术原则</w:t>
      </w:r>
      <w:r>
        <w:rPr>
          <w:rFonts w:hint="eastAsia"/>
          <w:szCs w:val="32"/>
        </w:rPr>
        <w:t>，</w:t>
      </w:r>
      <w:r>
        <w:rPr>
          <w:szCs w:val="32"/>
        </w:rPr>
        <w:t>支持利用现有加油（气）站及综合供能服务站场地改扩建加氢站。以技术创新为根本动力，聚焦关键设备和零部件，集中攻关储氢、运氢、加氢关键技术</w:t>
      </w:r>
      <w:r>
        <w:rPr>
          <w:spacing w:val="8"/>
          <w:szCs w:val="32"/>
          <w:shd w:val="clear" w:color="auto" w:fill="FFFFFF"/>
        </w:rPr>
        <w:t>。</w:t>
      </w:r>
    </w:p>
    <w:p>
      <w:pPr>
        <w:spacing w:line="579" w:lineRule="exact"/>
        <w:ind w:firstLine="630" w:firstLineChars="200"/>
        <w:rPr>
          <w:szCs w:val="32"/>
        </w:rPr>
      </w:pPr>
      <w:r>
        <w:rPr>
          <w:rFonts w:hint="eastAsia"/>
          <w:szCs w:val="32"/>
        </w:rPr>
        <w:t xml:space="preserve">4. </w:t>
      </w:r>
      <w:r>
        <w:rPr>
          <w:szCs w:val="32"/>
        </w:rPr>
        <w:t>安全环保、规范运营。以安全</w:t>
      </w:r>
      <w:r>
        <w:rPr>
          <w:rFonts w:hint="eastAsia"/>
          <w:szCs w:val="32"/>
        </w:rPr>
        <w:t>为</w:t>
      </w:r>
      <w:r>
        <w:rPr>
          <w:szCs w:val="32"/>
        </w:rPr>
        <w:t>根本要求，落实绿色环保</w:t>
      </w:r>
      <w:r>
        <w:rPr>
          <w:rFonts w:hint="eastAsia"/>
          <w:szCs w:val="32"/>
        </w:rPr>
        <w:t>和安全发展</w:t>
      </w:r>
      <w:r>
        <w:rPr>
          <w:szCs w:val="32"/>
        </w:rPr>
        <w:t>理念，严格执行国家相关法律法规和标准要求，完善省级标准体系和监管机制，强化对氢能全链条安全风险的预防和管控，确保加氢站建设规范、安全运营。</w:t>
      </w:r>
    </w:p>
    <w:p>
      <w:pPr>
        <w:spacing w:line="579" w:lineRule="exact"/>
        <w:ind w:firstLine="630" w:firstLineChars="200"/>
        <w:outlineLvl w:val="1"/>
        <w:rPr>
          <w:rFonts w:eastAsia="楷体_GB2312"/>
          <w:b/>
          <w:bCs/>
          <w:szCs w:val="32"/>
        </w:rPr>
      </w:pPr>
      <w:bookmarkStart w:id="43" w:name="_Toc7526"/>
      <w:bookmarkStart w:id="44" w:name="_Toc5665"/>
      <w:bookmarkStart w:id="45" w:name="_Toc7591"/>
      <w:bookmarkStart w:id="46" w:name="_Toc5511"/>
      <w:bookmarkStart w:id="47" w:name="_Toc21727"/>
      <w:bookmarkStart w:id="48" w:name="_Toc30931"/>
      <w:r>
        <w:rPr>
          <w:rFonts w:ascii="Times New Roman" w:hAnsi="Times New Roman" w:eastAsia="楷体_GB2312" w:cs="Times New Roman"/>
          <w:b/>
          <w:bCs/>
          <w:szCs w:val="32"/>
        </w:rPr>
        <w:t>（三）发展目标</w:t>
      </w:r>
      <w:bookmarkEnd w:id="43"/>
      <w:bookmarkEnd w:id="44"/>
      <w:bookmarkEnd w:id="45"/>
      <w:bookmarkEnd w:id="46"/>
      <w:bookmarkEnd w:id="47"/>
      <w:bookmarkEnd w:id="48"/>
    </w:p>
    <w:p>
      <w:pPr>
        <w:pStyle w:val="3"/>
        <w:spacing w:line="579" w:lineRule="exact"/>
        <w:ind w:firstLine="664"/>
        <w:rPr>
          <w:spacing w:val="0"/>
          <w:szCs w:val="32"/>
        </w:rPr>
      </w:pPr>
      <w:r>
        <w:rPr>
          <w:spacing w:val="0"/>
          <w:szCs w:val="32"/>
          <w:shd w:val="clear" w:color="auto" w:fill="FFFFFF"/>
        </w:rPr>
        <w:t>到2025年，因地制宜改造提升现有加油（气）站、综合供能服务站，完善</w:t>
      </w:r>
      <w:r>
        <w:rPr>
          <w:rFonts w:hint="eastAsia"/>
          <w:spacing w:val="0"/>
          <w:szCs w:val="32"/>
          <w:shd w:val="clear" w:color="auto" w:fill="FFFFFF"/>
        </w:rPr>
        <w:t>加氢</w:t>
      </w:r>
      <w:r>
        <w:rPr>
          <w:spacing w:val="0"/>
          <w:szCs w:val="32"/>
          <w:shd w:val="clear" w:color="auto" w:fill="FFFFFF"/>
        </w:rPr>
        <w:t>配套储运设施和服务能力，基本形成以工业副产氢为主，电解水制氢、可再生能源制氢为补充的氢源保障体系和服务当地、兼顾过境、衔接顺畅、安全有序的加氢网络体系</w:t>
      </w:r>
      <w:r>
        <w:rPr>
          <w:rFonts w:hint="eastAsia"/>
          <w:spacing w:val="0"/>
          <w:szCs w:val="32"/>
          <w:shd w:val="clear" w:color="auto" w:fill="FFFFFF"/>
        </w:rPr>
        <w:t>，</w:t>
      </w:r>
      <w:r>
        <w:rPr>
          <w:spacing w:val="0"/>
          <w:szCs w:val="32"/>
          <w:shd w:val="clear" w:color="auto" w:fill="FFFFFF"/>
        </w:rPr>
        <w:t>基本建成市域、城区100公里辐射半径的加氢网络，建设加氢站50座</w:t>
      </w:r>
      <w:r>
        <w:rPr>
          <w:spacing w:val="0"/>
          <w:szCs w:val="32"/>
          <w:highlight w:val="none"/>
          <w:shd w:val="clear" w:color="auto" w:fill="FFFFFF"/>
        </w:rPr>
        <w:t>以上</w:t>
      </w:r>
      <w:r>
        <w:rPr>
          <w:rFonts w:hint="eastAsia"/>
          <w:spacing w:val="0"/>
          <w:szCs w:val="32"/>
          <w:highlight w:val="none"/>
          <w:shd w:val="clear" w:color="auto" w:fill="FFFFFF"/>
        </w:rPr>
        <w:t>、</w:t>
      </w:r>
      <w:r>
        <w:rPr>
          <w:spacing w:val="0"/>
          <w:szCs w:val="32"/>
          <w:highlight w:val="none"/>
          <w:shd w:val="clear" w:color="auto" w:fill="FFFFFF"/>
        </w:rPr>
        <w:t>日加氢能力35</w:t>
      </w:r>
      <w:r>
        <w:rPr>
          <w:rFonts w:hint="eastAsia"/>
          <w:spacing w:val="0"/>
          <w:szCs w:val="32"/>
          <w:highlight w:val="none"/>
          <w:shd w:val="clear" w:color="auto" w:fill="FFFFFF"/>
        </w:rPr>
        <w:t>.5</w:t>
      </w:r>
      <w:r>
        <w:rPr>
          <w:spacing w:val="0"/>
          <w:szCs w:val="32"/>
          <w:highlight w:val="none"/>
          <w:shd w:val="clear" w:color="auto" w:fill="FFFFFF"/>
        </w:rPr>
        <w:t>吨以上</w:t>
      </w:r>
      <w:r>
        <w:rPr>
          <w:spacing w:val="0"/>
          <w:szCs w:val="32"/>
          <w:highlight w:val="none"/>
        </w:rPr>
        <w:t>。</w:t>
      </w:r>
    </w:p>
    <w:p>
      <w:pPr>
        <w:pStyle w:val="8"/>
        <w:spacing w:beforeAutospacing="0" w:afterAutospacing="0" w:line="579" w:lineRule="exact"/>
        <w:ind w:firstLine="654" w:firstLineChars="200"/>
        <w:jc w:val="both"/>
        <w:rPr>
          <w:spacing w:val="0"/>
          <w:sz w:val="32"/>
          <w:szCs w:val="32"/>
          <w:shd w:val="clear" w:color="auto" w:fill="FFFFFF"/>
        </w:rPr>
      </w:pPr>
      <w:r>
        <w:rPr>
          <w:spacing w:val="0"/>
          <w:sz w:val="32"/>
          <w:szCs w:val="32"/>
          <w:shd w:val="clear" w:color="auto" w:fill="FFFFFF"/>
        </w:rPr>
        <w:t>展望2030年，全面形成</w:t>
      </w:r>
      <w:r>
        <w:rPr>
          <w:rFonts w:hint="eastAsia"/>
          <w:spacing w:val="0"/>
          <w:sz w:val="32"/>
          <w:szCs w:val="32"/>
          <w:shd w:val="clear" w:color="auto" w:fill="FFFFFF"/>
        </w:rPr>
        <w:t>以</w:t>
      </w:r>
      <w:r>
        <w:rPr>
          <w:spacing w:val="0"/>
          <w:sz w:val="32"/>
          <w:szCs w:val="32"/>
          <w:shd w:val="clear" w:color="auto" w:fill="FFFFFF"/>
        </w:rPr>
        <w:t>工业副产氢、可再生能源制氢为主的多元化氢源保障体系和布局合理、点多面广、智能便捷、安全高效的加氢网络体系</w:t>
      </w:r>
      <w:r>
        <w:rPr>
          <w:rFonts w:hint="eastAsia"/>
          <w:spacing w:val="0"/>
          <w:sz w:val="32"/>
          <w:szCs w:val="32"/>
          <w:shd w:val="clear" w:color="auto" w:fill="FFFFFF"/>
        </w:rPr>
        <w:t>，</w:t>
      </w:r>
      <w:r>
        <w:rPr>
          <w:spacing w:val="0"/>
          <w:sz w:val="32"/>
          <w:szCs w:val="32"/>
          <w:shd w:val="clear" w:color="auto" w:fill="FFFFFF"/>
        </w:rPr>
        <w:t>基本建成市域、城区50公里辐射半径的加氢网络，推动加氢站建设和氢能产业协同发展，助力全省碳达峰目标实现。</w:t>
      </w:r>
    </w:p>
    <w:p>
      <w:pPr>
        <w:spacing w:line="579" w:lineRule="exact"/>
        <w:ind w:firstLine="630" w:firstLineChars="200"/>
        <w:outlineLvl w:val="0"/>
        <w:rPr>
          <w:rFonts w:eastAsia="黑体"/>
          <w:bCs/>
          <w:szCs w:val="32"/>
        </w:rPr>
      </w:pPr>
      <w:bookmarkStart w:id="49" w:name="_Toc21347"/>
      <w:bookmarkStart w:id="50" w:name="_Toc19109"/>
      <w:bookmarkStart w:id="51" w:name="_Toc2966"/>
      <w:bookmarkStart w:id="52" w:name="_Toc13514"/>
      <w:bookmarkStart w:id="53" w:name="_Toc9402"/>
      <w:bookmarkStart w:id="54" w:name="_Toc25039"/>
      <w:r>
        <w:rPr>
          <w:rFonts w:eastAsia="黑体"/>
          <w:bCs/>
          <w:szCs w:val="32"/>
        </w:rPr>
        <w:t>三</w:t>
      </w:r>
      <w:r>
        <w:rPr>
          <w:rFonts w:hint="eastAsia" w:eastAsia="黑体"/>
          <w:bCs/>
          <w:szCs w:val="32"/>
        </w:rPr>
        <w:t>、</w:t>
      </w:r>
      <w:r>
        <w:rPr>
          <w:rFonts w:eastAsia="黑体"/>
          <w:bCs/>
          <w:szCs w:val="32"/>
        </w:rPr>
        <w:t>空间布局</w:t>
      </w:r>
      <w:bookmarkEnd w:id="49"/>
      <w:bookmarkEnd w:id="50"/>
      <w:bookmarkEnd w:id="51"/>
      <w:bookmarkEnd w:id="52"/>
      <w:bookmarkEnd w:id="53"/>
      <w:bookmarkEnd w:id="54"/>
    </w:p>
    <w:p>
      <w:pPr>
        <w:numPr>
          <w:ilvl w:val="0"/>
          <w:numId w:val="0"/>
        </w:numPr>
        <w:spacing w:line="579" w:lineRule="exact"/>
        <w:ind w:firstLine="630" w:firstLineChars="200"/>
        <w:rPr>
          <w:szCs w:val="32"/>
        </w:rPr>
      </w:pPr>
      <w:r>
        <w:rPr>
          <w:szCs w:val="32"/>
        </w:rPr>
        <w:t>依</w:t>
      </w:r>
      <w:r>
        <w:rPr>
          <w:rFonts w:hint="eastAsia" w:ascii="仿宋_GB2312" w:hAnsi="仿宋_GB2312" w:cs="仿宋_GB2312"/>
          <w:szCs w:val="32"/>
        </w:rPr>
        <w:t>托“环杭州湾”“义甬舟”氢走廊，打造“一核、两区”</w:t>
      </w:r>
      <w:r>
        <w:rPr>
          <w:szCs w:val="32"/>
        </w:rPr>
        <w:t>加氢网络空间布局，形成覆盖全省的城乡、高速公路、国省道、水路港口、主要产业园区的加氢网络。</w:t>
      </w:r>
    </w:p>
    <w:p>
      <w:pPr>
        <w:numPr>
          <w:ilvl w:val="0"/>
          <w:numId w:val="0"/>
        </w:numPr>
        <w:spacing w:line="579" w:lineRule="exact"/>
        <w:ind w:firstLine="630" w:firstLineChars="200"/>
        <w:outlineLvl w:val="1"/>
        <w:rPr>
          <w:rFonts w:eastAsia="楷体_GB2312"/>
          <w:szCs w:val="32"/>
        </w:rPr>
      </w:pPr>
      <w:bookmarkStart w:id="55" w:name="_Toc4487"/>
      <w:bookmarkStart w:id="56" w:name="_Toc19825"/>
      <w:r>
        <w:rPr>
          <w:rFonts w:ascii="Times New Roman" w:hAnsi="Times New Roman" w:eastAsia="楷体_GB2312" w:cs="Times New Roman"/>
          <w:b/>
          <w:bCs/>
          <w:szCs w:val="32"/>
        </w:rPr>
        <w:t>（一）</w:t>
      </w:r>
      <w:r>
        <w:rPr>
          <w:rFonts w:ascii="Times New Roman" w:hAnsi="Times New Roman" w:eastAsia="楷体_GB2312" w:cs="Times New Roman"/>
          <w:b/>
          <w:bCs/>
          <w:color w:val="0C0C0C"/>
          <w:szCs w:val="32"/>
        </w:rPr>
        <w:t>环杭州湾氢能产业核心城市群</w:t>
      </w:r>
      <w:bookmarkEnd w:id="55"/>
      <w:bookmarkEnd w:id="56"/>
    </w:p>
    <w:p>
      <w:pPr>
        <w:spacing w:line="579" w:lineRule="exact"/>
        <w:ind w:firstLine="630" w:firstLineChars="200"/>
        <w:rPr>
          <w:szCs w:val="32"/>
          <w:shd w:val="clear" w:color="auto" w:fill="FFFFFF"/>
        </w:rPr>
      </w:pPr>
      <w:r>
        <w:rPr>
          <w:szCs w:val="32"/>
        </w:rPr>
        <w:t>依托嘉兴港区和平湖市化工新材料产业基地，</w:t>
      </w:r>
      <w:r>
        <w:rPr>
          <w:szCs w:val="32"/>
          <w:shd w:val="clear" w:color="auto" w:fill="FFFFFF"/>
        </w:rPr>
        <w:t>就近布局氢气提纯、储运、加注设施，</w:t>
      </w:r>
      <w:r>
        <w:rPr>
          <w:szCs w:val="32"/>
        </w:rPr>
        <w:t>构建串联嘉兴、杭州、绍兴、宁波等环杭州湾节点城市的加氢网络</w:t>
      </w:r>
      <w:r>
        <w:rPr>
          <w:szCs w:val="32"/>
          <w:shd w:val="clear" w:color="auto" w:fill="FFFFFF"/>
        </w:rPr>
        <w:t>。到2025年，建设环杭州湾</w:t>
      </w:r>
      <w:r>
        <w:rPr>
          <w:rFonts w:hint="eastAsia"/>
          <w:szCs w:val="32"/>
          <w:shd w:val="clear" w:color="auto" w:fill="FFFFFF"/>
        </w:rPr>
        <w:t>氢能产业核心</w:t>
      </w:r>
      <w:r>
        <w:rPr>
          <w:szCs w:val="32"/>
          <w:shd w:val="clear" w:color="auto" w:fill="FFFFFF"/>
        </w:rPr>
        <w:t>城市群加氢站26座以上</w:t>
      </w:r>
      <w:r>
        <w:rPr>
          <w:rFonts w:hint="eastAsia"/>
          <w:szCs w:val="32"/>
          <w:shd w:val="clear" w:color="auto" w:fill="FFFFFF"/>
        </w:rPr>
        <w:t>、</w:t>
      </w:r>
      <w:r>
        <w:rPr>
          <w:szCs w:val="32"/>
          <w:shd w:val="clear" w:color="auto" w:fill="FFFFFF"/>
        </w:rPr>
        <w:t>日加氢能力合计1</w:t>
      </w:r>
      <w:r>
        <w:rPr>
          <w:rFonts w:hint="eastAsia"/>
          <w:szCs w:val="32"/>
          <w:shd w:val="clear" w:color="auto" w:fill="FFFFFF"/>
        </w:rPr>
        <w:t>9</w:t>
      </w:r>
      <w:r>
        <w:rPr>
          <w:szCs w:val="32"/>
          <w:shd w:val="clear" w:color="auto" w:fill="FFFFFF"/>
        </w:rPr>
        <w:t>吨以上。</w:t>
      </w:r>
      <w:r>
        <w:rPr>
          <w:szCs w:val="32"/>
        </w:rPr>
        <w:t>到2030年，</w:t>
      </w:r>
      <w:r>
        <w:rPr>
          <w:rFonts w:hint="eastAsia"/>
          <w:szCs w:val="32"/>
          <w:shd w:val="clear" w:color="auto" w:fill="FFFFFF"/>
        </w:rPr>
        <w:t>进一步拓展加氢应用场景</w:t>
      </w:r>
      <w:r>
        <w:rPr>
          <w:spacing w:val="-6"/>
          <w:szCs w:val="32"/>
          <w:shd w:val="clear" w:color="auto" w:fill="FFFFFF"/>
        </w:rPr>
        <w:t>，发展海河联运集装箱船用加氢站</w:t>
      </w:r>
      <w:r>
        <w:rPr>
          <w:rFonts w:hint="eastAsia"/>
          <w:spacing w:val="-6"/>
          <w:szCs w:val="32"/>
          <w:shd w:val="clear" w:color="auto" w:fill="FFFFFF"/>
        </w:rPr>
        <w:t>。</w:t>
      </w:r>
      <w:r>
        <w:rPr>
          <w:spacing w:val="-6"/>
          <w:szCs w:val="32"/>
          <w:shd w:val="clear" w:color="auto" w:fill="FFFFFF"/>
        </w:rPr>
        <w:t>详见表3-1。</w:t>
      </w:r>
    </w:p>
    <w:p>
      <w:pPr>
        <w:pStyle w:val="4"/>
        <w:spacing w:after="0" w:line="579" w:lineRule="exact"/>
        <w:jc w:val="center"/>
        <w:rPr>
          <w:rFonts w:eastAsia="黑体"/>
          <w:color w:val="0C0C0C"/>
          <w:sz w:val="28"/>
          <w:szCs w:val="28"/>
        </w:rPr>
      </w:pPr>
      <w:r>
        <w:rPr>
          <w:rFonts w:hint="eastAsia" w:eastAsia="黑体"/>
          <w:color w:val="0C0C0C"/>
          <w:sz w:val="28"/>
          <w:szCs w:val="28"/>
        </w:rPr>
        <w:t>表</w:t>
      </w:r>
      <w:r>
        <w:rPr>
          <w:rFonts w:eastAsia="黑体"/>
          <w:color w:val="0C0C0C"/>
          <w:sz w:val="28"/>
          <w:szCs w:val="28"/>
        </w:rPr>
        <w:t xml:space="preserve">3-1 </w:t>
      </w:r>
      <w:r>
        <w:rPr>
          <w:rFonts w:hint="eastAsia" w:eastAsia="黑体"/>
          <w:color w:val="0C0C0C"/>
          <w:sz w:val="28"/>
          <w:szCs w:val="28"/>
        </w:rPr>
        <w:t>环杭州湾氢能产业核心城市群站点布局表</w:t>
      </w:r>
      <w:r>
        <w:rPr>
          <w:rStyle w:val="12"/>
          <w:rFonts w:hint="eastAsia" w:eastAsia="黑体"/>
          <w:color w:val="0C0C0C"/>
          <w:sz w:val="28"/>
          <w:szCs w:val="28"/>
        </w:rPr>
        <w:footnoteReference w:id="2"/>
      </w:r>
    </w:p>
    <w:tbl>
      <w:tblPr>
        <w:tblStyle w:val="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25"/>
        <w:gridCol w:w="1221"/>
        <w:gridCol w:w="922"/>
        <w:gridCol w:w="825"/>
        <w:gridCol w:w="825"/>
        <w:gridCol w:w="975"/>
        <w:gridCol w:w="964"/>
        <w:gridCol w:w="1007"/>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9" w:type="dxa"/>
            <w:vMerge w:val="restart"/>
            <w:noWrap w:val="0"/>
            <w:vAlign w:val="center"/>
          </w:tcPr>
          <w:p>
            <w:pPr>
              <w:spacing w:line="320" w:lineRule="exact"/>
              <w:jc w:val="center"/>
              <w:textAlignment w:val="center"/>
              <w:rPr>
                <w:rFonts w:eastAsia="黑体"/>
                <w:sz w:val="24"/>
              </w:rPr>
            </w:pPr>
            <w:bookmarkStart w:id="57" w:name="_Toc1666"/>
            <w:r>
              <w:rPr>
                <w:rFonts w:eastAsia="黑体"/>
                <w:kern w:val="0"/>
                <w:sz w:val="24"/>
                <w:lang w:bidi="ar"/>
              </w:rPr>
              <w:t>地区</w:t>
            </w:r>
          </w:p>
        </w:tc>
        <w:tc>
          <w:tcPr>
            <w:tcW w:w="825" w:type="dxa"/>
            <w:vMerge w:val="restart"/>
            <w:noWrap w:val="0"/>
            <w:vAlign w:val="center"/>
          </w:tcPr>
          <w:p>
            <w:pPr>
              <w:spacing w:line="320" w:lineRule="exact"/>
              <w:jc w:val="center"/>
              <w:textAlignment w:val="center"/>
              <w:rPr>
                <w:rFonts w:eastAsia="黑体"/>
                <w:sz w:val="24"/>
              </w:rPr>
            </w:pPr>
            <w:r>
              <w:rPr>
                <w:rFonts w:eastAsia="黑体"/>
                <w:kern w:val="0"/>
                <w:sz w:val="24"/>
                <w:lang w:bidi="ar"/>
              </w:rPr>
              <w:t>区县</w:t>
            </w:r>
          </w:p>
        </w:tc>
        <w:tc>
          <w:tcPr>
            <w:tcW w:w="1221" w:type="dxa"/>
            <w:vMerge w:val="restart"/>
            <w:noWrap w:val="0"/>
            <w:vAlign w:val="center"/>
          </w:tcPr>
          <w:p>
            <w:pPr>
              <w:spacing w:line="320" w:lineRule="exact"/>
              <w:jc w:val="center"/>
              <w:textAlignment w:val="center"/>
              <w:rPr>
                <w:rFonts w:eastAsia="黑体"/>
                <w:sz w:val="24"/>
              </w:rPr>
            </w:pPr>
            <w:r>
              <w:rPr>
                <w:rFonts w:eastAsia="黑体"/>
                <w:kern w:val="0"/>
                <w:sz w:val="24"/>
                <w:lang w:bidi="ar"/>
              </w:rPr>
              <w:t>布点类型</w:t>
            </w:r>
          </w:p>
        </w:tc>
        <w:tc>
          <w:tcPr>
            <w:tcW w:w="2572" w:type="dxa"/>
            <w:gridSpan w:val="3"/>
            <w:noWrap w:val="0"/>
            <w:vAlign w:val="center"/>
          </w:tcPr>
          <w:p>
            <w:pPr>
              <w:spacing w:line="320" w:lineRule="exact"/>
              <w:jc w:val="center"/>
              <w:textAlignment w:val="center"/>
              <w:rPr>
                <w:rFonts w:eastAsia="黑体"/>
                <w:sz w:val="24"/>
              </w:rPr>
            </w:pPr>
            <w:r>
              <w:rPr>
                <w:rFonts w:eastAsia="黑体"/>
                <w:kern w:val="0"/>
                <w:sz w:val="24"/>
                <w:lang w:bidi="ar"/>
              </w:rPr>
              <w:t>站点数量</w:t>
            </w:r>
          </w:p>
        </w:tc>
        <w:tc>
          <w:tcPr>
            <w:tcW w:w="975" w:type="dxa"/>
            <w:vMerge w:val="restart"/>
            <w:noWrap w:val="0"/>
            <w:vAlign w:val="center"/>
          </w:tcPr>
          <w:p>
            <w:pPr>
              <w:spacing w:line="320" w:lineRule="exact"/>
              <w:jc w:val="center"/>
              <w:textAlignment w:val="center"/>
              <w:rPr>
                <w:rFonts w:eastAsia="黑体"/>
                <w:sz w:val="24"/>
              </w:rPr>
            </w:pPr>
            <w:r>
              <w:rPr>
                <w:rFonts w:eastAsia="黑体"/>
                <w:kern w:val="0"/>
                <w:sz w:val="24"/>
                <w:lang w:bidi="ar"/>
              </w:rPr>
              <w:t>“十四五”实施类站点总数</w:t>
            </w:r>
          </w:p>
        </w:tc>
        <w:tc>
          <w:tcPr>
            <w:tcW w:w="964" w:type="dxa"/>
            <w:vMerge w:val="restart"/>
            <w:noWrap w:val="0"/>
            <w:vAlign w:val="center"/>
          </w:tcPr>
          <w:p>
            <w:pPr>
              <w:spacing w:line="320" w:lineRule="exact"/>
              <w:jc w:val="center"/>
              <w:textAlignment w:val="center"/>
              <w:rPr>
                <w:rFonts w:eastAsia="黑体"/>
                <w:sz w:val="24"/>
              </w:rPr>
            </w:pPr>
            <w:r>
              <w:rPr>
                <w:rFonts w:eastAsia="黑体"/>
                <w:kern w:val="0"/>
                <w:sz w:val="24"/>
                <w:lang w:bidi="ar"/>
              </w:rPr>
              <w:t>“十四五”储备类站点总数</w:t>
            </w:r>
          </w:p>
        </w:tc>
        <w:tc>
          <w:tcPr>
            <w:tcW w:w="1007" w:type="dxa"/>
            <w:vMerge w:val="restart"/>
            <w:noWrap w:val="0"/>
            <w:vAlign w:val="center"/>
          </w:tcPr>
          <w:p>
            <w:pPr>
              <w:spacing w:line="320" w:lineRule="exact"/>
              <w:jc w:val="center"/>
              <w:textAlignment w:val="center"/>
              <w:rPr>
                <w:rFonts w:eastAsia="黑体"/>
                <w:sz w:val="24"/>
              </w:rPr>
            </w:pPr>
            <w:r>
              <w:rPr>
                <w:rFonts w:eastAsia="黑体"/>
                <w:kern w:val="0"/>
                <w:sz w:val="24"/>
                <w:lang w:bidi="ar"/>
              </w:rPr>
              <w:t>“十四五”规划站点总数</w:t>
            </w:r>
          </w:p>
        </w:tc>
        <w:tc>
          <w:tcPr>
            <w:tcW w:w="1068" w:type="dxa"/>
            <w:vMerge w:val="restart"/>
            <w:noWrap w:val="0"/>
            <w:vAlign w:val="center"/>
          </w:tcPr>
          <w:p>
            <w:pPr>
              <w:spacing w:line="320" w:lineRule="exact"/>
              <w:jc w:val="center"/>
              <w:textAlignment w:val="center"/>
              <w:rPr>
                <w:rFonts w:eastAsia="黑体"/>
                <w:sz w:val="24"/>
              </w:rPr>
            </w:pPr>
            <w:r>
              <w:rPr>
                <w:rFonts w:eastAsia="黑体"/>
                <w:kern w:val="0"/>
                <w:sz w:val="22"/>
                <w:szCs w:val="22"/>
                <w:lang w:bidi="ar"/>
              </w:rPr>
              <w:t>2030年</w:t>
            </w:r>
            <w:r>
              <w:rPr>
                <w:rFonts w:eastAsia="黑体"/>
                <w:kern w:val="0"/>
                <w:sz w:val="24"/>
                <w:lang w:bidi="ar"/>
              </w:rPr>
              <w:t>展望站点总数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9" w:type="dxa"/>
            <w:vMerge w:val="continue"/>
            <w:noWrap w:val="0"/>
            <w:vAlign w:val="center"/>
          </w:tcPr>
          <w:p>
            <w:pPr>
              <w:spacing w:line="320" w:lineRule="exact"/>
              <w:jc w:val="center"/>
              <w:rPr>
                <w:rFonts w:eastAsia="黑体"/>
                <w:sz w:val="24"/>
              </w:rPr>
            </w:pPr>
          </w:p>
        </w:tc>
        <w:tc>
          <w:tcPr>
            <w:tcW w:w="825" w:type="dxa"/>
            <w:vMerge w:val="continue"/>
            <w:noWrap w:val="0"/>
            <w:vAlign w:val="center"/>
          </w:tcPr>
          <w:p>
            <w:pPr>
              <w:spacing w:line="320" w:lineRule="exact"/>
              <w:jc w:val="center"/>
              <w:rPr>
                <w:rFonts w:eastAsia="黑体"/>
                <w:sz w:val="24"/>
              </w:rPr>
            </w:pPr>
          </w:p>
        </w:tc>
        <w:tc>
          <w:tcPr>
            <w:tcW w:w="1221" w:type="dxa"/>
            <w:vMerge w:val="continue"/>
            <w:noWrap w:val="0"/>
            <w:vAlign w:val="center"/>
          </w:tcPr>
          <w:p>
            <w:pPr>
              <w:spacing w:line="320" w:lineRule="exact"/>
              <w:jc w:val="center"/>
              <w:rPr>
                <w:rFonts w:eastAsia="黑体"/>
                <w:sz w:val="24"/>
              </w:rPr>
            </w:pPr>
          </w:p>
        </w:tc>
        <w:tc>
          <w:tcPr>
            <w:tcW w:w="922" w:type="dxa"/>
            <w:noWrap w:val="0"/>
            <w:vAlign w:val="center"/>
          </w:tcPr>
          <w:p>
            <w:pPr>
              <w:spacing w:line="320" w:lineRule="exact"/>
              <w:jc w:val="center"/>
              <w:textAlignment w:val="center"/>
              <w:rPr>
                <w:rFonts w:eastAsia="黑体"/>
                <w:sz w:val="24"/>
              </w:rPr>
            </w:pPr>
            <w:r>
              <w:rPr>
                <w:rFonts w:eastAsia="黑体"/>
                <w:kern w:val="0"/>
                <w:sz w:val="24"/>
                <w:lang w:bidi="ar"/>
              </w:rPr>
              <w:t>“十四五”实施类</w:t>
            </w:r>
          </w:p>
        </w:tc>
        <w:tc>
          <w:tcPr>
            <w:tcW w:w="825" w:type="dxa"/>
            <w:noWrap w:val="0"/>
            <w:vAlign w:val="center"/>
          </w:tcPr>
          <w:p>
            <w:pPr>
              <w:spacing w:line="320" w:lineRule="exact"/>
              <w:jc w:val="center"/>
              <w:textAlignment w:val="center"/>
              <w:rPr>
                <w:rFonts w:eastAsia="黑体"/>
                <w:sz w:val="24"/>
              </w:rPr>
            </w:pPr>
            <w:r>
              <w:rPr>
                <w:rFonts w:eastAsia="黑体"/>
                <w:kern w:val="0"/>
                <w:sz w:val="24"/>
                <w:lang w:bidi="ar"/>
              </w:rPr>
              <w:t>“十四五”储备类</w:t>
            </w:r>
          </w:p>
        </w:tc>
        <w:tc>
          <w:tcPr>
            <w:tcW w:w="825" w:type="dxa"/>
            <w:noWrap w:val="0"/>
            <w:vAlign w:val="center"/>
          </w:tcPr>
          <w:p>
            <w:pPr>
              <w:spacing w:line="320" w:lineRule="exact"/>
              <w:jc w:val="center"/>
              <w:textAlignment w:val="center"/>
              <w:rPr>
                <w:rFonts w:eastAsia="黑体"/>
                <w:sz w:val="24"/>
              </w:rPr>
            </w:pPr>
            <w:r>
              <w:rPr>
                <w:rFonts w:hint="eastAsia" w:eastAsia="黑体"/>
                <w:kern w:val="0"/>
                <w:sz w:val="24"/>
                <w:lang w:bidi="ar"/>
              </w:rPr>
              <w:t>“十五五”新增</w:t>
            </w:r>
          </w:p>
        </w:tc>
        <w:tc>
          <w:tcPr>
            <w:tcW w:w="975" w:type="dxa"/>
            <w:vMerge w:val="continue"/>
            <w:noWrap w:val="0"/>
            <w:vAlign w:val="center"/>
          </w:tcPr>
          <w:p>
            <w:pPr>
              <w:spacing w:line="320" w:lineRule="exact"/>
              <w:jc w:val="center"/>
              <w:rPr>
                <w:rFonts w:eastAsia="黑体"/>
                <w:sz w:val="24"/>
              </w:rPr>
            </w:pPr>
          </w:p>
        </w:tc>
        <w:tc>
          <w:tcPr>
            <w:tcW w:w="964" w:type="dxa"/>
            <w:vMerge w:val="continue"/>
            <w:noWrap w:val="0"/>
            <w:vAlign w:val="center"/>
          </w:tcPr>
          <w:p>
            <w:pPr>
              <w:spacing w:line="320" w:lineRule="exact"/>
              <w:jc w:val="center"/>
              <w:rPr>
                <w:rFonts w:eastAsia="黑体"/>
                <w:sz w:val="24"/>
              </w:rPr>
            </w:pPr>
          </w:p>
        </w:tc>
        <w:tc>
          <w:tcPr>
            <w:tcW w:w="1007" w:type="dxa"/>
            <w:vMerge w:val="continue"/>
            <w:noWrap w:val="0"/>
            <w:vAlign w:val="center"/>
          </w:tcPr>
          <w:p>
            <w:pPr>
              <w:spacing w:line="320" w:lineRule="exact"/>
              <w:jc w:val="center"/>
              <w:rPr>
                <w:rFonts w:eastAsia="黑体"/>
                <w:sz w:val="24"/>
              </w:rPr>
            </w:pPr>
          </w:p>
        </w:tc>
        <w:tc>
          <w:tcPr>
            <w:tcW w:w="1068" w:type="dxa"/>
            <w:vMerge w:val="continue"/>
            <w:noWrap w:val="0"/>
            <w:vAlign w:val="center"/>
          </w:tcPr>
          <w:p>
            <w:pPr>
              <w:spacing w:line="320" w:lineRule="exact"/>
              <w:jc w:val="center"/>
              <w:rPr>
                <w:rFonts w:eastAsia="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restart"/>
            <w:noWrap w:val="0"/>
            <w:vAlign w:val="center"/>
          </w:tcPr>
          <w:p>
            <w:pPr>
              <w:spacing w:line="320" w:lineRule="exact"/>
              <w:jc w:val="center"/>
              <w:textAlignment w:val="center"/>
              <w:rPr>
                <w:sz w:val="24"/>
              </w:rPr>
            </w:pPr>
            <w:r>
              <w:rPr>
                <w:kern w:val="0"/>
                <w:sz w:val="24"/>
                <w:lang w:bidi="ar"/>
              </w:rPr>
              <w:t>杭州</w:t>
            </w:r>
          </w:p>
        </w:tc>
        <w:tc>
          <w:tcPr>
            <w:tcW w:w="825" w:type="dxa"/>
            <w:noWrap w:val="0"/>
            <w:vAlign w:val="center"/>
          </w:tcPr>
          <w:p>
            <w:pPr>
              <w:spacing w:line="340" w:lineRule="exact"/>
              <w:jc w:val="center"/>
              <w:textAlignment w:val="center"/>
              <w:rPr>
                <w:sz w:val="24"/>
              </w:rPr>
            </w:pPr>
            <w:r>
              <w:rPr>
                <w:kern w:val="0"/>
                <w:sz w:val="24"/>
                <w:lang w:bidi="ar"/>
              </w:rPr>
              <w:t>拱墅</w:t>
            </w: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r>
              <w:rPr>
                <w:rFonts w:hint="eastAsia"/>
                <w:sz w:val="24"/>
              </w:rPr>
              <w:t>1</w:t>
            </w:r>
          </w:p>
        </w:tc>
        <w:tc>
          <w:tcPr>
            <w:tcW w:w="975" w:type="dxa"/>
            <w:vMerge w:val="restart"/>
            <w:noWrap w:val="0"/>
            <w:vAlign w:val="center"/>
          </w:tcPr>
          <w:p>
            <w:pPr>
              <w:spacing w:line="320" w:lineRule="exact"/>
              <w:jc w:val="center"/>
              <w:textAlignment w:val="center"/>
              <w:rPr>
                <w:sz w:val="24"/>
              </w:rPr>
            </w:pPr>
            <w:r>
              <w:rPr>
                <w:kern w:val="0"/>
                <w:sz w:val="24"/>
                <w:lang w:bidi="ar"/>
              </w:rPr>
              <w:t>6</w:t>
            </w:r>
          </w:p>
        </w:tc>
        <w:tc>
          <w:tcPr>
            <w:tcW w:w="964" w:type="dxa"/>
            <w:vMerge w:val="restart"/>
            <w:noWrap w:val="0"/>
            <w:vAlign w:val="center"/>
          </w:tcPr>
          <w:p>
            <w:pPr>
              <w:spacing w:line="320" w:lineRule="exact"/>
              <w:jc w:val="center"/>
              <w:textAlignment w:val="center"/>
              <w:rPr>
                <w:sz w:val="24"/>
              </w:rPr>
            </w:pPr>
            <w:r>
              <w:rPr>
                <w:rFonts w:hint="eastAsia"/>
                <w:kern w:val="0"/>
                <w:sz w:val="24"/>
                <w:lang w:bidi="ar"/>
              </w:rPr>
              <w:t>10</w:t>
            </w:r>
          </w:p>
        </w:tc>
        <w:tc>
          <w:tcPr>
            <w:tcW w:w="1007" w:type="dxa"/>
            <w:vMerge w:val="restart"/>
            <w:noWrap w:val="0"/>
            <w:vAlign w:val="center"/>
          </w:tcPr>
          <w:p>
            <w:pPr>
              <w:spacing w:line="320" w:lineRule="exact"/>
              <w:jc w:val="center"/>
              <w:textAlignment w:val="center"/>
              <w:rPr>
                <w:sz w:val="24"/>
              </w:rPr>
            </w:pPr>
            <w:r>
              <w:rPr>
                <w:kern w:val="0"/>
                <w:sz w:val="24"/>
                <w:lang w:bidi="ar"/>
              </w:rPr>
              <w:t>1</w:t>
            </w:r>
            <w:r>
              <w:rPr>
                <w:rFonts w:hint="eastAsia"/>
                <w:kern w:val="0"/>
                <w:sz w:val="24"/>
                <w:lang w:bidi="ar"/>
              </w:rPr>
              <w:t>6</w:t>
            </w:r>
          </w:p>
        </w:tc>
        <w:tc>
          <w:tcPr>
            <w:tcW w:w="1068" w:type="dxa"/>
            <w:vMerge w:val="restart"/>
            <w:noWrap w:val="0"/>
            <w:vAlign w:val="center"/>
          </w:tcPr>
          <w:p>
            <w:pPr>
              <w:spacing w:line="320" w:lineRule="exact"/>
              <w:jc w:val="center"/>
              <w:textAlignment w:val="center"/>
              <w:rPr>
                <w:sz w:val="24"/>
              </w:rPr>
            </w:pPr>
            <w:r>
              <w:rPr>
                <w:kern w:val="0"/>
                <w:sz w:val="24"/>
                <w:lang w:bidi="ar"/>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40" w:lineRule="exact"/>
              <w:jc w:val="center"/>
              <w:textAlignment w:val="center"/>
              <w:rPr>
                <w:sz w:val="24"/>
              </w:rPr>
            </w:pPr>
            <w:r>
              <w:rPr>
                <w:rFonts w:hint="eastAsia"/>
                <w:sz w:val="24"/>
              </w:rPr>
              <w:t>西湖</w:t>
            </w:r>
          </w:p>
        </w:tc>
        <w:tc>
          <w:tcPr>
            <w:tcW w:w="1221" w:type="dxa"/>
            <w:noWrap w:val="0"/>
            <w:vAlign w:val="center"/>
          </w:tcPr>
          <w:p>
            <w:pPr>
              <w:spacing w:line="340" w:lineRule="exact"/>
              <w:jc w:val="center"/>
              <w:textAlignment w:val="center"/>
              <w:rPr>
                <w:sz w:val="24"/>
              </w:rPr>
            </w:pPr>
            <w:r>
              <w:rPr>
                <w:rFonts w:hint="eastAsia"/>
                <w:sz w:val="24"/>
              </w:rPr>
              <w:t>城镇</w:t>
            </w:r>
          </w:p>
        </w:tc>
        <w:tc>
          <w:tcPr>
            <w:tcW w:w="922" w:type="dxa"/>
            <w:noWrap w:val="0"/>
            <w:vAlign w:val="center"/>
          </w:tcPr>
          <w:p>
            <w:pPr>
              <w:spacing w:line="320" w:lineRule="exact"/>
              <w:jc w:val="center"/>
              <w:textAlignment w:val="center"/>
              <w:rPr>
                <w:sz w:val="24"/>
              </w:rPr>
            </w:pPr>
          </w:p>
        </w:tc>
        <w:tc>
          <w:tcPr>
            <w:tcW w:w="825" w:type="dxa"/>
            <w:noWrap w:val="0"/>
            <w:vAlign w:val="center"/>
          </w:tcPr>
          <w:p>
            <w:pPr>
              <w:spacing w:line="320" w:lineRule="exact"/>
              <w:jc w:val="center"/>
              <w:rPr>
                <w:sz w:val="24"/>
              </w:rPr>
            </w:pPr>
            <w:r>
              <w:rPr>
                <w:rFonts w:hint="eastAsia"/>
                <w:sz w:val="24"/>
              </w:rPr>
              <w:t>2</w:t>
            </w:r>
          </w:p>
        </w:tc>
        <w:tc>
          <w:tcPr>
            <w:tcW w:w="825" w:type="dxa"/>
            <w:noWrap w:val="0"/>
            <w:vAlign w:val="center"/>
          </w:tcPr>
          <w:p>
            <w:pPr>
              <w:spacing w:line="320" w:lineRule="exact"/>
              <w:jc w:val="center"/>
              <w:rPr>
                <w:sz w:val="24"/>
              </w:rPr>
            </w:pPr>
            <w:r>
              <w:rPr>
                <w:rFonts w:hint="eastAsia"/>
                <w:sz w:val="24"/>
              </w:rPr>
              <w:t>2</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40" w:lineRule="exact"/>
              <w:jc w:val="center"/>
              <w:textAlignment w:val="center"/>
              <w:rPr>
                <w:sz w:val="24"/>
              </w:rPr>
            </w:pPr>
            <w:r>
              <w:rPr>
                <w:kern w:val="0"/>
                <w:sz w:val="24"/>
                <w:lang w:bidi="ar"/>
              </w:rPr>
              <w:t>滨江</w:t>
            </w: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r>
              <w:rPr>
                <w:rFonts w:hint="eastAsia"/>
                <w:sz w:val="24"/>
              </w:rPr>
              <w:t>1</w:t>
            </w:r>
          </w:p>
        </w:tc>
        <w:tc>
          <w:tcPr>
            <w:tcW w:w="825" w:type="dxa"/>
            <w:noWrap w:val="0"/>
            <w:vAlign w:val="center"/>
          </w:tcPr>
          <w:p>
            <w:pPr>
              <w:spacing w:line="320" w:lineRule="exact"/>
              <w:jc w:val="center"/>
              <w:textAlignment w:val="center"/>
              <w:rPr>
                <w:sz w:val="24"/>
              </w:rPr>
            </w:pPr>
          </w:p>
        </w:tc>
        <w:tc>
          <w:tcPr>
            <w:tcW w:w="825" w:type="dxa"/>
            <w:noWrap w:val="0"/>
            <w:vAlign w:val="center"/>
          </w:tcPr>
          <w:p>
            <w:pPr>
              <w:spacing w:line="320" w:lineRule="exact"/>
              <w:jc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CellMar>
            <w:top w:w="0" w:type="dxa"/>
            <w:left w:w="108" w:type="dxa"/>
            <w:bottom w:w="0" w:type="dxa"/>
            <w:right w:w="108" w:type="dxa"/>
          </w:tblCellMar>
        </w:tblPrEx>
        <w:trPr>
          <w:trHeight w:val="90" w:hRule="atLeast"/>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40" w:lineRule="exact"/>
              <w:jc w:val="center"/>
              <w:textAlignment w:val="center"/>
              <w:rPr>
                <w:sz w:val="24"/>
              </w:rPr>
            </w:pPr>
            <w:r>
              <w:rPr>
                <w:kern w:val="0"/>
                <w:sz w:val="24"/>
                <w:lang w:bidi="ar"/>
              </w:rPr>
              <w:t>钱塘</w:t>
            </w: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r>
              <w:rPr>
                <w:rFonts w:hint="eastAsia"/>
                <w:sz w:val="24"/>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40" w:lineRule="exact"/>
              <w:jc w:val="center"/>
              <w:textAlignment w:val="center"/>
              <w:rPr>
                <w:sz w:val="24"/>
              </w:rPr>
            </w:pPr>
            <w:r>
              <w:rPr>
                <w:kern w:val="0"/>
                <w:sz w:val="24"/>
                <w:lang w:bidi="ar"/>
              </w:rPr>
              <w:t>萧山</w:t>
            </w: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40" w:lineRule="exact"/>
              <w:jc w:val="center"/>
              <w:textAlignment w:val="center"/>
              <w:rPr>
                <w:sz w:val="24"/>
              </w:rPr>
            </w:pPr>
            <w:r>
              <w:rPr>
                <w:kern w:val="0"/>
                <w:sz w:val="24"/>
                <w:lang w:bidi="ar"/>
              </w:rPr>
              <w:t>余杭</w:t>
            </w:r>
          </w:p>
        </w:tc>
        <w:tc>
          <w:tcPr>
            <w:tcW w:w="1221" w:type="dxa"/>
            <w:noWrap w:val="0"/>
            <w:vAlign w:val="center"/>
          </w:tcPr>
          <w:p>
            <w:pPr>
              <w:spacing w:line="340" w:lineRule="exact"/>
              <w:jc w:val="center"/>
              <w:textAlignment w:val="center"/>
              <w:rPr>
                <w:sz w:val="24"/>
              </w:rPr>
            </w:pPr>
            <w:r>
              <w:rPr>
                <w:rFonts w:hint="eastAsia"/>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p>
        </w:tc>
        <w:tc>
          <w:tcPr>
            <w:tcW w:w="825" w:type="dxa"/>
            <w:noWrap w:val="0"/>
            <w:vAlign w:val="center"/>
          </w:tcPr>
          <w:p>
            <w:pPr>
              <w:spacing w:line="320" w:lineRule="exact"/>
              <w:jc w:val="center"/>
              <w:rPr>
                <w:sz w:val="24"/>
              </w:rPr>
            </w:pPr>
            <w:r>
              <w:rPr>
                <w:rFonts w:hint="eastAsia"/>
                <w:sz w:val="24"/>
              </w:rPr>
              <w:t>2</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20" w:lineRule="exact"/>
              <w:jc w:val="center"/>
              <w:textAlignment w:val="center"/>
              <w:rPr>
                <w:sz w:val="24"/>
              </w:rPr>
            </w:pPr>
          </w:p>
        </w:tc>
        <w:tc>
          <w:tcPr>
            <w:tcW w:w="1221" w:type="dxa"/>
            <w:noWrap w:val="0"/>
            <w:vAlign w:val="center"/>
          </w:tcPr>
          <w:p>
            <w:pPr>
              <w:spacing w:line="320" w:lineRule="exact"/>
              <w:jc w:val="center"/>
              <w:textAlignment w:val="center"/>
              <w:rPr>
                <w:sz w:val="24"/>
              </w:rPr>
            </w:pPr>
            <w:r>
              <w:rPr>
                <w:kern w:val="0"/>
                <w:sz w:val="24"/>
                <w:lang w:bidi="ar"/>
              </w:rPr>
              <w:t>高速公路</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rFonts w:hint="eastAsia"/>
                <w:sz w:val="24"/>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临平</w:t>
            </w:r>
          </w:p>
        </w:tc>
        <w:tc>
          <w:tcPr>
            <w:tcW w:w="1221" w:type="dxa"/>
            <w:noWrap w:val="0"/>
            <w:vAlign w:val="center"/>
          </w:tcPr>
          <w:p>
            <w:pPr>
              <w:spacing w:line="32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20" w:lineRule="exact"/>
              <w:jc w:val="center"/>
              <w:textAlignment w:val="center"/>
              <w:rPr>
                <w:sz w:val="24"/>
              </w:rPr>
            </w:pPr>
            <w:r>
              <w:rPr>
                <w:kern w:val="0"/>
                <w:sz w:val="24"/>
                <w:lang w:bidi="ar"/>
              </w:rPr>
              <w:t>富阳</w:t>
            </w:r>
          </w:p>
        </w:tc>
        <w:tc>
          <w:tcPr>
            <w:tcW w:w="1221" w:type="dxa"/>
            <w:noWrap w:val="0"/>
            <w:vAlign w:val="center"/>
          </w:tcPr>
          <w:p>
            <w:pPr>
              <w:spacing w:line="32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r>
              <w:rPr>
                <w:rFonts w:hint="eastAsia"/>
                <w:sz w:val="24"/>
              </w:rPr>
              <w:t>2</w:t>
            </w:r>
          </w:p>
        </w:tc>
        <w:tc>
          <w:tcPr>
            <w:tcW w:w="825" w:type="dxa"/>
            <w:noWrap w:val="0"/>
            <w:vAlign w:val="center"/>
          </w:tcPr>
          <w:p>
            <w:pPr>
              <w:spacing w:line="320" w:lineRule="exact"/>
              <w:jc w:val="center"/>
              <w:textAlignment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20" w:lineRule="exact"/>
              <w:jc w:val="center"/>
              <w:rPr>
                <w:sz w:val="24"/>
              </w:rPr>
            </w:pPr>
          </w:p>
        </w:tc>
        <w:tc>
          <w:tcPr>
            <w:tcW w:w="1221" w:type="dxa"/>
            <w:noWrap w:val="0"/>
            <w:vAlign w:val="center"/>
          </w:tcPr>
          <w:p>
            <w:pPr>
              <w:spacing w:line="320" w:lineRule="exact"/>
              <w:jc w:val="center"/>
              <w:textAlignment w:val="center"/>
              <w:rPr>
                <w:sz w:val="24"/>
              </w:rPr>
            </w:pPr>
            <w:r>
              <w:rPr>
                <w:kern w:val="0"/>
                <w:sz w:val="24"/>
                <w:lang w:bidi="ar"/>
              </w:rPr>
              <w:t>高速公路</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20" w:lineRule="exact"/>
              <w:jc w:val="center"/>
              <w:textAlignment w:val="center"/>
              <w:rPr>
                <w:sz w:val="24"/>
              </w:rPr>
            </w:pPr>
            <w:r>
              <w:rPr>
                <w:kern w:val="0"/>
                <w:sz w:val="24"/>
                <w:lang w:bidi="ar"/>
              </w:rPr>
              <w:t>临安</w:t>
            </w:r>
          </w:p>
        </w:tc>
        <w:tc>
          <w:tcPr>
            <w:tcW w:w="1221" w:type="dxa"/>
            <w:noWrap w:val="0"/>
            <w:vAlign w:val="center"/>
          </w:tcPr>
          <w:p>
            <w:pPr>
              <w:spacing w:line="320" w:lineRule="exact"/>
              <w:jc w:val="center"/>
              <w:textAlignment w:val="center"/>
              <w:rPr>
                <w:sz w:val="24"/>
              </w:rPr>
            </w:pPr>
            <w:r>
              <w:rPr>
                <w:kern w:val="0"/>
                <w:sz w:val="24"/>
                <w:lang w:bidi="ar"/>
              </w:rPr>
              <w:t>县乡道</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r>
              <w:rPr>
                <w:rFonts w:hint="eastAsia"/>
                <w:sz w:val="24"/>
              </w:rPr>
              <w:t>1</w:t>
            </w:r>
          </w:p>
        </w:tc>
        <w:tc>
          <w:tcPr>
            <w:tcW w:w="825" w:type="dxa"/>
            <w:noWrap w:val="0"/>
            <w:vAlign w:val="center"/>
          </w:tcPr>
          <w:p>
            <w:pPr>
              <w:spacing w:line="320" w:lineRule="exact"/>
              <w:jc w:val="center"/>
              <w:textAlignment w:val="center"/>
              <w:rPr>
                <w:sz w:val="24"/>
              </w:rPr>
            </w:pPr>
            <w:r>
              <w:rPr>
                <w:rFonts w:hint="eastAsia"/>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20" w:lineRule="exact"/>
              <w:jc w:val="center"/>
              <w:rPr>
                <w:sz w:val="24"/>
              </w:rPr>
            </w:pPr>
          </w:p>
        </w:tc>
        <w:tc>
          <w:tcPr>
            <w:tcW w:w="1221" w:type="dxa"/>
            <w:noWrap w:val="0"/>
            <w:vAlign w:val="center"/>
          </w:tcPr>
          <w:p>
            <w:pPr>
              <w:spacing w:line="320" w:lineRule="exact"/>
              <w:jc w:val="center"/>
              <w:textAlignment w:val="center"/>
              <w:rPr>
                <w:sz w:val="24"/>
              </w:rPr>
            </w:pPr>
            <w:r>
              <w:rPr>
                <w:kern w:val="0"/>
                <w:sz w:val="24"/>
                <w:lang w:bidi="ar"/>
              </w:rPr>
              <w:t>高速公路</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p>
        </w:tc>
        <w:tc>
          <w:tcPr>
            <w:tcW w:w="825" w:type="dxa"/>
            <w:noWrap w:val="0"/>
            <w:vAlign w:val="center"/>
          </w:tcPr>
          <w:p>
            <w:pPr>
              <w:spacing w:line="320" w:lineRule="exact"/>
              <w:jc w:val="center"/>
              <w:textAlignment w:val="center"/>
              <w:rPr>
                <w:sz w:val="24"/>
              </w:rPr>
            </w:pPr>
            <w:r>
              <w:rPr>
                <w:rFonts w:hint="eastAsia"/>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20" w:lineRule="exact"/>
              <w:jc w:val="center"/>
              <w:textAlignment w:val="center"/>
              <w:rPr>
                <w:sz w:val="24"/>
              </w:rPr>
            </w:pPr>
            <w:r>
              <w:rPr>
                <w:kern w:val="0"/>
                <w:sz w:val="24"/>
                <w:lang w:bidi="ar"/>
              </w:rPr>
              <w:t>桐庐</w:t>
            </w:r>
          </w:p>
        </w:tc>
        <w:tc>
          <w:tcPr>
            <w:tcW w:w="1221" w:type="dxa"/>
            <w:noWrap w:val="0"/>
            <w:vAlign w:val="center"/>
          </w:tcPr>
          <w:p>
            <w:pPr>
              <w:spacing w:line="320" w:lineRule="exact"/>
              <w:jc w:val="center"/>
              <w:textAlignment w:val="center"/>
              <w:rPr>
                <w:sz w:val="24"/>
              </w:rPr>
            </w:pPr>
            <w:r>
              <w:rPr>
                <w:kern w:val="0"/>
                <w:sz w:val="24"/>
                <w:lang w:bidi="ar"/>
              </w:rPr>
              <w:t>县乡道</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r>
              <w:rPr>
                <w:rFonts w:hint="eastAsia"/>
                <w:sz w:val="24"/>
              </w:rPr>
              <w:t>1</w:t>
            </w:r>
          </w:p>
        </w:tc>
        <w:tc>
          <w:tcPr>
            <w:tcW w:w="825" w:type="dxa"/>
            <w:noWrap w:val="0"/>
            <w:vAlign w:val="center"/>
          </w:tcPr>
          <w:p>
            <w:pPr>
              <w:spacing w:line="320" w:lineRule="exact"/>
              <w:jc w:val="center"/>
              <w:textAlignment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建德</w:t>
            </w:r>
          </w:p>
        </w:tc>
        <w:tc>
          <w:tcPr>
            <w:tcW w:w="1221" w:type="dxa"/>
            <w:noWrap w:val="0"/>
            <w:vAlign w:val="center"/>
          </w:tcPr>
          <w:p>
            <w:pPr>
              <w:spacing w:line="320" w:lineRule="exact"/>
              <w:jc w:val="center"/>
              <w:textAlignment w:val="center"/>
              <w:rPr>
                <w:sz w:val="24"/>
              </w:rPr>
            </w:pPr>
            <w:r>
              <w:rPr>
                <w:kern w:val="0"/>
                <w:sz w:val="24"/>
                <w:lang w:bidi="ar"/>
              </w:rPr>
              <w:t>县乡道</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rFonts w:hint="eastAsia" w:eastAsia="仿宋_GB2312"/>
                <w:sz w:val="24"/>
                <w:lang w:val="en-US" w:eastAsia="zh-CN"/>
              </w:rPr>
            </w:pPr>
            <w:r>
              <w:rPr>
                <w:rFonts w:hint="eastAsia"/>
                <w:sz w:val="24"/>
                <w:lang w:val="en-US" w:eastAsia="zh-CN"/>
              </w:rPr>
              <w:t>1</w:t>
            </w:r>
          </w:p>
        </w:tc>
        <w:tc>
          <w:tcPr>
            <w:tcW w:w="825" w:type="dxa"/>
            <w:noWrap w:val="0"/>
            <w:vAlign w:val="center"/>
          </w:tcPr>
          <w:p>
            <w:pPr>
              <w:spacing w:line="320" w:lineRule="exact"/>
              <w:jc w:val="center"/>
              <w:textAlignment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20" w:lineRule="exact"/>
              <w:jc w:val="center"/>
              <w:textAlignment w:val="center"/>
              <w:rPr>
                <w:sz w:val="24"/>
              </w:rPr>
            </w:pPr>
            <w:r>
              <w:rPr>
                <w:kern w:val="0"/>
                <w:sz w:val="24"/>
                <w:lang w:bidi="ar"/>
              </w:rPr>
              <w:t>淳安</w:t>
            </w:r>
          </w:p>
        </w:tc>
        <w:tc>
          <w:tcPr>
            <w:tcW w:w="1221" w:type="dxa"/>
            <w:noWrap w:val="0"/>
            <w:vAlign w:val="center"/>
          </w:tcPr>
          <w:p>
            <w:pPr>
              <w:spacing w:line="32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rFonts w:hint="eastAsia" w:eastAsia="仿宋_GB2312"/>
                <w:sz w:val="24"/>
                <w:lang w:val="en-US" w:eastAsia="zh-CN"/>
              </w:rPr>
            </w:pPr>
            <w:r>
              <w:rPr>
                <w:rFonts w:hint="eastAsia"/>
                <w:sz w:val="24"/>
                <w:lang w:val="en-US" w:eastAsia="zh-CN"/>
              </w:rPr>
              <w:t>1</w:t>
            </w:r>
          </w:p>
        </w:tc>
        <w:tc>
          <w:tcPr>
            <w:tcW w:w="825" w:type="dxa"/>
            <w:noWrap w:val="0"/>
            <w:vAlign w:val="center"/>
          </w:tcPr>
          <w:p>
            <w:pPr>
              <w:spacing w:line="320" w:lineRule="exact"/>
              <w:jc w:val="center"/>
              <w:textAlignment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20" w:lineRule="exact"/>
              <w:jc w:val="center"/>
              <w:rPr>
                <w:sz w:val="24"/>
              </w:rPr>
            </w:pPr>
          </w:p>
        </w:tc>
        <w:tc>
          <w:tcPr>
            <w:tcW w:w="1221" w:type="dxa"/>
            <w:noWrap w:val="0"/>
            <w:vAlign w:val="center"/>
          </w:tcPr>
          <w:p>
            <w:pPr>
              <w:spacing w:line="320" w:lineRule="exact"/>
              <w:jc w:val="center"/>
              <w:textAlignment w:val="center"/>
              <w:rPr>
                <w:sz w:val="24"/>
              </w:rPr>
            </w:pPr>
            <w:r>
              <w:rPr>
                <w:kern w:val="0"/>
                <w:sz w:val="24"/>
                <w:lang w:bidi="ar"/>
              </w:rPr>
              <w:t>县乡道</w:t>
            </w:r>
          </w:p>
        </w:tc>
        <w:tc>
          <w:tcPr>
            <w:tcW w:w="922" w:type="dxa"/>
            <w:noWrap w:val="0"/>
            <w:vAlign w:val="center"/>
          </w:tcPr>
          <w:p>
            <w:pPr>
              <w:spacing w:line="320" w:lineRule="exact"/>
              <w:jc w:val="center"/>
              <w:textAlignment w:val="center"/>
              <w:rPr>
                <w:sz w:val="24"/>
              </w:rPr>
            </w:pPr>
            <w:r>
              <w:rPr>
                <w:kern w:val="0"/>
                <w:sz w:val="24"/>
                <w:lang w:bidi="ar"/>
              </w:rPr>
              <w:t>2</w:t>
            </w: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CellMar>
            <w:top w:w="0" w:type="dxa"/>
            <w:left w:w="108" w:type="dxa"/>
            <w:bottom w:w="0" w:type="dxa"/>
            <w:right w:w="108" w:type="dxa"/>
          </w:tblCellMar>
        </w:tblPrEx>
        <w:trPr>
          <w:jc w:val="center"/>
        </w:trPr>
        <w:tc>
          <w:tcPr>
            <w:tcW w:w="439" w:type="dxa"/>
            <w:vMerge w:val="restart"/>
            <w:noWrap w:val="0"/>
            <w:vAlign w:val="center"/>
          </w:tcPr>
          <w:p>
            <w:pPr>
              <w:spacing w:line="320" w:lineRule="exact"/>
              <w:jc w:val="center"/>
              <w:textAlignment w:val="center"/>
              <w:rPr>
                <w:sz w:val="24"/>
              </w:rPr>
            </w:pPr>
            <w:r>
              <w:rPr>
                <w:kern w:val="0"/>
                <w:sz w:val="24"/>
                <w:lang w:bidi="ar"/>
              </w:rPr>
              <w:t>湖州</w:t>
            </w:r>
          </w:p>
        </w:tc>
        <w:tc>
          <w:tcPr>
            <w:tcW w:w="825" w:type="dxa"/>
            <w:vMerge w:val="restart"/>
            <w:noWrap w:val="0"/>
            <w:vAlign w:val="center"/>
          </w:tcPr>
          <w:p>
            <w:pPr>
              <w:spacing w:line="320" w:lineRule="exact"/>
              <w:jc w:val="center"/>
              <w:textAlignment w:val="center"/>
              <w:rPr>
                <w:sz w:val="24"/>
              </w:rPr>
            </w:pPr>
            <w:r>
              <w:rPr>
                <w:kern w:val="0"/>
                <w:sz w:val="24"/>
                <w:lang w:bidi="ar"/>
              </w:rPr>
              <w:t>德清</w:t>
            </w:r>
          </w:p>
        </w:tc>
        <w:tc>
          <w:tcPr>
            <w:tcW w:w="1221" w:type="dxa"/>
            <w:noWrap w:val="0"/>
            <w:vAlign w:val="center"/>
          </w:tcPr>
          <w:p>
            <w:pPr>
              <w:spacing w:line="320" w:lineRule="exact"/>
              <w:jc w:val="center"/>
              <w:textAlignment w:val="center"/>
              <w:rPr>
                <w:sz w:val="24"/>
              </w:rPr>
            </w:pPr>
            <w:r>
              <w:rPr>
                <w:kern w:val="0"/>
                <w:sz w:val="24"/>
                <w:lang w:bidi="ar"/>
              </w:rPr>
              <w:t>产业园区</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restart"/>
            <w:noWrap w:val="0"/>
            <w:vAlign w:val="center"/>
          </w:tcPr>
          <w:p>
            <w:pPr>
              <w:spacing w:line="320" w:lineRule="exact"/>
              <w:jc w:val="center"/>
              <w:textAlignment w:val="center"/>
              <w:rPr>
                <w:sz w:val="24"/>
              </w:rPr>
            </w:pPr>
            <w:r>
              <w:rPr>
                <w:kern w:val="0"/>
                <w:sz w:val="24"/>
                <w:lang w:bidi="ar"/>
              </w:rPr>
              <w:t>5</w:t>
            </w:r>
          </w:p>
        </w:tc>
        <w:tc>
          <w:tcPr>
            <w:tcW w:w="964" w:type="dxa"/>
            <w:vMerge w:val="restart"/>
            <w:noWrap w:val="0"/>
            <w:vAlign w:val="center"/>
          </w:tcPr>
          <w:p>
            <w:pPr>
              <w:spacing w:line="320" w:lineRule="exact"/>
              <w:jc w:val="center"/>
              <w:textAlignment w:val="center"/>
              <w:rPr>
                <w:sz w:val="24"/>
              </w:rPr>
            </w:pPr>
            <w:r>
              <w:rPr>
                <w:kern w:val="0"/>
                <w:sz w:val="24"/>
                <w:lang w:bidi="ar"/>
              </w:rPr>
              <w:t>0</w:t>
            </w:r>
          </w:p>
        </w:tc>
        <w:tc>
          <w:tcPr>
            <w:tcW w:w="1007" w:type="dxa"/>
            <w:vMerge w:val="restart"/>
            <w:noWrap/>
            <w:vAlign w:val="center"/>
          </w:tcPr>
          <w:p>
            <w:pPr>
              <w:spacing w:line="320" w:lineRule="exact"/>
              <w:jc w:val="center"/>
              <w:textAlignment w:val="center"/>
              <w:rPr>
                <w:sz w:val="24"/>
              </w:rPr>
            </w:pPr>
            <w:r>
              <w:rPr>
                <w:kern w:val="0"/>
                <w:sz w:val="24"/>
                <w:lang w:bidi="ar"/>
              </w:rPr>
              <w:t>5</w:t>
            </w:r>
          </w:p>
        </w:tc>
        <w:tc>
          <w:tcPr>
            <w:tcW w:w="1068" w:type="dxa"/>
            <w:vMerge w:val="restart"/>
            <w:noWrap w:val="0"/>
            <w:vAlign w:val="center"/>
          </w:tcPr>
          <w:p>
            <w:pPr>
              <w:spacing w:line="320" w:lineRule="exact"/>
              <w:jc w:val="center"/>
              <w:textAlignment w:val="center"/>
              <w:rPr>
                <w:sz w:val="24"/>
              </w:rPr>
            </w:pPr>
            <w:r>
              <w:rPr>
                <w:kern w:val="0"/>
                <w:sz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20" w:lineRule="exact"/>
              <w:jc w:val="center"/>
              <w:rPr>
                <w:sz w:val="24"/>
              </w:rPr>
            </w:pPr>
          </w:p>
        </w:tc>
        <w:tc>
          <w:tcPr>
            <w:tcW w:w="1221" w:type="dxa"/>
            <w:noWrap w:val="0"/>
            <w:vAlign w:val="center"/>
          </w:tcPr>
          <w:p>
            <w:pPr>
              <w:spacing w:line="320" w:lineRule="exact"/>
              <w:jc w:val="center"/>
              <w:textAlignment w:val="center"/>
              <w:rPr>
                <w:sz w:val="24"/>
              </w:rPr>
            </w:pPr>
            <w:r>
              <w:rPr>
                <w:kern w:val="0"/>
                <w:sz w:val="24"/>
                <w:lang w:bidi="ar"/>
              </w:rPr>
              <w:t>国省道</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长兴</w:t>
            </w:r>
          </w:p>
        </w:tc>
        <w:tc>
          <w:tcPr>
            <w:tcW w:w="1221" w:type="dxa"/>
            <w:noWrap w:val="0"/>
            <w:vAlign w:val="center"/>
          </w:tcPr>
          <w:p>
            <w:pPr>
              <w:spacing w:line="32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kern w:val="0"/>
                <w:sz w:val="24"/>
                <w:lang w:bidi="ar"/>
              </w:rPr>
              <w:t>5</w:t>
            </w: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安吉</w:t>
            </w:r>
          </w:p>
        </w:tc>
        <w:tc>
          <w:tcPr>
            <w:tcW w:w="1221" w:type="dxa"/>
            <w:noWrap w:val="0"/>
            <w:vAlign w:val="center"/>
          </w:tcPr>
          <w:p>
            <w:pPr>
              <w:spacing w:line="320" w:lineRule="exact"/>
              <w:jc w:val="center"/>
              <w:textAlignment w:val="center"/>
              <w:rPr>
                <w:sz w:val="24"/>
              </w:rPr>
            </w:pPr>
            <w:r>
              <w:rPr>
                <w:kern w:val="0"/>
                <w:sz w:val="24"/>
                <w:lang w:bidi="ar"/>
              </w:rPr>
              <w:t>国省道</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吴兴</w:t>
            </w:r>
          </w:p>
        </w:tc>
        <w:tc>
          <w:tcPr>
            <w:tcW w:w="1221" w:type="dxa"/>
            <w:noWrap w:val="0"/>
            <w:vAlign w:val="center"/>
          </w:tcPr>
          <w:p>
            <w:pPr>
              <w:spacing w:line="32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restart"/>
            <w:noWrap w:val="0"/>
            <w:vAlign w:val="center"/>
          </w:tcPr>
          <w:p>
            <w:pPr>
              <w:spacing w:line="320" w:lineRule="exact"/>
              <w:jc w:val="center"/>
              <w:textAlignment w:val="center"/>
              <w:rPr>
                <w:sz w:val="24"/>
              </w:rPr>
            </w:pPr>
            <w:r>
              <w:rPr>
                <w:kern w:val="0"/>
                <w:sz w:val="24"/>
                <w:lang w:bidi="ar"/>
              </w:rPr>
              <w:t>嘉兴</w:t>
            </w:r>
          </w:p>
        </w:tc>
        <w:tc>
          <w:tcPr>
            <w:tcW w:w="825" w:type="dxa"/>
            <w:vMerge w:val="restart"/>
            <w:noWrap w:val="0"/>
            <w:vAlign w:val="center"/>
          </w:tcPr>
          <w:p>
            <w:pPr>
              <w:spacing w:line="320" w:lineRule="exact"/>
              <w:jc w:val="center"/>
              <w:textAlignment w:val="center"/>
              <w:rPr>
                <w:sz w:val="24"/>
              </w:rPr>
            </w:pPr>
            <w:r>
              <w:rPr>
                <w:kern w:val="0"/>
                <w:sz w:val="24"/>
                <w:lang w:bidi="ar"/>
              </w:rPr>
              <w:t>秀洲</w:t>
            </w:r>
          </w:p>
        </w:tc>
        <w:tc>
          <w:tcPr>
            <w:tcW w:w="1221" w:type="dxa"/>
            <w:noWrap w:val="0"/>
            <w:vAlign w:val="center"/>
          </w:tcPr>
          <w:p>
            <w:pPr>
              <w:spacing w:line="32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restart"/>
            <w:noWrap w:val="0"/>
            <w:vAlign w:val="center"/>
          </w:tcPr>
          <w:p>
            <w:pPr>
              <w:spacing w:line="320" w:lineRule="exact"/>
              <w:jc w:val="center"/>
              <w:textAlignment w:val="center"/>
              <w:rPr>
                <w:sz w:val="24"/>
              </w:rPr>
            </w:pPr>
            <w:r>
              <w:rPr>
                <w:kern w:val="0"/>
                <w:sz w:val="24"/>
                <w:lang w:bidi="ar"/>
              </w:rPr>
              <w:t>13</w:t>
            </w:r>
          </w:p>
        </w:tc>
        <w:tc>
          <w:tcPr>
            <w:tcW w:w="964" w:type="dxa"/>
            <w:vMerge w:val="restart"/>
            <w:noWrap w:val="0"/>
            <w:vAlign w:val="center"/>
          </w:tcPr>
          <w:p>
            <w:pPr>
              <w:spacing w:line="320" w:lineRule="exact"/>
              <w:jc w:val="center"/>
              <w:textAlignment w:val="center"/>
              <w:rPr>
                <w:sz w:val="24"/>
              </w:rPr>
            </w:pPr>
            <w:r>
              <w:rPr>
                <w:rFonts w:hint="eastAsia"/>
                <w:kern w:val="0"/>
                <w:sz w:val="24"/>
                <w:lang w:bidi="ar"/>
              </w:rPr>
              <w:t>8</w:t>
            </w:r>
          </w:p>
        </w:tc>
        <w:tc>
          <w:tcPr>
            <w:tcW w:w="1007" w:type="dxa"/>
            <w:vMerge w:val="restart"/>
            <w:noWrap/>
            <w:vAlign w:val="center"/>
          </w:tcPr>
          <w:p>
            <w:pPr>
              <w:spacing w:line="320" w:lineRule="exact"/>
              <w:jc w:val="center"/>
              <w:textAlignment w:val="center"/>
              <w:rPr>
                <w:sz w:val="24"/>
              </w:rPr>
            </w:pPr>
            <w:r>
              <w:rPr>
                <w:rFonts w:hint="eastAsia"/>
                <w:kern w:val="0"/>
                <w:sz w:val="24"/>
                <w:lang w:bidi="ar"/>
              </w:rPr>
              <w:t>21</w:t>
            </w:r>
          </w:p>
        </w:tc>
        <w:tc>
          <w:tcPr>
            <w:tcW w:w="1068" w:type="dxa"/>
            <w:vMerge w:val="restart"/>
            <w:noWrap w:val="0"/>
            <w:vAlign w:val="center"/>
          </w:tcPr>
          <w:p>
            <w:pPr>
              <w:spacing w:line="320" w:lineRule="exact"/>
              <w:jc w:val="center"/>
              <w:textAlignment w:val="center"/>
              <w:rPr>
                <w:sz w:val="24"/>
              </w:rPr>
            </w:pPr>
            <w:r>
              <w:rPr>
                <w:kern w:val="0"/>
                <w:sz w:val="24"/>
                <w:lang w:bidi="ar"/>
              </w:rPr>
              <w:t>3</w:t>
            </w:r>
            <w:r>
              <w:rPr>
                <w:rFonts w:hint="eastAsia"/>
                <w:kern w:val="0"/>
                <w:sz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textAlignment w:val="center"/>
              <w:rPr>
                <w:kern w:val="0"/>
                <w:sz w:val="24"/>
                <w:lang w:bidi="ar"/>
              </w:rPr>
            </w:pPr>
          </w:p>
        </w:tc>
        <w:tc>
          <w:tcPr>
            <w:tcW w:w="825" w:type="dxa"/>
            <w:vMerge w:val="continue"/>
            <w:noWrap w:val="0"/>
            <w:vAlign w:val="center"/>
          </w:tcPr>
          <w:p>
            <w:pPr>
              <w:spacing w:line="320" w:lineRule="exact"/>
              <w:jc w:val="center"/>
              <w:textAlignment w:val="center"/>
              <w:rPr>
                <w:kern w:val="0"/>
                <w:sz w:val="24"/>
                <w:lang w:bidi="ar"/>
              </w:rPr>
            </w:pPr>
          </w:p>
        </w:tc>
        <w:tc>
          <w:tcPr>
            <w:tcW w:w="1221" w:type="dxa"/>
            <w:noWrap w:val="0"/>
            <w:vAlign w:val="center"/>
          </w:tcPr>
          <w:p>
            <w:pPr>
              <w:spacing w:line="320" w:lineRule="exact"/>
              <w:jc w:val="center"/>
              <w:textAlignment w:val="center"/>
              <w:rPr>
                <w:kern w:val="0"/>
                <w:sz w:val="24"/>
                <w:lang w:bidi="ar"/>
              </w:rPr>
            </w:pPr>
            <w:r>
              <w:rPr>
                <w:rFonts w:hint="eastAsia"/>
                <w:kern w:val="0"/>
                <w:sz w:val="24"/>
                <w:lang w:bidi="ar"/>
              </w:rPr>
              <w:t>国省道</w:t>
            </w:r>
          </w:p>
        </w:tc>
        <w:tc>
          <w:tcPr>
            <w:tcW w:w="922" w:type="dxa"/>
            <w:noWrap w:val="0"/>
            <w:vAlign w:val="center"/>
          </w:tcPr>
          <w:p>
            <w:pPr>
              <w:spacing w:line="320" w:lineRule="exact"/>
              <w:jc w:val="center"/>
              <w:textAlignment w:val="center"/>
              <w:rPr>
                <w:kern w:val="0"/>
                <w:sz w:val="24"/>
                <w:lang w:bidi="ar"/>
              </w:rPr>
            </w:pPr>
          </w:p>
        </w:tc>
        <w:tc>
          <w:tcPr>
            <w:tcW w:w="825" w:type="dxa"/>
            <w:noWrap w:val="0"/>
            <w:vAlign w:val="center"/>
          </w:tcPr>
          <w:p>
            <w:pPr>
              <w:spacing w:line="320" w:lineRule="exact"/>
              <w:jc w:val="center"/>
              <w:rPr>
                <w:sz w:val="24"/>
              </w:rPr>
            </w:pPr>
            <w:r>
              <w:rPr>
                <w:rFonts w:hint="eastAsia"/>
                <w:sz w:val="24"/>
              </w:rPr>
              <w:t>1</w:t>
            </w:r>
          </w:p>
        </w:tc>
        <w:tc>
          <w:tcPr>
            <w:tcW w:w="825" w:type="dxa"/>
            <w:noWrap w:val="0"/>
            <w:vAlign w:val="center"/>
          </w:tcPr>
          <w:p>
            <w:pPr>
              <w:spacing w:line="320" w:lineRule="exact"/>
              <w:jc w:val="center"/>
              <w:textAlignment w:val="center"/>
              <w:rPr>
                <w:kern w:val="0"/>
                <w:sz w:val="24"/>
                <w:lang w:bidi="ar"/>
              </w:rPr>
            </w:pPr>
          </w:p>
        </w:tc>
        <w:tc>
          <w:tcPr>
            <w:tcW w:w="975" w:type="dxa"/>
            <w:vMerge w:val="continue"/>
            <w:noWrap w:val="0"/>
            <w:vAlign w:val="center"/>
          </w:tcPr>
          <w:p>
            <w:pPr>
              <w:spacing w:line="320" w:lineRule="exact"/>
              <w:jc w:val="center"/>
              <w:textAlignment w:val="center"/>
              <w:rPr>
                <w:kern w:val="0"/>
                <w:sz w:val="24"/>
                <w:lang w:bidi="ar"/>
              </w:rPr>
            </w:pPr>
          </w:p>
        </w:tc>
        <w:tc>
          <w:tcPr>
            <w:tcW w:w="964" w:type="dxa"/>
            <w:vMerge w:val="continue"/>
            <w:noWrap w:val="0"/>
            <w:vAlign w:val="center"/>
          </w:tcPr>
          <w:p>
            <w:pPr>
              <w:spacing w:line="320" w:lineRule="exact"/>
              <w:jc w:val="center"/>
              <w:textAlignment w:val="center"/>
              <w:rPr>
                <w:kern w:val="0"/>
                <w:sz w:val="24"/>
                <w:lang w:bidi="ar"/>
              </w:rPr>
            </w:pPr>
          </w:p>
        </w:tc>
        <w:tc>
          <w:tcPr>
            <w:tcW w:w="1007" w:type="dxa"/>
            <w:vMerge w:val="continue"/>
            <w:noWrap/>
            <w:vAlign w:val="center"/>
          </w:tcPr>
          <w:p>
            <w:pPr>
              <w:spacing w:line="320" w:lineRule="exact"/>
              <w:jc w:val="center"/>
              <w:textAlignment w:val="center"/>
              <w:rPr>
                <w:kern w:val="0"/>
                <w:sz w:val="24"/>
                <w:lang w:bidi="ar"/>
              </w:rPr>
            </w:pPr>
          </w:p>
        </w:tc>
        <w:tc>
          <w:tcPr>
            <w:tcW w:w="1068" w:type="dxa"/>
            <w:vMerge w:val="continue"/>
            <w:noWrap w:val="0"/>
            <w:vAlign w:val="center"/>
          </w:tcPr>
          <w:p>
            <w:pPr>
              <w:spacing w:line="320" w:lineRule="exact"/>
              <w:jc w:val="center"/>
              <w:textAlignment w:val="center"/>
              <w:rPr>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40" w:lineRule="exact"/>
              <w:jc w:val="center"/>
              <w:textAlignment w:val="center"/>
              <w:rPr>
                <w:sz w:val="24"/>
              </w:rPr>
            </w:pPr>
            <w:r>
              <w:rPr>
                <w:kern w:val="0"/>
                <w:sz w:val="24"/>
                <w:lang w:bidi="ar"/>
              </w:rPr>
              <w:t>嘉善</w:t>
            </w: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rFonts w:hint="eastAsia"/>
                <w:kern w:val="0"/>
                <w:sz w:val="24"/>
                <w:lang w:bidi="ar"/>
              </w:rPr>
              <w:t>4</w:t>
            </w: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40" w:lineRule="exact"/>
              <w:jc w:val="center"/>
              <w:rPr>
                <w:sz w:val="24"/>
              </w:rPr>
            </w:pPr>
          </w:p>
        </w:tc>
        <w:tc>
          <w:tcPr>
            <w:tcW w:w="1221" w:type="dxa"/>
            <w:noWrap w:val="0"/>
            <w:vAlign w:val="center"/>
          </w:tcPr>
          <w:p>
            <w:pPr>
              <w:spacing w:line="340" w:lineRule="exact"/>
              <w:jc w:val="center"/>
              <w:textAlignment w:val="center"/>
              <w:rPr>
                <w:sz w:val="24"/>
              </w:rPr>
            </w:pPr>
            <w:r>
              <w:rPr>
                <w:kern w:val="0"/>
                <w:sz w:val="24"/>
                <w:lang w:bidi="ar"/>
              </w:rPr>
              <w:t>高速公路</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2</w:t>
            </w:r>
          </w:p>
        </w:tc>
        <w:tc>
          <w:tcPr>
            <w:tcW w:w="825" w:type="dxa"/>
            <w:noWrap w:val="0"/>
            <w:vAlign w:val="center"/>
          </w:tcPr>
          <w:p>
            <w:pPr>
              <w:spacing w:line="320" w:lineRule="exact"/>
              <w:jc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40" w:lineRule="exact"/>
              <w:jc w:val="center"/>
              <w:rPr>
                <w:sz w:val="24"/>
              </w:rPr>
            </w:pPr>
          </w:p>
        </w:tc>
        <w:tc>
          <w:tcPr>
            <w:tcW w:w="1221" w:type="dxa"/>
            <w:noWrap w:val="0"/>
            <w:vAlign w:val="center"/>
          </w:tcPr>
          <w:p>
            <w:pPr>
              <w:spacing w:line="340" w:lineRule="exact"/>
              <w:jc w:val="center"/>
              <w:textAlignment w:val="center"/>
              <w:rPr>
                <w:sz w:val="24"/>
              </w:rPr>
            </w:pPr>
            <w:r>
              <w:rPr>
                <w:kern w:val="0"/>
                <w:sz w:val="24"/>
                <w:lang w:bidi="ar"/>
              </w:rPr>
              <w:t>国省道</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40" w:lineRule="exact"/>
              <w:jc w:val="center"/>
              <w:textAlignment w:val="center"/>
              <w:rPr>
                <w:sz w:val="24"/>
              </w:rPr>
            </w:pPr>
            <w:r>
              <w:rPr>
                <w:kern w:val="0"/>
                <w:sz w:val="24"/>
                <w:lang w:bidi="ar"/>
              </w:rPr>
              <w:t>海盐</w:t>
            </w: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rFonts w:hint="eastAsia" w:eastAsia="仿宋_GB2312"/>
                <w:sz w:val="24"/>
                <w:lang w:val="en-US" w:eastAsia="zh-CN"/>
              </w:rPr>
            </w:pPr>
            <w:r>
              <w:rPr>
                <w:rFonts w:hint="eastAsia"/>
                <w:sz w:val="24"/>
                <w:lang w:val="en-US" w:eastAsia="zh-CN"/>
              </w:rPr>
              <w:t>1</w:t>
            </w: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40" w:lineRule="exact"/>
              <w:jc w:val="center"/>
              <w:rPr>
                <w:sz w:val="24"/>
              </w:rPr>
            </w:pPr>
          </w:p>
        </w:tc>
        <w:tc>
          <w:tcPr>
            <w:tcW w:w="1221" w:type="dxa"/>
            <w:noWrap w:val="0"/>
            <w:vAlign w:val="center"/>
          </w:tcPr>
          <w:p>
            <w:pPr>
              <w:spacing w:line="340" w:lineRule="exact"/>
              <w:jc w:val="center"/>
              <w:textAlignment w:val="center"/>
              <w:rPr>
                <w:sz w:val="24"/>
              </w:rPr>
            </w:pPr>
            <w:r>
              <w:rPr>
                <w:kern w:val="0"/>
                <w:sz w:val="24"/>
                <w:lang w:bidi="ar"/>
              </w:rPr>
              <w:t>国省道</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40" w:lineRule="exact"/>
              <w:jc w:val="center"/>
              <w:rPr>
                <w:sz w:val="24"/>
              </w:rPr>
            </w:pPr>
          </w:p>
        </w:tc>
        <w:tc>
          <w:tcPr>
            <w:tcW w:w="1221" w:type="dxa"/>
            <w:noWrap w:val="0"/>
            <w:vAlign w:val="center"/>
          </w:tcPr>
          <w:p>
            <w:pPr>
              <w:spacing w:line="340" w:lineRule="exact"/>
              <w:jc w:val="center"/>
              <w:textAlignment w:val="center"/>
              <w:rPr>
                <w:sz w:val="24"/>
              </w:rPr>
            </w:pPr>
            <w:r>
              <w:rPr>
                <w:kern w:val="0"/>
                <w:sz w:val="24"/>
                <w:lang w:bidi="ar"/>
              </w:rPr>
              <w:t>产业园区</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40" w:lineRule="exact"/>
              <w:jc w:val="center"/>
              <w:textAlignment w:val="center"/>
              <w:rPr>
                <w:sz w:val="24"/>
              </w:rPr>
            </w:pPr>
            <w:r>
              <w:rPr>
                <w:kern w:val="0"/>
                <w:sz w:val="24"/>
                <w:lang w:bidi="ar"/>
              </w:rPr>
              <w:t>海宁</w:t>
            </w: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p>
        </w:tc>
        <w:tc>
          <w:tcPr>
            <w:tcW w:w="825" w:type="dxa"/>
            <w:noWrap w:val="0"/>
            <w:vAlign w:val="center"/>
          </w:tcPr>
          <w:p>
            <w:pPr>
              <w:spacing w:line="320" w:lineRule="exact"/>
              <w:jc w:val="center"/>
              <w:textAlignment w:val="center"/>
              <w:rPr>
                <w:sz w:val="24"/>
              </w:rPr>
            </w:pPr>
            <w:r>
              <w:rPr>
                <w:kern w:val="0"/>
                <w:sz w:val="24"/>
                <w:lang w:bidi="ar"/>
              </w:rPr>
              <w:t>3</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40" w:lineRule="exact"/>
              <w:jc w:val="center"/>
              <w:textAlignment w:val="center"/>
              <w:rPr>
                <w:sz w:val="24"/>
              </w:rPr>
            </w:pPr>
            <w:r>
              <w:rPr>
                <w:kern w:val="0"/>
                <w:sz w:val="24"/>
                <w:lang w:bidi="ar"/>
              </w:rPr>
              <w:t>平湖</w:t>
            </w: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40" w:lineRule="exact"/>
              <w:jc w:val="center"/>
              <w:rPr>
                <w:sz w:val="24"/>
              </w:rPr>
            </w:pPr>
          </w:p>
        </w:tc>
        <w:tc>
          <w:tcPr>
            <w:tcW w:w="1221" w:type="dxa"/>
            <w:noWrap w:val="0"/>
            <w:vAlign w:val="center"/>
          </w:tcPr>
          <w:p>
            <w:pPr>
              <w:spacing w:line="340" w:lineRule="exact"/>
              <w:jc w:val="center"/>
              <w:textAlignment w:val="center"/>
              <w:rPr>
                <w:kern w:val="0"/>
                <w:sz w:val="24"/>
                <w:lang w:bidi="ar"/>
              </w:rPr>
            </w:pPr>
            <w:r>
              <w:rPr>
                <w:rFonts w:hint="eastAsia"/>
                <w:kern w:val="0"/>
                <w:sz w:val="24"/>
                <w:lang w:bidi="ar"/>
              </w:rPr>
              <w:t>国省道</w:t>
            </w:r>
          </w:p>
        </w:tc>
        <w:tc>
          <w:tcPr>
            <w:tcW w:w="922" w:type="dxa"/>
            <w:noWrap w:val="0"/>
            <w:vAlign w:val="center"/>
          </w:tcPr>
          <w:p>
            <w:pPr>
              <w:spacing w:line="320" w:lineRule="exact"/>
              <w:jc w:val="center"/>
              <w:rPr>
                <w:sz w:val="24"/>
              </w:rPr>
            </w:pPr>
            <w:r>
              <w:rPr>
                <w:rFonts w:hint="eastAsia"/>
                <w:sz w:val="24"/>
              </w:rPr>
              <w:t>1</w:t>
            </w: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kern w:val="0"/>
                <w:sz w:val="24"/>
                <w:lang w:bidi="ar"/>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40" w:lineRule="exact"/>
              <w:jc w:val="center"/>
              <w:rPr>
                <w:sz w:val="24"/>
              </w:rPr>
            </w:pPr>
          </w:p>
        </w:tc>
        <w:tc>
          <w:tcPr>
            <w:tcW w:w="1221" w:type="dxa"/>
            <w:noWrap w:val="0"/>
            <w:vAlign w:val="center"/>
          </w:tcPr>
          <w:p>
            <w:pPr>
              <w:spacing w:line="340" w:lineRule="exact"/>
              <w:jc w:val="center"/>
              <w:textAlignment w:val="center"/>
              <w:rPr>
                <w:sz w:val="24"/>
              </w:rPr>
            </w:pPr>
            <w:r>
              <w:rPr>
                <w:kern w:val="0"/>
                <w:sz w:val="24"/>
                <w:lang w:bidi="ar"/>
              </w:rPr>
              <w:t>产业园区</w:t>
            </w:r>
          </w:p>
        </w:tc>
        <w:tc>
          <w:tcPr>
            <w:tcW w:w="922" w:type="dxa"/>
            <w:noWrap w:val="0"/>
            <w:vAlign w:val="center"/>
          </w:tcPr>
          <w:p>
            <w:pPr>
              <w:spacing w:line="320" w:lineRule="exact"/>
              <w:jc w:val="center"/>
              <w:rPr>
                <w:sz w:val="24"/>
              </w:rPr>
            </w:pPr>
            <w:r>
              <w:rPr>
                <w:rFonts w:hint="eastAsia"/>
                <w:sz w:val="24"/>
              </w:rPr>
              <w:t>3</w:t>
            </w:r>
          </w:p>
        </w:tc>
        <w:tc>
          <w:tcPr>
            <w:tcW w:w="825" w:type="dxa"/>
            <w:noWrap w:val="0"/>
            <w:vAlign w:val="center"/>
          </w:tcPr>
          <w:p>
            <w:pPr>
              <w:spacing w:line="320" w:lineRule="exact"/>
              <w:jc w:val="center"/>
              <w:rPr>
                <w:sz w:val="24"/>
              </w:rPr>
            </w:pPr>
            <w:r>
              <w:rPr>
                <w:rFonts w:hint="eastAsia"/>
                <w:sz w:val="24"/>
              </w:rPr>
              <w:t>2</w:t>
            </w: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40" w:lineRule="exact"/>
              <w:jc w:val="center"/>
              <w:rPr>
                <w:sz w:val="24"/>
              </w:rPr>
            </w:pPr>
          </w:p>
        </w:tc>
        <w:tc>
          <w:tcPr>
            <w:tcW w:w="1221" w:type="dxa"/>
            <w:noWrap w:val="0"/>
            <w:vAlign w:val="center"/>
          </w:tcPr>
          <w:p>
            <w:pPr>
              <w:spacing w:line="340" w:lineRule="exact"/>
              <w:jc w:val="center"/>
              <w:textAlignment w:val="center"/>
              <w:rPr>
                <w:sz w:val="24"/>
              </w:rPr>
            </w:pPr>
            <w:r>
              <w:rPr>
                <w:kern w:val="0"/>
                <w:sz w:val="24"/>
                <w:lang w:bidi="ar"/>
              </w:rPr>
              <w:t>高速公路</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2</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40" w:lineRule="exact"/>
              <w:jc w:val="center"/>
              <w:textAlignment w:val="center"/>
              <w:rPr>
                <w:sz w:val="24"/>
              </w:rPr>
            </w:pPr>
            <w:r>
              <w:rPr>
                <w:kern w:val="0"/>
                <w:sz w:val="24"/>
                <w:lang w:bidi="ar"/>
              </w:rPr>
              <w:t>南湖</w:t>
            </w: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p>
        </w:tc>
        <w:tc>
          <w:tcPr>
            <w:tcW w:w="825" w:type="dxa"/>
            <w:noWrap w:val="0"/>
            <w:vAlign w:val="center"/>
          </w:tcPr>
          <w:p>
            <w:pPr>
              <w:spacing w:line="320" w:lineRule="exact"/>
              <w:jc w:val="center"/>
              <w:rPr>
                <w:sz w:val="24"/>
              </w:rPr>
            </w:pPr>
            <w:r>
              <w:rPr>
                <w:rFonts w:hint="eastAsia"/>
                <w:sz w:val="24"/>
              </w:rPr>
              <w:t>1</w:t>
            </w:r>
          </w:p>
        </w:tc>
        <w:tc>
          <w:tcPr>
            <w:tcW w:w="825" w:type="dxa"/>
            <w:noWrap w:val="0"/>
            <w:vAlign w:val="center"/>
          </w:tcPr>
          <w:p>
            <w:pPr>
              <w:spacing w:line="320" w:lineRule="exact"/>
              <w:jc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40" w:lineRule="exact"/>
              <w:jc w:val="center"/>
              <w:rPr>
                <w:sz w:val="24"/>
              </w:rPr>
            </w:pPr>
          </w:p>
        </w:tc>
        <w:tc>
          <w:tcPr>
            <w:tcW w:w="1221" w:type="dxa"/>
            <w:noWrap w:val="0"/>
            <w:vAlign w:val="center"/>
          </w:tcPr>
          <w:p>
            <w:pPr>
              <w:spacing w:line="340" w:lineRule="exact"/>
              <w:jc w:val="center"/>
              <w:textAlignment w:val="center"/>
              <w:rPr>
                <w:sz w:val="24"/>
              </w:rPr>
            </w:pPr>
            <w:r>
              <w:rPr>
                <w:kern w:val="0"/>
                <w:sz w:val="24"/>
                <w:lang w:bidi="ar"/>
              </w:rPr>
              <w:t>船舶</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CellMar>
            <w:top w:w="0" w:type="dxa"/>
            <w:left w:w="108" w:type="dxa"/>
            <w:bottom w:w="0" w:type="dxa"/>
            <w:right w:w="108" w:type="dxa"/>
          </w:tblCellMar>
        </w:tblPrEx>
        <w:trPr>
          <w:trHeight w:val="90" w:hRule="atLeast"/>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40" w:lineRule="exact"/>
              <w:jc w:val="center"/>
              <w:textAlignment w:val="center"/>
              <w:rPr>
                <w:sz w:val="24"/>
              </w:rPr>
            </w:pPr>
            <w:r>
              <w:rPr>
                <w:kern w:val="0"/>
                <w:sz w:val="24"/>
                <w:lang w:bidi="ar"/>
              </w:rPr>
              <w:t>桐乡</w:t>
            </w:r>
          </w:p>
        </w:tc>
        <w:tc>
          <w:tcPr>
            <w:tcW w:w="1221" w:type="dxa"/>
            <w:noWrap w:val="0"/>
            <w:vAlign w:val="center"/>
          </w:tcPr>
          <w:p>
            <w:pPr>
              <w:spacing w:line="340" w:lineRule="exact"/>
              <w:jc w:val="center"/>
              <w:textAlignment w:val="center"/>
              <w:rPr>
                <w:sz w:val="24"/>
              </w:rPr>
            </w:pPr>
            <w:r>
              <w:rPr>
                <w:kern w:val="0"/>
                <w:sz w:val="24"/>
                <w:lang w:bidi="ar"/>
              </w:rPr>
              <w:t>国省道</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40" w:lineRule="exact"/>
              <w:jc w:val="center"/>
              <w:rPr>
                <w:sz w:val="24"/>
              </w:rPr>
            </w:pPr>
          </w:p>
        </w:tc>
        <w:tc>
          <w:tcPr>
            <w:tcW w:w="1221" w:type="dxa"/>
            <w:noWrap w:val="0"/>
            <w:vAlign w:val="center"/>
          </w:tcPr>
          <w:p>
            <w:pPr>
              <w:spacing w:line="34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2</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restart"/>
            <w:noWrap w:val="0"/>
            <w:vAlign w:val="center"/>
          </w:tcPr>
          <w:p>
            <w:pPr>
              <w:spacing w:line="320" w:lineRule="exact"/>
              <w:jc w:val="center"/>
              <w:textAlignment w:val="center"/>
              <w:rPr>
                <w:sz w:val="24"/>
              </w:rPr>
            </w:pPr>
            <w:r>
              <w:rPr>
                <w:kern w:val="0"/>
                <w:sz w:val="24"/>
                <w:lang w:bidi="ar"/>
              </w:rPr>
              <w:t>绍兴</w:t>
            </w:r>
          </w:p>
        </w:tc>
        <w:tc>
          <w:tcPr>
            <w:tcW w:w="825" w:type="dxa"/>
            <w:noWrap w:val="0"/>
            <w:vAlign w:val="center"/>
          </w:tcPr>
          <w:p>
            <w:pPr>
              <w:spacing w:line="360" w:lineRule="exact"/>
              <w:jc w:val="center"/>
              <w:textAlignment w:val="center"/>
              <w:rPr>
                <w:sz w:val="24"/>
              </w:rPr>
            </w:pPr>
            <w:r>
              <w:rPr>
                <w:kern w:val="0"/>
                <w:sz w:val="24"/>
                <w:lang w:bidi="ar"/>
              </w:rPr>
              <w:t>柯桥</w:t>
            </w:r>
          </w:p>
        </w:tc>
        <w:tc>
          <w:tcPr>
            <w:tcW w:w="1221" w:type="dxa"/>
            <w:noWrap w:val="0"/>
            <w:vAlign w:val="center"/>
          </w:tcPr>
          <w:p>
            <w:pPr>
              <w:spacing w:line="36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restart"/>
            <w:noWrap w:val="0"/>
            <w:vAlign w:val="center"/>
          </w:tcPr>
          <w:p>
            <w:pPr>
              <w:spacing w:line="320" w:lineRule="exact"/>
              <w:jc w:val="center"/>
              <w:textAlignment w:val="center"/>
              <w:rPr>
                <w:sz w:val="24"/>
              </w:rPr>
            </w:pPr>
            <w:r>
              <w:rPr>
                <w:kern w:val="0"/>
                <w:sz w:val="24"/>
                <w:lang w:bidi="ar"/>
              </w:rPr>
              <w:t>2</w:t>
            </w:r>
          </w:p>
        </w:tc>
        <w:tc>
          <w:tcPr>
            <w:tcW w:w="964" w:type="dxa"/>
            <w:vMerge w:val="restart"/>
            <w:noWrap w:val="0"/>
            <w:vAlign w:val="center"/>
          </w:tcPr>
          <w:p>
            <w:pPr>
              <w:spacing w:line="320" w:lineRule="exact"/>
              <w:jc w:val="center"/>
              <w:textAlignment w:val="center"/>
              <w:rPr>
                <w:sz w:val="24"/>
              </w:rPr>
            </w:pPr>
            <w:r>
              <w:rPr>
                <w:rFonts w:hint="eastAsia"/>
                <w:kern w:val="0"/>
                <w:sz w:val="24"/>
                <w:lang w:bidi="ar"/>
              </w:rPr>
              <w:t>6</w:t>
            </w:r>
          </w:p>
        </w:tc>
        <w:tc>
          <w:tcPr>
            <w:tcW w:w="1007" w:type="dxa"/>
            <w:vMerge w:val="restart"/>
            <w:noWrap w:val="0"/>
            <w:vAlign w:val="center"/>
          </w:tcPr>
          <w:p>
            <w:pPr>
              <w:spacing w:line="320" w:lineRule="exact"/>
              <w:jc w:val="center"/>
              <w:textAlignment w:val="center"/>
              <w:rPr>
                <w:sz w:val="24"/>
              </w:rPr>
            </w:pPr>
            <w:r>
              <w:rPr>
                <w:rFonts w:hint="eastAsia"/>
                <w:kern w:val="0"/>
                <w:sz w:val="24"/>
                <w:lang w:bidi="ar"/>
              </w:rPr>
              <w:t>8</w:t>
            </w:r>
          </w:p>
        </w:tc>
        <w:tc>
          <w:tcPr>
            <w:tcW w:w="1068" w:type="dxa"/>
            <w:vMerge w:val="restart"/>
            <w:noWrap w:val="0"/>
            <w:vAlign w:val="center"/>
          </w:tcPr>
          <w:p>
            <w:pPr>
              <w:spacing w:line="320" w:lineRule="exact"/>
              <w:jc w:val="center"/>
              <w:textAlignment w:val="center"/>
              <w:rPr>
                <w:sz w:val="24"/>
              </w:rPr>
            </w:pPr>
            <w:r>
              <w:rPr>
                <w:kern w:val="0"/>
                <w:sz w:val="24"/>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noWrap w:val="0"/>
            <w:vAlign w:val="center"/>
          </w:tcPr>
          <w:p>
            <w:pPr>
              <w:spacing w:line="360" w:lineRule="exact"/>
              <w:jc w:val="center"/>
              <w:textAlignment w:val="center"/>
              <w:rPr>
                <w:sz w:val="24"/>
              </w:rPr>
            </w:pPr>
            <w:r>
              <w:rPr>
                <w:kern w:val="0"/>
                <w:sz w:val="24"/>
                <w:lang w:bidi="ar"/>
              </w:rPr>
              <w:t>越城</w:t>
            </w:r>
          </w:p>
        </w:tc>
        <w:tc>
          <w:tcPr>
            <w:tcW w:w="1221" w:type="dxa"/>
            <w:noWrap w:val="0"/>
            <w:vAlign w:val="center"/>
          </w:tcPr>
          <w:p>
            <w:pPr>
              <w:spacing w:line="36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textAlignment w:val="center"/>
              <w:rPr>
                <w:sz w:val="24"/>
              </w:rPr>
            </w:pPr>
          </w:p>
        </w:tc>
        <w:tc>
          <w:tcPr>
            <w:tcW w:w="825" w:type="dxa"/>
            <w:noWrap w:val="0"/>
            <w:vAlign w:val="center"/>
          </w:tcPr>
          <w:p>
            <w:pPr>
              <w:spacing w:line="320" w:lineRule="exact"/>
              <w:jc w:val="center"/>
              <w:rPr>
                <w:sz w:val="24"/>
              </w:rPr>
            </w:pPr>
            <w:r>
              <w:rPr>
                <w:rFonts w:hint="eastAsia"/>
                <w:sz w:val="24"/>
              </w:rPr>
              <w:t>2</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60" w:lineRule="exact"/>
              <w:jc w:val="center"/>
              <w:textAlignment w:val="center"/>
              <w:rPr>
                <w:sz w:val="24"/>
              </w:rPr>
            </w:pPr>
            <w:r>
              <w:rPr>
                <w:kern w:val="0"/>
                <w:sz w:val="24"/>
                <w:lang w:bidi="ar"/>
              </w:rPr>
              <w:t>上虞</w:t>
            </w:r>
          </w:p>
        </w:tc>
        <w:tc>
          <w:tcPr>
            <w:tcW w:w="1221" w:type="dxa"/>
            <w:noWrap w:val="0"/>
            <w:vAlign w:val="center"/>
          </w:tcPr>
          <w:p>
            <w:pPr>
              <w:spacing w:line="36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textAlignment w:val="center"/>
              <w:rPr>
                <w:sz w:val="24"/>
              </w:rPr>
            </w:pPr>
            <w:r>
              <w:rPr>
                <w:rFonts w:hint="eastAsia"/>
                <w:kern w:val="0"/>
                <w:sz w:val="24"/>
                <w:lang w:bidi="ar"/>
              </w:rPr>
              <w:t>1</w:t>
            </w:r>
          </w:p>
        </w:tc>
        <w:tc>
          <w:tcPr>
            <w:tcW w:w="825" w:type="dxa"/>
            <w:noWrap w:val="0"/>
            <w:vAlign w:val="center"/>
          </w:tcPr>
          <w:p>
            <w:pPr>
              <w:spacing w:line="320" w:lineRule="exact"/>
              <w:jc w:val="center"/>
              <w:rPr>
                <w:sz w:val="24"/>
              </w:rPr>
            </w:pPr>
            <w:r>
              <w:rPr>
                <w:rFonts w:hint="eastAsia"/>
                <w:sz w:val="24"/>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60" w:lineRule="exact"/>
              <w:jc w:val="center"/>
              <w:rPr>
                <w:sz w:val="24"/>
              </w:rPr>
            </w:pPr>
          </w:p>
        </w:tc>
        <w:tc>
          <w:tcPr>
            <w:tcW w:w="1221" w:type="dxa"/>
            <w:noWrap w:val="0"/>
            <w:vAlign w:val="center"/>
          </w:tcPr>
          <w:p>
            <w:pPr>
              <w:spacing w:line="360" w:lineRule="exact"/>
              <w:jc w:val="center"/>
              <w:textAlignment w:val="center"/>
              <w:rPr>
                <w:sz w:val="24"/>
              </w:rPr>
            </w:pPr>
            <w:r>
              <w:rPr>
                <w:kern w:val="0"/>
                <w:sz w:val="24"/>
                <w:lang w:bidi="ar"/>
              </w:rPr>
              <w:t>国省道</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p>
        </w:tc>
        <w:tc>
          <w:tcPr>
            <w:tcW w:w="825" w:type="dxa"/>
            <w:noWrap w:val="0"/>
            <w:vAlign w:val="center"/>
          </w:tcPr>
          <w:p>
            <w:pPr>
              <w:spacing w:line="320" w:lineRule="exact"/>
              <w:jc w:val="center"/>
              <w:rPr>
                <w:sz w:val="24"/>
              </w:rPr>
            </w:pPr>
            <w:r>
              <w:rPr>
                <w:rFonts w:hint="eastAsia"/>
                <w:sz w:val="24"/>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60" w:lineRule="exact"/>
              <w:jc w:val="center"/>
              <w:textAlignment w:val="center"/>
              <w:rPr>
                <w:sz w:val="24"/>
              </w:rPr>
            </w:pPr>
            <w:r>
              <w:rPr>
                <w:kern w:val="0"/>
                <w:sz w:val="24"/>
                <w:lang w:bidi="ar"/>
              </w:rPr>
              <w:t>诸暨</w:t>
            </w:r>
          </w:p>
        </w:tc>
        <w:tc>
          <w:tcPr>
            <w:tcW w:w="1221" w:type="dxa"/>
            <w:noWrap w:val="0"/>
            <w:vAlign w:val="center"/>
          </w:tcPr>
          <w:p>
            <w:pPr>
              <w:spacing w:line="36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continue"/>
            <w:noWrap w:val="0"/>
            <w:vAlign w:val="center"/>
          </w:tcPr>
          <w:p>
            <w:pPr>
              <w:spacing w:line="360" w:lineRule="exact"/>
              <w:jc w:val="center"/>
              <w:rPr>
                <w:sz w:val="24"/>
              </w:rPr>
            </w:pPr>
          </w:p>
        </w:tc>
        <w:tc>
          <w:tcPr>
            <w:tcW w:w="1221" w:type="dxa"/>
            <w:noWrap w:val="0"/>
            <w:vAlign w:val="center"/>
          </w:tcPr>
          <w:p>
            <w:pPr>
              <w:spacing w:line="360" w:lineRule="exact"/>
              <w:jc w:val="center"/>
              <w:textAlignment w:val="center"/>
              <w:rPr>
                <w:sz w:val="24"/>
              </w:rPr>
            </w:pPr>
            <w:r>
              <w:rPr>
                <w:kern w:val="0"/>
                <w:sz w:val="24"/>
                <w:lang w:bidi="ar"/>
              </w:rPr>
              <w:t>国省道</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sz w:val="24"/>
              </w:rPr>
            </w:pPr>
          </w:p>
        </w:tc>
        <w:tc>
          <w:tcPr>
            <w:tcW w:w="825" w:type="dxa"/>
            <w:vMerge w:val="restart"/>
            <w:noWrap w:val="0"/>
            <w:vAlign w:val="center"/>
          </w:tcPr>
          <w:p>
            <w:pPr>
              <w:spacing w:line="360" w:lineRule="exact"/>
              <w:jc w:val="center"/>
              <w:textAlignment w:val="center"/>
              <w:rPr>
                <w:sz w:val="24"/>
              </w:rPr>
            </w:pPr>
            <w:r>
              <w:rPr>
                <w:kern w:val="0"/>
                <w:sz w:val="24"/>
                <w:lang w:bidi="ar"/>
              </w:rPr>
              <w:t>嵊州</w:t>
            </w:r>
          </w:p>
        </w:tc>
        <w:tc>
          <w:tcPr>
            <w:tcW w:w="1221" w:type="dxa"/>
            <w:noWrap w:val="0"/>
            <w:vAlign w:val="center"/>
          </w:tcPr>
          <w:p>
            <w:pPr>
              <w:spacing w:line="36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p>
        </w:tc>
        <w:tc>
          <w:tcPr>
            <w:tcW w:w="975" w:type="dxa"/>
            <w:vMerge w:val="continue"/>
            <w:noWrap w:val="0"/>
            <w:vAlign w:val="center"/>
          </w:tcPr>
          <w:p>
            <w:pPr>
              <w:spacing w:line="320" w:lineRule="exact"/>
              <w:jc w:val="center"/>
              <w:rPr>
                <w:sz w:val="24"/>
              </w:rPr>
            </w:pPr>
          </w:p>
        </w:tc>
        <w:tc>
          <w:tcPr>
            <w:tcW w:w="964" w:type="dxa"/>
            <w:vMerge w:val="continue"/>
            <w:noWrap w:val="0"/>
            <w:vAlign w:val="center"/>
          </w:tcPr>
          <w:p>
            <w:pPr>
              <w:spacing w:line="320" w:lineRule="exact"/>
              <w:jc w:val="center"/>
              <w:rPr>
                <w:sz w:val="24"/>
              </w:rPr>
            </w:pPr>
          </w:p>
        </w:tc>
        <w:tc>
          <w:tcPr>
            <w:tcW w:w="1007" w:type="dxa"/>
            <w:vMerge w:val="continue"/>
            <w:noWrap w:val="0"/>
            <w:vAlign w:val="center"/>
          </w:tcPr>
          <w:p>
            <w:pPr>
              <w:spacing w:line="320" w:lineRule="exact"/>
              <w:jc w:val="center"/>
              <w:rPr>
                <w:sz w:val="24"/>
              </w:rPr>
            </w:pPr>
          </w:p>
        </w:tc>
        <w:tc>
          <w:tcPr>
            <w:tcW w:w="1068"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b/>
                <w:bCs/>
                <w:sz w:val="24"/>
              </w:rPr>
            </w:pPr>
          </w:p>
        </w:tc>
        <w:tc>
          <w:tcPr>
            <w:tcW w:w="825" w:type="dxa"/>
            <w:vMerge w:val="continue"/>
            <w:noWrap w:val="0"/>
            <w:vAlign w:val="center"/>
          </w:tcPr>
          <w:p>
            <w:pPr>
              <w:spacing w:line="360" w:lineRule="exact"/>
              <w:jc w:val="center"/>
              <w:rPr>
                <w:sz w:val="24"/>
              </w:rPr>
            </w:pPr>
          </w:p>
        </w:tc>
        <w:tc>
          <w:tcPr>
            <w:tcW w:w="1221" w:type="dxa"/>
            <w:noWrap w:val="0"/>
            <w:vAlign w:val="center"/>
          </w:tcPr>
          <w:p>
            <w:pPr>
              <w:spacing w:line="360" w:lineRule="exact"/>
              <w:jc w:val="center"/>
              <w:textAlignment w:val="center"/>
              <w:rPr>
                <w:sz w:val="24"/>
              </w:rPr>
            </w:pPr>
            <w:r>
              <w:rPr>
                <w:kern w:val="0"/>
                <w:sz w:val="24"/>
                <w:lang w:bidi="ar"/>
              </w:rPr>
              <w:t>高速公路</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r>
              <w:rPr>
                <w:rFonts w:hint="eastAsia"/>
                <w:sz w:val="24"/>
              </w:rPr>
              <w:t>2</w:t>
            </w:r>
          </w:p>
        </w:tc>
        <w:tc>
          <w:tcPr>
            <w:tcW w:w="825" w:type="dxa"/>
            <w:noWrap w:val="0"/>
            <w:vAlign w:val="center"/>
          </w:tcPr>
          <w:p>
            <w:pPr>
              <w:spacing w:line="320" w:lineRule="exact"/>
              <w:jc w:val="center"/>
              <w:textAlignment w:val="center"/>
              <w:rPr>
                <w:sz w:val="24"/>
              </w:rPr>
            </w:pPr>
          </w:p>
        </w:tc>
        <w:tc>
          <w:tcPr>
            <w:tcW w:w="975" w:type="dxa"/>
            <w:vMerge w:val="continue"/>
            <w:noWrap w:val="0"/>
            <w:vAlign w:val="center"/>
          </w:tcPr>
          <w:p>
            <w:pPr>
              <w:spacing w:line="320" w:lineRule="exact"/>
              <w:jc w:val="center"/>
              <w:rPr>
                <w:b/>
                <w:bCs/>
                <w:sz w:val="24"/>
              </w:rPr>
            </w:pPr>
          </w:p>
        </w:tc>
        <w:tc>
          <w:tcPr>
            <w:tcW w:w="964" w:type="dxa"/>
            <w:vMerge w:val="continue"/>
            <w:noWrap w:val="0"/>
            <w:vAlign w:val="center"/>
          </w:tcPr>
          <w:p>
            <w:pPr>
              <w:spacing w:line="320" w:lineRule="exact"/>
              <w:jc w:val="center"/>
              <w:rPr>
                <w:b/>
                <w:bCs/>
                <w:sz w:val="24"/>
              </w:rPr>
            </w:pPr>
          </w:p>
        </w:tc>
        <w:tc>
          <w:tcPr>
            <w:tcW w:w="1007" w:type="dxa"/>
            <w:vMerge w:val="continue"/>
            <w:noWrap w:val="0"/>
            <w:vAlign w:val="center"/>
          </w:tcPr>
          <w:p>
            <w:pPr>
              <w:spacing w:line="320" w:lineRule="exact"/>
              <w:jc w:val="center"/>
              <w:rPr>
                <w:b/>
                <w:bCs/>
                <w:sz w:val="24"/>
              </w:rPr>
            </w:pPr>
          </w:p>
        </w:tc>
        <w:tc>
          <w:tcPr>
            <w:tcW w:w="1068" w:type="dxa"/>
            <w:vMerge w:val="continue"/>
            <w:noWrap w:val="0"/>
            <w:vAlign w:val="center"/>
          </w:tcPr>
          <w:p>
            <w:pPr>
              <w:spacing w:line="320" w:lineRule="exact"/>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b/>
                <w:bCs/>
                <w:kern w:val="0"/>
                <w:sz w:val="24"/>
                <w:lang w:bidi="ar"/>
              </w:rPr>
            </w:pPr>
          </w:p>
        </w:tc>
        <w:tc>
          <w:tcPr>
            <w:tcW w:w="825" w:type="dxa"/>
            <w:noWrap w:val="0"/>
            <w:vAlign w:val="center"/>
          </w:tcPr>
          <w:p>
            <w:pPr>
              <w:spacing w:line="360" w:lineRule="exact"/>
              <w:jc w:val="center"/>
              <w:textAlignment w:val="center"/>
              <w:rPr>
                <w:sz w:val="24"/>
              </w:rPr>
            </w:pPr>
            <w:r>
              <w:rPr>
                <w:kern w:val="0"/>
                <w:sz w:val="24"/>
                <w:lang w:bidi="ar"/>
              </w:rPr>
              <w:t>新昌</w:t>
            </w:r>
          </w:p>
        </w:tc>
        <w:tc>
          <w:tcPr>
            <w:tcW w:w="1221" w:type="dxa"/>
            <w:noWrap w:val="0"/>
            <w:vAlign w:val="center"/>
          </w:tcPr>
          <w:p>
            <w:pPr>
              <w:spacing w:line="36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rFonts w:hint="eastAsia"/>
                <w:sz w:val="24"/>
              </w:rPr>
              <w:t>1</w:t>
            </w:r>
          </w:p>
        </w:tc>
        <w:tc>
          <w:tcPr>
            <w:tcW w:w="975" w:type="dxa"/>
            <w:vMerge w:val="continue"/>
            <w:noWrap w:val="0"/>
            <w:vAlign w:val="center"/>
          </w:tcPr>
          <w:p>
            <w:pPr>
              <w:spacing w:line="320" w:lineRule="exact"/>
              <w:jc w:val="center"/>
              <w:rPr>
                <w:b/>
                <w:bCs/>
                <w:kern w:val="0"/>
                <w:sz w:val="24"/>
                <w:lang w:bidi="ar"/>
              </w:rPr>
            </w:pPr>
          </w:p>
        </w:tc>
        <w:tc>
          <w:tcPr>
            <w:tcW w:w="964" w:type="dxa"/>
            <w:vMerge w:val="continue"/>
            <w:noWrap w:val="0"/>
            <w:vAlign w:val="center"/>
          </w:tcPr>
          <w:p>
            <w:pPr>
              <w:spacing w:line="320" w:lineRule="exact"/>
              <w:jc w:val="center"/>
              <w:rPr>
                <w:b/>
                <w:bCs/>
                <w:kern w:val="0"/>
                <w:sz w:val="24"/>
                <w:lang w:bidi="ar"/>
              </w:rPr>
            </w:pPr>
          </w:p>
        </w:tc>
        <w:tc>
          <w:tcPr>
            <w:tcW w:w="1007" w:type="dxa"/>
            <w:vMerge w:val="continue"/>
            <w:noWrap w:val="0"/>
            <w:vAlign w:val="center"/>
          </w:tcPr>
          <w:p>
            <w:pPr>
              <w:spacing w:line="320" w:lineRule="exact"/>
              <w:jc w:val="center"/>
              <w:rPr>
                <w:b/>
                <w:bCs/>
                <w:kern w:val="0"/>
                <w:sz w:val="24"/>
                <w:lang w:bidi="ar"/>
              </w:rPr>
            </w:pPr>
          </w:p>
        </w:tc>
        <w:tc>
          <w:tcPr>
            <w:tcW w:w="1068" w:type="dxa"/>
            <w:vMerge w:val="continue"/>
            <w:noWrap w:val="0"/>
            <w:vAlign w:val="center"/>
          </w:tcPr>
          <w:p>
            <w:pPr>
              <w:spacing w:line="320" w:lineRule="exact"/>
              <w:jc w:val="center"/>
              <w:rPr>
                <w:b/>
                <w:bCs/>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pPr>
              <w:spacing w:line="320" w:lineRule="exact"/>
              <w:jc w:val="center"/>
              <w:rPr>
                <w:b/>
                <w:bCs/>
                <w:kern w:val="0"/>
                <w:sz w:val="24"/>
                <w:lang w:bidi="ar"/>
              </w:rPr>
            </w:pPr>
          </w:p>
        </w:tc>
        <w:tc>
          <w:tcPr>
            <w:tcW w:w="825" w:type="dxa"/>
            <w:noWrap w:val="0"/>
            <w:vAlign w:val="center"/>
          </w:tcPr>
          <w:p>
            <w:pPr>
              <w:spacing w:line="360" w:lineRule="exact"/>
              <w:jc w:val="center"/>
              <w:textAlignment w:val="center"/>
              <w:rPr>
                <w:sz w:val="24"/>
              </w:rPr>
            </w:pPr>
            <w:r>
              <w:rPr>
                <w:kern w:val="0"/>
                <w:sz w:val="24"/>
                <w:lang w:bidi="ar"/>
              </w:rPr>
              <w:t>滨海新区</w:t>
            </w:r>
          </w:p>
        </w:tc>
        <w:tc>
          <w:tcPr>
            <w:tcW w:w="1221" w:type="dxa"/>
            <w:noWrap w:val="0"/>
            <w:vAlign w:val="center"/>
          </w:tcPr>
          <w:p>
            <w:pPr>
              <w:spacing w:line="360" w:lineRule="exact"/>
              <w:jc w:val="center"/>
              <w:textAlignment w:val="center"/>
              <w:rPr>
                <w:sz w:val="24"/>
              </w:rPr>
            </w:pPr>
            <w:r>
              <w:rPr>
                <w:kern w:val="0"/>
                <w:sz w:val="24"/>
                <w:lang w:bidi="ar"/>
              </w:rPr>
              <w:t>城镇</w:t>
            </w:r>
          </w:p>
        </w:tc>
        <w:tc>
          <w:tcPr>
            <w:tcW w:w="922" w:type="dxa"/>
            <w:noWrap w:val="0"/>
            <w:vAlign w:val="center"/>
          </w:tcPr>
          <w:p>
            <w:pPr>
              <w:spacing w:line="320" w:lineRule="exact"/>
              <w:jc w:val="center"/>
              <w:rPr>
                <w:sz w:val="24"/>
              </w:rPr>
            </w:pPr>
          </w:p>
        </w:tc>
        <w:tc>
          <w:tcPr>
            <w:tcW w:w="825" w:type="dxa"/>
            <w:noWrap w:val="0"/>
            <w:vAlign w:val="center"/>
          </w:tcPr>
          <w:p>
            <w:pPr>
              <w:spacing w:line="320" w:lineRule="exact"/>
              <w:jc w:val="center"/>
              <w:textAlignment w:val="center"/>
              <w:rPr>
                <w:sz w:val="24"/>
              </w:rPr>
            </w:pPr>
            <w:r>
              <w:rPr>
                <w:kern w:val="0"/>
                <w:sz w:val="24"/>
                <w:lang w:bidi="ar"/>
              </w:rPr>
              <w:t>1</w:t>
            </w:r>
          </w:p>
        </w:tc>
        <w:tc>
          <w:tcPr>
            <w:tcW w:w="825" w:type="dxa"/>
            <w:noWrap w:val="0"/>
            <w:vAlign w:val="center"/>
          </w:tcPr>
          <w:p>
            <w:pPr>
              <w:spacing w:line="320" w:lineRule="exact"/>
              <w:jc w:val="center"/>
              <w:rPr>
                <w:sz w:val="24"/>
              </w:rPr>
            </w:pPr>
          </w:p>
        </w:tc>
        <w:tc>
          <w:tcPr>
            <w:tcW w:w="975" w:type="dxa"/>
            <w:vMerge w:val="continue"/>
            <w:noWrap w:val="0"/>
            <w:vAlign w:val="center"/>
          </w:tcPr>
          <w:p>
            <w:pPr>
              <w:spacing w:line="320" w:lineRule="exact"/>
              <w:jc w:val="center"/>
              <w:rPr>
                <w:b/>
                <w:bCs/>
                <w:kern w:val="0"/>
                <w:sz w:val="24"/>
                <w:lang w:bidi="ar"/>
              </w:rPr>
            </w:pPr>
          </w:p>
        </w:tc>
        <w:tc>
          <w:tcPr>
            <w:tcW w:w="964" w:type="dxa"/>
            <w:vMerge w:val="continue"/>
            <w:noWrap w:val="0"/>
            <w:vAlign w:val="center"/>
          </w:tcPr>
          <w:p>
            <w:pPr>
              <w:spacing w:line="320" w:lineRule="exact"/>
              <w:jc w:val="center"/>
              <w:rPr>
                <w:b/>
                <w:bCs/>
                <w:kern w:val="0"/>
                <w:sz w:val="24"/>
                <w:lang w:bidi="ar"/>
              </w:rPr>
            </w:pPr>
          </w:p>
        </w:tc>
        <w:tc>
          <w:tcPr>
            <w:tcW w:w="1007" w:type="dxa"/>
            <w:vMerge w:val="continue"/>
            <w:noWrap w:val="0"/>
            <w:vAlign w:val="center"/>
          </w:tcPr>
          <w:p>
            <w:pPr>
              <w:spacing w:line="320" w:lineRule="exact"/>
              <w:jc w:val="center"/>
              <w:rPr>
                <w:b/>
                <w:bCs/>
                <w:kern w:val="0"/>
                <w:sz w:val="24"/>
                <w:lang w:bidi="ar"/>
              </w:rPr>
            </w:pPr>
          </w:p>
        </w:tc>
        <w:tc>
          <w:tcPr>
            <w:tcW w:w="1068" w:type="dxa"/>
            <w:vMerge w:val="continue"/>
            <w:noWrap w:val="0"/>
            <w:vAlign w:val="center"/>
          </w:tcPr>
          <w:p>
            <w:pPr>
              <w:spacing w:line="320" w:lineRule="exact"/>
              <w:jc w:val="center"/>
              <w:rPr>
                <w:b/>
                <w:bCs/>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7" w:type="dxa"/>
            <w:gridSpan w:val="6"/>
            <w:noWrap w:val="0"/>
            <w:vAlign w:val="center"/>
          </w:tcPr>
          <w:p>
            <w:pPr>
              <w:spacing w:line="320" w:lineRule="exact"/>
              <w:jc w:val="center"/>
              <w:textAlignment w:val="center"/>
              <w:rPr>
                <w:b/>
                <w:bCs/>
                <w:kern w:val="0"/>
                <w:sz w:val="24"/>
                <w:lang w:bidi="ar"/>
              </w:rPr>
            </w:pPr>
            <w:r>
              <w:rPr>
                <w:b/>
                <w:bCs/>
                <w:kern w:val="0"/>
                <w:sz w:val="24"/>
                <w:lang w:bidi="ar"/>
              </w:rPr>
              <w:t>总计</w:t>
            </w:r>
          </w:p>
        </w:tc>
        <w:tc>
          <w:tcPr>
            <w:tcW w:w="975" w:type="dxa"/>
            <w:noWrap w:val="0"/>
            <w:vAlign w:val="center"/>
          </w:tcPr>
          <w:p>
            <w:pPr>
              <w:spacing w:line="320" w:lineRule="exact"/>
              <w:jc w:val="center"/>
              <w:textAlignment w:val="center"/>
              <w:rPr>
                <w:b/>
                <w:bCs/>
                <w:kern w:val="0"/>
                <w:sz w:val="24"/>
                <w:lang w:bidi="ar"/>
              </w:rPr>
            </w:pPr>
            <w:r>
              <w:rPr>
                <w:b/>
                <w:bCs/>
                <w:kern w:val="0"/>
                <w:sz w:val="24"/>
                <w:lang w:bidi="ar"/>
              </w:rPr>
              <w:t>26</w:t>
            </w:r>
          </w:p>
        </w:tc>
        <w:tc>
          <w:tcPr>
            <w:tcW w:w="964" w:type="dxa"/>
            <w:noWrap w:val="0"/>
            <w:vAlign w:val="center"/>
          </w:tcPr>
          <w:p>
            <w:pPr>
              <w:spacing w:line="320" w:lineRule="exact"/>
              <w:jc w:val="center"/>
              <w:textAlignment w:val="center"/>
              <w:rPr>
                <w:b/>
                <w:bCs/>
                <w:kern w:val="0"/>
                <w:sz w:val="24"/>
                <w:lang w:bidi="ar"/>
              </w:rPr>
            </w:pPr>
            <w:r>
              <w:rPr>
                <w:b/>
                <w:bCs/>
                <w:kern w:val="0"/>
                <w:sz w:val="24"/>
                <w:lang w:bidi="ar"/>
              </w:rPr>
              <w:t>2</w:t>
            </w:r>
            <w:r>
              <w:rPr>
                <w:rFonts w:hint="eastAsia"/>
                <w:b/>
                <w:bCs/>
                <w:kern w:val="0"/>
                <w:sz w:val="24"/>
                <w:lang w:bidi="ar"/>
              </w:rPr>
              <w:t>4</w:t>
            </w:r>
          </w:p>
        </w:tc>
        <w:tc>
          <w:tcPr>
            <w:tcW w:w="1007" w:type="dxa"/>
            <w:noWrap w:val="0"/>
            <w:vAlign w:val="center"/>
          </w:tcPr>
          <w:p>
            <w:pPr>
              <w:spacing w:line="320" w:lineRule="exact"/>
              <w:jc w:val="center"/>
              <w:textAlignment w:val="center"/>
              <w:rPr>
                <w:b/>
                <w:bCs/>
                <w:kern w:val="0"/>
                <w:sz w:val="24"/>
                <w:lang w:bidi="ar"/>
              </w:rPr>
            </w:pPr>
            <w:r>
              <w:rPr>
                <w:rFonts w:hint="eastAsia"/>
                <w:b/>
                <w:bCs/>
                <w:kern w:val="0"/>
                <w:sz w:val="24"/>
                <w:lang w:bidi="ar"/>
              </w:rPr>
              <w:t>50</w:t>
            </w:r>
          </w:p>
        </w:tc>
        <w:tc>
          <w:tcPr>
            <w:tcW w:w="1068" w:type="dxa"/>
            <w:noWrap w:val="0"/>
            <w:vAlign w:val="center"/>
          </w:tcPr>
          <w:p>
            <w:pPr>
              <w:spacing w:line="320" w:lineRule="exact"/>
              <w:jc w:val="center"/>
              <w:textAlignment w:val="center"/>
              <w:rPr>
                <w:b/>
                <w:bCs/>
                <w:kern w:val="0"/>
                <w:sz w:val="24"/>
                <w:lang w:bidi="ar"/>
              </w:rPr>
            </w:pPr>
            <w:r>
              <w:rPr>
                <w:b/>
                <w:bCs/>
                <w:kern w:val="0"/>
                <w:sz w:val="24"/>
                <w:lang w:bidi="ar"/>
              </w:rPr>
              <w:t>8</w:t>
            </w:r>
            <w:r>
              <w:rPr>
                <w:rFonts w:hint="eastAsia"/>
                <w:b/>
                <w:bCs/>
                <w:kern w:val="0"/>
                <w:sz w:val="24"/>
                <w:lang w:bidi="ar"/>
              </w:rPr>
              <w:t>9</w:t>
            </w:r>
          </w:p>
        </w:tc>
      </w:tr>
    </w:tbl>
    <w:p>
      <w:pPr>
        <w:pStyle w:val="7"/>
        <w:snapToGrid w:val="0"/>
        <w:spacing w:line="320" w:lineRule="exact"/>
        <w:rPr>
          <w:rFonts w:ascii="Times New Roman" w:hAnsi="Times New Roman" w:cs="Times New Roman"/>
          <w:lang w:eastAsia="zh-CN"/>
        </w:rPr>
      </w:pPr>
      <w:r>
        <w:rPr>
          <w:rFonts w:hint="eastAsia"/>
          <w:lang w:eastAsia="zh-CN"/>
        </w:rPr>
        <w:t>注：</w:t>
      </w:r>
      <w:r>
        <w:rPr>
          <w:rFonts w:ascii="Times New Roman" w:hAnsi="Times New Roman" w:cs="Times New Roman"/>
          <w:lang w:eastAsia="zh-CN"/>
        </w:rPr>
        <w:t>1.</w:t>
      </w:r>
      <w:r>
        <w:rPr>
          <w:rFonts w:ascii="Times New Roman" w:hAnsi="Times New Roman" w:cs="Times New Roman"/>
        </w:rPr>
        <w:t>城镇</w:t>
      </w:r>
      <w:r>
        <w:rPr>
          <w:rFonts w:ascii="Times New Roman" w:hAnsi="Times New Roman" w:cs="Times New Roman"/>
          <w:lang w:eastAsia="zh-CN"/>
        </w:rPr>
        <w:t>：</w:t>
      </w:r>
      <w:r>
        <w:rPr>
          <w:rFonts w:ascii="Times New Roman" w:hAnsi="Times New Roman" w:cs="Times New Roman"/>
        </w:rPr>
        <w:t>以城市公共交通为主、物流运输的需求为辅</w:t>
      </w:r>
      <w:r>
        <w:rPr>
          <w:rFonts w:ascii="Times New Roman" w:hAnsi="Times New Roman" w:cs="Times New Roman"/>
          <w:lang w:eastAsia="zh-CN"/>
        </w:rPr>
        <w:t>。</w:t>
      </w:r>
    </w:p>
    <w:p>
      <w:pPr>
        <w:pStyle w:val="7"/>
        <w:snapToGrid w:val="0"/>
        <w:spacing w:line="320" w:lineRule="exact"/>
        <w:ind w:firstLine="390" w:firstLineChars="200"/>
        <w:rPr>
          <w:rFonts w:ascii="Times New Roman" w:hAnsi="Times New Roman" w:cs="Times New Roman"/>
          <w:lang w:eastAsia="zh-CN"/>
        </w:rPr>
      </w:pPr>
      <w:r>
        <w:rPr>
          <w:rFonts w:ascii="Times New Roman" w:hAnsi="Times New Roman" w:cs="Times New Roman"/>
          <w:lang w:eastAsia="zh-CN"/>
        </w:rPr>
        <w:t>2.</w:t>
      </w:r>
      <w:r>
        <w:rPr>
          <w:rFonts w:ascii="Times New Roman" w:hAnsi="Times New Roman" w:cs="Times New Roman"/>
        </w:rPr>
        <w:t>国省道（含县乡道）</w:t>
      </w:r>
      <w:r>
        <w:rPr>
          <w:rFonts w:ascii="Times New Roman" w:hAnsi="Times New Roman" w:cs="Times New Roman"/>
          <w:lang w:eastAsia="zh-CN"/>
        </w:rPr>
        <w:t>：</w:t>
      </w:r>
      <w:r>
        <w:rPr>
          <w:rFonts w:ascii="Times New Roman" w:hAnsi="Times New Roman" w:cs="Times New Roman"/>
        </w:rPr>
        <w:t>兼顾城乡公共交通和物流运输的需求</w:t>
      </w:r>
      <w:r>
        <w:rPr>
          <w:rFonts w:ascii="Times New Roman" w:hAnsi="Times New Roman" w:cs="Times New Roman"/>
          <w:lang w:eastAsia="zh-CN"/>
        </w:rPr>
        <w:t>。</w:t>
      </w:r>
    </w:p>
    <w:p>
      <w:pPr>
        <w:pStyle w:val="7"/>
        <w:snapToGrid w:val="0"/>
        <w:spacing w:line="320" w:lineRule="exact"/>
        <w:ind w:firstLine="390" w:firstLineChars="200"/>
        <w:rPr>
          <w:rFonts w:ascii="Times New Roman" w:hAnsi="Times New Roman" w:cs="Times New Roman"/>
          <w:lang w:eastAsia="zh-CN"/>
        </w:rPr>
      </w:pPr>
      <w:r>
        <w:rPr>
          <w:rFonts w:ascii="Times New Roman" w:hAnsi="Times New Roman" w:cs="Times New Roman"/>
          <w:lang w:eastAsia="zh-CN"/>
        </w:rPr>
        <w:t>3.</w:t>
      </w:r>
      <w:r>
        <w:rPr>
          <w:rFonts w:ascii="Times New Roman" w:hAnsi="Times New Roman" w:cs="Times New Roman"/>
        </w:rPr>
        <w:t>产业园区</w:t>
      </w:r>
      <w:r>
        <w:rPr>
          <w:rFonts w:ascii="Times New Roman" w:hAnsi="Times New Roman" w:cs="Times New Roman"/>
          <w:lang w:eastAsia="zh-CN"/>
        </w:rPr>
        <w:t>：</w:t>
      </w:r>
      <w:r>
        <w:rPr>
          <w:rFonts w:ascii="Times New Roman" w:hAnsi="Times New Roman" w:cs="Times New Roman"/>
        </w:rPr>
        <w:t>兼顾氢源和物流运输的需求</w:t>
      </w:r>
      <w:r>
        <w:rPr>
          <w:rFonts w:ascii="Times New Roman" w:hAnsi="Times New Roman" w:cs="Times New Roman"/>
          <w:lang w:eastAsia="zh-CN"/>
        </w:rPr>
        <w:t>。</w:t>
      </w:r>
    </w:p>
    <w:p>
      <w:pPr>
        <w:pStyle w:val="7"/>
        <w:snapToGrid w:val="0"/>
        <w:spacing w:line="320" w:lineRule="exact"/>
        <w:ind w:firstLine="390" w:firstLineChars="200"/>
        <w:rPr>
          <w:lang w:eastAsia="zh-CN"/>
        </w:rPr>
      </w:pPr>
      <w:r>
        <w:rPr>
          <w:rFonts w:ascii="Times New Roman" w:hAnsi="Times New Roman" w:cs="Times New Roman"/>
          <w:lang w:eastAsia="zh-CN"/>
        </w:rPr>
        <w:t>4.</w:t>
      </w:r>
      <w:r>
        <w:rPr>
          <w:rFonts w:ascii="Times New Roman" w:hAnsi="Times New Roman" w:cs="Times New Roman"/>
        </w:rPr>
        <w:t>高</w:t>
      </w:r>
      <w:r>
        <w:rPr>
          <w:rFonts w:hint="eastAsia"/>
        </w:rPr>
        <w:t>速公路</w:t>
      </w:r>
      <w:r>
        <w:rPr>
          <w:rFonts w:hint="eastAsia"/>
          <w:lang w:eastAsia="zh-CN"/>
        </w:rPr>
        <w:t>：</w:t>
      </w:r>
      <w:r>
        <w:rPr>
          <w:rFonts w:hint="eastAsia"/>
        </w:rPr>
        <w:t>兼顾城乡公共交通、城际公共交通、省际公共交通和物流运输的需求</w:t>
      </w:r>
      <w:r>
        <w:rPr>
          <w:rFonts w:hint="eastAsia"/>
          <w:lang w:eastAsia="zh-CN"/>
        </w:rPr>
        <w:t>。</w:t>
      </w:r>
    </w:p>
    <w:p>
      <w:pPr>
        <w:spacing w:line="599" w:lineRule="exact"/>
        <w:ind w:firstLine="630" w:firstLineChars="200"/>
        <w:outlineLvl w:val="1"/>
        <w:rPr>
          <w:rFonts w:eastAsia="楷体_GB2312"/>
          <w:szCs w:val="32"/>
        </w:rPr>
      </w:pPr>
      <w:bookmarkStart w:id="58" w:name="_Toc9119"/>
      <w:r>
        <w:rPr>
          <w:rFonts w:ascii="Times New Roman" w:hAnsi="Times New Roman" w:eastAsia="楷体_GB2312" w:cs="Times New Roman"/>
          <w:b/>
          <w:bCs/>
          <w:szCs w:val="32"/>
        </w:rPr>
        <w:t>（二）</w:t>
      </w:r>
      <w:r>
        <w:rPr>
          <w:rFonts w:ascii="Times New Roman" w:hAnsi="Times New Roman" w:eastAsia="楷体_GB2312" w:cs="Times New Roman"/>
          <w:b/>
          <w:bCs/>
          <w:color w:val="0C0C0C"/>
          <w:szCs w:val="32"/>
        </w:rPr>
        <w:t>义甬舟氢能</w:t>
      </w:r>
      <w:r>
        <w:rPr>
          <w:rFonts w:hint="default" w:ascii="Times New Roman" w:hAnsi="Times New Roman" w:eastAsia="楷体_GB2312" w:cs="Times New Roman"/>
          <w:b/>
          <w:bCs/>
          <w:color w:val="0C0C0C"/>
          <w:szCs w:val="32"/>
        </w:rPr>
        <w:t>产业</w:t>
      </w:r>
      <w:r>
        <w:rPr>
          <w:rFonts w:ascii="Times New Roman" w:hAnsi="Times New Roman" w:eastAsia="楷体_GB2312" w:cs="Times New Roman"/>
          <w:b/>
          <w:bCs/>
          <w:color w:val="0C0C0C"/>
          <w:szCs w:val="32"/>
        </w:rPr>
        <w:t>联动发展区</w:t>
      </w:r>
      <w:bookmarkEnd w:id="57"/>
      <w:bookmarkEnd w:id="58"/>
    </w:p>
    <w:p>
      <w:pPr>
        <w:pStyle w:val="8"/>
        <w:spacing w:beforeAutospacing="0" w:afterAutospacing="0" w:line="599" w:lineRule="exact"/>
        <w:ind w:firstLine="686" w:firstLineChars="200"/>
        <w:jc w:val="both"/>
        <w:rPr>
          <w:spacing w:val="8"/>
          <w:sz w:val="32"/>
          <w:szCs w:val="32"/>
          <w:shd w:val="clear" w:color="auto" w:fill="FFFFFF"/>
        </w:rPr>
      </w:pPr>
      <w:r>
        <w:rPr>
          <w:spacing w:val="8"/>
          <w:sz w:val="32"/>
          <w:szCs w:val="32"/>
          <w:shd w:val="clear" w:color="auto" w:fill="FFFFFF"/>
        </w:rPr>
        <w:t>依托宁波石化经济技术开发区、大榭开发区，强化工业副产氢资源优势，构建</w:t>
      </w:r>
      <w:r>
        <w:rPr>
          <w:rFonts w:hint="eastAsia"/>
          <w:spacing w:val="8"/>
          <w:sz w:val="32"/>
          <w:szCs w:val="32"/>
          <w:shd w:val="clear" w:color="auto" w:fill="FFFFFF"/>
        </w:rPr>
        <w:t>覆盖金华、宁波、舟山</w:t>
      </w:r>
      <w:r>
        <w:rPr>
          <w:spacing w:val="8"/>
          <w:sz w:val="32"/>
          <w:szCs w:val="32"/>
          <w:shd w:val="clear" w:color="auto" w:fill="FFFFFF"/>
        </w:rPr>
        <w:t>等节点城市的</w:t>
      </w:r>
      <w:r>
        <w:rPr>
          <w:rFonts w:hint="eastAsia"/>
          <w:spacing w:val="8"/>
          <w:sz w:val="32"/>
          <w:szCs w:val="32"/>
          <w:shd w:val="clear" w:color="auto" w:fill="FFFFFF"/>
        </w:rPr>
        <w:t>加氢网络。</w:t>
      </w:r>
      <w:r>
        <w:rPr>
          <w:sz w:val="32"/>
          <w:szCs w:val="32"/>
          <w:shd w:val="clear" w:color="auto" w:fill="FFFFFF"/>
        </w:rPr>
        <w:t>到2025年，建设义甬舟</w:t>
      </w:r>
      <w:r>
        <w:rPr>
          <w:rFonts w:hint="eastAsia"/>
          <w:sz w:val="32"/>
          <w:szCs w:val="32"/>
          <w:shd w:val="clear" w:color="auto" w:fill="FFFFFF"/>
        </w:rPr>
        <w:t>氢能产业</w:t>
      </w:r>
      <w:r>
        <w:rPr>
          <w:sz w:val="32"/>
          <w:szCs w:val="32"/>
          <w:shd w:val="clear" w:color="auto" w:fill="FFFFFF"/>
        </w:rPr>
        <w:t>联动发展区加氢站17座以上</w:t>
      </w:r>
      <w:r>
        <w:rPr>
          <w:rFonts w:hint="eastAsia"/>
          <w:sz w:val="32"/>
          <w:szCs w:val="32"/>
          <w:shd w:val="clear" w:color="auto" w:fill="FFFFFF"/>
        </w:rPr>
        <w:t>、</w:t>
      </w:r>
      <w:r>
        <w:rPr>
          <w:sz w:val="32"/>
          <w:szCs w:val="32"/>
          <w:shd w:val="clear" w:color="auto" w:fill="FFFFFF"/>
        </w:rPr>
        <w:t>日加氢能力合计1</w:t>
      </w:r>
      <w:r>
        <w:rPr>
          <w:rFonts w:hint="eastAsia"/>
          <w:sz w:val="32"/>
          <w:szCs w:val="32"/>
          <w:shd w:val="clear" w:color="auto" w:fill="FFFFFF"/>
        </w:rPr>
        <w:t>3</w:t>
      </w:r>
      <w:r>
        <w:rPr>
          <w:sz w:val="32"/>
          <w:szCs w:val="32"/>
          <w:shd w:val="clear" w:color="auto" w:fill="FFFFFF"/>
        </w:rPr>
        <w:t>吨以上</w:t>
      </w:r>
      <w:r>
        <w:rPr>
          <w:rFonts w:hint="eastAsia"/>
          <w:sz w:val="32"/>
          <w:szCs w:val="32"/>
          <w:shd w:val="clear" w:color="auto" w:fill="FFFFFF"/>
        </w:rPr>
        <w:t>；</w:t>
      </w:r>
      <w:r>
        <w:rPr>
          <w:spacing w:val="8"/>
          <w:sz w:val="32"/>
          <w:szCs w:val="32"/>
          <w:shd w:val="clear" w:color="auto" w:fill="FFFFFF"/>
        </w:rPr>
        <w:t>建设舟山可再生能源制氢基地</w:t>
      </w:r>
      <w:r>
        <w:rPr>
          <w:rFonts w:hint="eastAsia"/>
          <w:spacing w:val="8"/>
          <w:sz w:val="32"/>
          <w:szCs w:val="32"/>
          <w:shd w:val="clear" w:color="auto" w:fill="FFFFFF"/>
        </w:rPr>
        <w:t>，推进义乌—宁波舟山港等物流运输通道重型卡车氢能应</w:t>
      </w:r>
      <w:r>
        <w:rPr>
          <w:spacing w:val="8"/>
          <w:sz w:val="32"/>
          <w:szCs w:val="32"/>
          <w:shd w:val="clear" w:color="auto" w:fill="FFFFFF"/>
        </w:rPr>
        <w:t>用</w:t>
      </w:r>
      <w:r>
        <w:rPr>
          <w:sz w:val="32"/>
          <w:szCs w:val="32"/>
          <w:shd w:val="clear" w:color="auto" w:fill="FFFFFF"/>
        </w:rPr>
        <w:t>。</w:t>
      </w:r>
      <w:r>
        <w:rPr>
          <w:spacing w:val="8"/>
          <w:sz w:val="32"/>
          <w:szCs w:val="32"/>
          <w:shd w:val="clear" w:color="auto" w:fill="FFFFFF"/>
        </w:rPr>
        <w:t>到2030年，</w:t>
      </w:r>
      <w:r>
        <w:rPr>
          <w:rFonts w:hint="eastAsia"/>
          <w:spacing w:val="8"/>
          <w:sz w:val="32"/>
          <w:szCs w:val="32"/>
          <w:shd w:val="clear" w:color="auto" w:fill="FFFFFF"/>
        </w:rPr>
        <w:t>加氢技术取得突破，</w:t>
      </w:r>
      <w:r>
        <w:rPr>
          <w:spacing w:val="8"/>
          <w:sz w:val="32"/>
          <w:szCs w:val="32"/>
          <w:shd w:val="clear" w:color="auto" w:fill="FFFFFF"/>
        </w:rPr>
        <w:t>探索</w:t>
      </w:r>
      <w:r>
        <w:rPr>
          <w:rFonts w:hint="eastAsia" w:ascii="仿宋_GB2312" w:hAnsi="仿宋_GB2312" w:cs="仿宋_GB2312"/>
          <w:sz w:val="32"/>
          <w:szCs w:val="32"/>
        </w:rPr>
        <w:t>“风光氢储加”</w:t>
      </w:r>
      <w:r>
        <w:rPr>
          <w:sz w:val="32"/>
          <w:szCs w:val="32"/>
        </w:rPr>
        <w:t>一体化加氢模式</w:t>
      </w:r>
      <w:r>
        <w:rPr>
          <w:spacing w:val="8"/>
          <w:sz w:val="32"/>
          <w:szCs w:val="32"/>
          <w:shd w:val="clear" w:color="auto" w:fill="FFFFFF"/>
        </w:rPr>
        <w:t>，建设氢燃料</w:t>
      </w:r>
      <w:r>
        <w:rPr>
          <w:rFonts w:hint="eastAsia"/>
          <w:spacing w:val="8"/>
          <w:sz w:val="32"/>
          <w:szCs w:val="32"/>
          <w:shd w:val="clear" w:color="auto" w:fill="FFFFFF"/>
        </w:rPr>
        <w:t>电池动力</w:t>
      </w:r>
      <w:r>
        <w:rPr>
          <w:spacing w:val="8"/>
          <w:sz w:val="32"/>
          <w:szCs w:val="32"/>
          <w:shd w:val="clear" w:color="auto" w:fill="FFFFFF"/>
        </w:rPr>
        <w:t>船舶加氢站。详见表3-2。</w:t>
      </w:r>
    </w:p>
    <w:p>
      <w:pPr>
        <w:pStyle w:val="4"/>
        <w:spacing w:after="0" w:line="579" w:lineRule="exact"/>
        <w:jc w:val="center"/>
        <w:rPr>
          <w:rFonts w:eastAsia="黑体"/>
          <w:color w:val="0C0C0C"/>
          <w:sz w:val="28"/>
          <w:szCs w:val="28"/>
        </w:rPr>
      </w:pPr>
      <w:r>
        <w:rPr>
          <w:rFonts w:eastAsia="黑体"/>
          <w:color w:val="0C0C0C"/>
          <w:sz w:val="28"/>
          <w:szCs w:val="28"/>
        </w:rPr>
        <w:t>表3-2义甬舟氢能联动发展区站点布局表</w:t>
      </w:r>
    </w:p>
    <w:tbl>
      <w:tblPr>
        <w:tblStyle w:val="9"/>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921"/>
        <w:gridCol w:w="1232"/>
        <w:gridCol w:w="943"/>
        <w:gridCol w:w="900"/>
        <w:gridCol w:w="900"/>
        <w:gridCol w:w="1029"/>
        <w:gridCol w:w="1060"/>
        <w:gridCol w:w="75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75" w:type="dxa"/>
            <w:vMerge w:val="restart"/>
            <w:noWrap w:val="0"/>
            <w:vAlign w:val="center"/>
          </w:tcPr>
          <w:p>
            <w:pPr>
              <w:spacing w:line="320" w:lineRule="exact"/>
              <w:jc w:val="center"/>
              <w:textAlignment w:val="center"/>
              <w:rPr>
                <w:rFonts w:eastAsia="黑体"/>
                <w:sz w:val="24"/>
              </w:rPr>
            </w:pPr>
            <w:bookmarkStart w:id="59" w:name="_Toc28528"/>
            <w:bookmarkStart w:id="60" w:name="_Toc11472"/>
            <w:r>
              <w:rPr>
                <w:rFonts w:eastAsia="黑体"/>
                <w:sz w:val="24"/>
                <w:lang w:bidi="ar"/>
              </w:rPr>
              <w:t>地区</w:t>
            </w:r>
          </w:p>
        </w:tc>
        <w:tc>
          <w:tcPr>
            <w:tcW w:w="921" w:type="dxa"/>
            <w:vMerge w:val="restart"/>
            <w:noWrap w:val="0"/>
            <w:vAlign w:val="center"/>
          </w:tcPr>
          <w:p>
            <w:pPr>
              <w:spacing w:line="320" w:lineRule="exact"/>
              <w:jc w:val="center"/>
              <w:textAlignment w:val="center"/>
              <w:rPr>
                <w:rFonts w:eastAsia="黑体"/>
                <w:sz w:val="24"/>
              </w:rPr>
            </w:pPr>
            <w:r>
              <w:rPr>
                <w:rFonts w:eastAsia="黑体"/>
                <w:sz w:val="24"/>
                <w:lang w:bidi="ar"/>
              </w:rPr>
              <w:t>区县</w:t>
            </w:r>
          </w:p>
        </w:tc>
        <w:tc>
          <w:tcPr>
            <w:tcW w:w="1232" w:type="dxa"/>
            <w:vMerge w:val="restart"/>
            <w:noWrap w:val="0"/>
            <w:vAlign w:val="center"/>
          </w:tcPr>
          <w:p>
            <w:pPr>
              <w:spacing w:line="320" w:lineRule="exact"/>
              <w:jc w:val="center"/>
              <w:textAlignment w:val="center"/>
              <w:rPr>
                <w:rFonts w:eastAsia="黑体"/>
                <w:sz w:val="24"/>
              </w:rPr>
            </w:pPr>
            <w:r>
              <w:rPr>
                <w:rFonts w:eastAsia="黑体"/>
                <w:sz w:val="24"/>
                <w:lang w:bidi="ar"/>
              </w:rPr>
              <w:t>布点类型</w:t>
            </w:r>
          </w:p>
        </w:tc>
        <w:tc>
          <w:tcPr>
            <w:tcW w:w="2743" w:type="dxa"/>
            <w:gridSpan w:val="3"/>
            <w:noWrap w:val="0"/>
            <w:vAlign w:val="center"/>
          </w:tcPr>
          <w:p>
            <w:pPr>
              <w:spacing w:line="320" w:lineRule="exact"/>
              <w:jc w:val="center"/>
              <w:textAlignment w:val="center"/>
              <w:rPr>
                <w:rFonts w:eastAsia="黑体"/>
                <w:sz w:val="24"/>
              </w:rPr>
            </w:pPr>
            <w:r>
              <w:rPr>
                <w:rFonts w:eastAsia="黑体"/>
                <w:sz w:val="24"/>
                <w:lang w:bidi="ar"/>
              </w:rPr>
              <w:t>站点数量</w:t>
            </w:r>
          </w:p>
        </w:tc>
        <w:tc>
          <w:tcPr>
            <w:tcW w:w="1029" w:type="dxa"/>
            <w:vMerge w:val="restart"/>
            <w:noWrap w:val="0"/>
            <w:vAlign w:val="center"/>
          </w:tcPr>
          <w:p>
            <w:pPr>
              <w:spacing w:line="320" w:lineRule="exact"/>
              <w:jc w:val="center"/>
              <w:textAlignment w:val="center"/>
              <w:rPr>
                <w:rFonts w:eastAsia="黑体"/>
                <w:sz w:val="24"/>
              </w:rPr>
            </w:pPr>
            <w:r>
              <w:rPr>
                <w:rFonts w:eastAsia="黑体"/>
                <w:sz w:val="24"/>
                <w:lang w:bidi="ar"/>
              </w:rPr>
              <w:t>“十四五”实施类站点总数</w:t>
            </w:r>
          </w:p>
        </w:tc>
        <w:tc>
          <w:tcPr>
            <w:tcW w:w="1060" w:type="dxa"/>
            <w:vMerge w:val="restart"/>
            <w:noWrap w:val="0"/>
            <w:vAlign w:val="center"/>
          </w:tcPr>
          <w:p>
            <w:pPr>
              <w:spacing w:line="320" w:lineRule="exact"/>
              <w:jc w:val="center"/>
              <w:textAlignment w:val="center"/>
              <w:rPr>
                <w:rFonts w:eastAsia="黑体"/>
                <w:sz w:val="24"/>
              </w:rPr>
            </w:pPr>
            <w:r>
              <w:rPr>
                <w:rFonts w:eastAsia="黑体"/>
                <w:sz w:val="24"/>
                <w:lang w:bidi="ar"/>
              </w:rPr>
              <w:t>“十四五”储备类站点总数</w:t>
            </w:r>
          </w:p>
        </w:tc>
        <w:tc>
          <w:tcPr>
            <w:tcW w:w="750" w:type="dxa"/>
            <w:vMerge w:val="restart"/>
            <w:noWrap w:val="0"/>
            <w:vAlign w:val="center"/>
          </w:tcPr>
          <w:p>
            <w:pPr>
              <w:spacing w:line="320" w:lineRule="exact"/>
              <w:jc w:val="center"/>
              <w:textAlignment w:val="center"/>
              <w:rPr>
                <w:rFonts w:eastAsia="黑体"/>
                <w:sz w:val="24"/>
              </w:rPr>
            </w:pPr>
            <w:r>
              <w:rPr>
                <w:rFonts w:eastAsia="黑体"/>
                <w:sz w:val="24"/>
                <w:lang w:bidi="ar"/>
              </w:rPr>
              <w:t>规划站点总数</w:t>
            </w:r>
          </w:p>
        </w:tc>
        <w:tc>
          <w:tcPr>
            <w:tcW w:w="975" w:type="dxa"/>
            <w:vMerge w:val="restart"/>
            <w:noWrap w:val="0"/>
            <w:vAlign w:val="center"/>
          </w:tcPr>
          <w:p>
            <w:pPr>
              <w:spacing w:line="320" w:lineRule="exact"/>
              <w:jc w:val="center"/>
              <w:textAlignment w:val="center"/>
              <w:rPr>
                <w:rFonts w:eastAsia="黑体"/>
                <w:sz w:val="24"/>
              </w:rPr>
            </w:pPr>
            <w:r>
              <w:rPr>
                <w:rFonts w:eastAsia="黑体"/>
                <w:kern w:val="0"/>
                <w:sz w:val="22"/>
                <w:szCs w:val="22"/>
                <w:lang w:bidi="ar"/>
              </w:rPr>
              <w:t>2030年</w:t>
            </w:r>
            <w:r>
              <w:rPr>
                <w:rFonts w:eastAsia="黑体"/>
                <w:sz w:val="24"/>
                <w:lang w:bidi="ar"/>
              </w:rPr>
              <w:t>展望站点总数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75" w:type="dxa"/>
            <w:vMerge w:val="continue"/>
            <w:noWrap w:val="0"/>
            <w:vAlign w:val="center"/>
          </w:tcPr>
          <w:p>
            <w:pPr>
              <w:spacing w:line="320" w:lineRule="exact"/>
              <w:jc w:val="center"/>
              <w:textAlignment w:val="center"/>
              <w:rPr>
                <w:sz w:val="24"/>
              </w:rPr>
            </w:pPr>
          </w:p>
        </w:tc>
        <w:tc>
          <w:tcPr>
            <w:tcW w:w="921" w:type="dxa"/>
            <w:vMerge w:val="continue"/>
            <w:noWrap w:val="0"/>
            <w:vAlign w:val="center"/>
          </w:tcPr>
          <w:p>
            <w:pPr>
              <w:spacing w:line="320" w:lineRule="exact"/>
              <w:jc w:val="center"/>
              <w:textAlignment w:val="center"/>
              <w:rPr>
                <w:sz w:val="24"/>
              </w:rPr>
            </w:pPr>
          </w:p>
        </w:tc>
        <w:tc>
          <w:tcPr>
            <w:tcW w:w="1232" w:type="dxa"/>
            <w:vMerge w:val="continue"/>
            <w:noWrap w:val="0"/>
            <w:vAlign w:val="center"/>
          </w:tcPr>
          <w:p>
            <w:pPr>
              <w:spacing w:line="320" w:lineRule="exact"/>
              <w:jc w:val="center"/>
              <w:textAlignment w:val="center"/>
              <w:rPr>
                <w:sz w:val="24"/>
              </w:rPr>
            </w:pPr>
          </w:p>
        </w:tc>
        <w:tc>
          <w:tcPr>
            <w:tcW w:w="943" w:type="dxa"/>
            <w:noWrap w:val="0"/>
            <w:vAlign w:val="center"/>
          </w:tcPr>
          <w:p>
            <w:pPr>
              <w:spacing w:line="320" w:lineRule="exact"/>
              <w:jc w:val="center"/>
              <w:textAlignment w:val="center"/>
              <w:rPr>
                <w:rFonts w:eastAsia="黑体"/>
                <w:sz w:val="24"/>
              </w:rPr>
            </w:pPr>
            <w:r>
              <w:rPr>
                <w:rFonts w:eastAsia="黑体"/>
                <w:sz w:val="24"/>
                <w:lang w:bidi="ar"/>
              </w:rPr>
              <w:t>“十四五”实施类</w:t>
            </w:r>
          </w:p>
        </w:tc>
        <w:tc>
          <w:tcPr>
            <w:tcW w:w="900" w:type="dxa"/>
            <w:noWrap w:val="0"/>
            <w:vAlign w:val="center"/>
          </w:tcPr>
          <w:p>
            <w:pPr>
              <w:spacing w:line="320" w:lineRule="exact"/>
              <w:jc w:val="center"/>
              <w:textAlignment w:val="center"/>
              <w:rPr>
                <w:rFonts w:eastAsia="黑体"/>
                <w:sz w:val="24"/>
              </w:rPr>
            </w:pPr>
            <w:r>
              <w:rPr>
                <w:rFonts w:eastAsia="黑体"/>
                <w:sz w:val="24"/>
                <w:lang w:bidi="ar"/>
              </w:rPr>
              <w:t>“十四五”储备类</w:t>
            </w:r>
          </w:p>
        </w:tc>
        <w:tc>
          <w:tcPr>
            <w:tcW w:w="900" w:type="dxa"/>
            <w:noWrap w:val="0"/>
            <w:vAlign w:val="center"/>
          </w:tcPr>
          <w:p>
            <w:pPr>
              <w:spacing w:line="320" w:lineRule="exact"/>
              <w:jc w:val="center"/>
              <w:textAlignment w:val="center"/>
              <w:rPr>
                <w:sz w:val="24"/>
              </w:rPr>
            </w:pPr>
            <w:r>
              <w:rPr>
                <w:rFonts w:hint="eastAsia" w:eastAsia="黑体"/>
                <w:kern w:val="0"/>
                <w:sz w:val="24"/>
                <w:lang w:bidi="ar"/>
              </w:rPr>
              <w:t>“十五五”新增</w:t>
            </w: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0"/>
            <w:vAlign w:val="center"/>
          </w:tcPr>
          <w:p>
            <w:pPr>
              <w:spacing w:line="320" w:lineRule="exact"/>
              <w:jc w:val="center"/>
              <w:textAlignment w:val="center"/>
              <w:rPr>
                <w:sz w:val="24"/>
              </w:rPr>
            </w:pPr>
          </w:p>
        </w:tc>
        <w:tc>
          <w:tcPr>
            <w:tcW w:w="975" w:type="dxa"/>
            <w:vMerge w:val="continue"/>
            <w:noWrap w:val="0"/>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restart"/>
            <w:noWrap w:val="0"/>
            <w:vAlign w:val="center"/>
          </w:tcPr>
          <w:p>
            <w:pPr>
              <w:spacing w:line="320" w:lineRule="exact"/>
              <w:jc w:val="center"/>
              <w:textAlignment w:val="center"/>
              <w:rPr>
                <w:sz w:val="24"/>
              </w:rPr>
            </w:pPr>
            <w:r>
              <w:rPr>
                <w:sz w:val="24"/>
                <w:lang w:bidi="ar"/>
              </w:rPr>
              <w:t>宁波</w:t>
            </w:r>
          </w:p>
        </w:tc>
        <w:tc>
          <w:tcPr>
            <w:tcW w:w="921" w:type="dxa"/>
            <w:noWrap w:val="0"/>
            <w:vAlign w:val="center"/>
          </w:tcPr>
          <w:p>
            <w:pPr>
              <w:spacing w:line="320" w:lineRule="exact"/>
              <w:jc w:val="center"/>
              <w:textAlignment w:val="center"/>
              <w:rPr>
                <w:sz w:val="24"/>
              </w:rPr>
            </w:pPr>
            <w:r>
              <w:rPr>
                <w:sz w:val="24"/>
                <w:lang w:bidi="ar"/>
              </w:rPr>
              <w:t>海曙</w:t>
            </w:r>
          </w:p>
        </w:tc>
        <w:tc>
          <w:tcPr>
            <w:tcW w:w="1232" w:type="dxa"/>
            <w:noWrap w:val="0"/>
            <w:vAlign w:val="center"/>
          </w:tcPr>
          <w:p>
            <w:pPr>
              <w:spacing w:line="320" w:lineRule="exact"/>
              <w:jc w:val="center"/>
              <w:textAlignment w:val="center"/>
              <w:rPr>
                <w:sz w:val="24"/>
              </w:rPr>
            </w:pPr>
            <w:r>
              <w:rPr>
                <w:sz w:val="24"/>
                <w:lang w:bidi="ar"/>
              </w:rPr>
              <w:t>国省道</w:t>
            </w:r>
          </w:p>
        </w:tc>
        <w:tc>
          <w:tcPr>
            <w:tcW w:w="943" w:type="dxa"/>
            <w:noWrap w:val="0"/>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restart"/>
            <w:noWrap/>
            <w:vAlign w:val="center"/>
          </w:tcPr>
          <w:p>
            <w:pPr>
              <w:spacing w:line="320" w:lineRule="exact"/>
              <w:jc w:val="center"/>
              <w:textAlignment w:val="center"/>
              <w:rPr>
                <w:sz w:val="24"/>
              </w:rPr>
            </w:pPr>
            <w:r>
              <w:rPr>
                <w:sz w:val="24"/>
                <w:lang w:bidi="ar"/>
              </w:rPr>
              <w:t>10</w:t>
            </w:r>
          </w:p>
        </w:tc>
        <w:tc>
          <w:tcPr>
            <w:tcW w:w="1060" w:type="dxa"/>
            <w:vMerge w:val="restart"/>
            <w:noWrap/>
            <w:vAlign w:val="center"/>
          </w:tcPr>
          <w:p>
            <w:pPr>
              <w:spacing w:line="320" w:lineRule="exact"/>
              <w:jc w:val="center"/>
              <w:textAlignment w:val="center"/>
              <w:rPr>
                <w:sz w:val="24"/>
              </w:rPr>
            </w:pPr>
            <w:r>
              <w:rPr>
                <w:sz w:val="24"/>
                <w:lang w:bidi="ar"/>
              </w:rPr>
              <w:t>5</w:t>
            </w:r>
          </w:p>
        </w:tc>
        <w:tc>
          <w:tcPr>
            <w:tcW w:w="750" w:type="dxa"/>
            <w:vMerge w:val="restart"/>
            <w:noWrap/>
            <w:vAlign w:val="center"/>
          </w:tcPr>
          <w:p>
            <w:pPr>
              <w:spacing w:line="320" w:lineRule="exact"/>
              <w:jc w:val="center"/>
              <w:textAlignment w:val="center"/>
              <w:rPr>
                <w:sz w:val="24"/>
              </w:rPr>
            </w:pPr>
            <w:r>
              <w:rPr>
                <w:sz w:val="24"/>
                <w:lang w:bidi="ar"/>
              </w:rPr>
              <w:t>15</w:t>
            </w:r>
          </w:p>
        </w:tc>
        <w:tc>
          <w:tcPr>
            <w:tcW w:w="975" w:type="dxa"/>
            <w:vMerge w:val="restart"/>
            <w:noWrap/>
            <w:vAlign w:val="center"/>
          </w:tcPr>
          <w:p>
            <w:pPr>
              <w:spacing w:line="320" w:lineRule="exact"/>
              <w:jc w:val="center"/>
              <w:textAlignment w:val="center"/>
              <w:rPr>
                <w:sz w:val="24"/>
              </w:rPr>
            </w:pPr>
            <w:r>
              <w:rPr>
                <w:sz w:val="24"/>
                <w:lang w:bidi="ar"/>
              </w:rPr>
              <w:t>27</w:t>
            </w:r>
          </w:p>
        </w:tc>
      </w:tr>
      <w:tr>
        <w:tblPrEx>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restart"/>
            <w:noWrap w:val="0"/>
            <w:vAlign w:val="center"/>
          </w:tcPr>
          <w:p>
            <w:pPr>
              <w:spacing w:line="320" w:lineRule="exact"/>
              <w:jc w:val="center"/>
              <w:textAlignment w:val="center"/>
              <w:rPr>
                <w:sz w:val="24"/>
              </w:rPr>
            </w:pPr>
            <w:r>
              <w:rPr>
                <w:sz w:val="24"/>
                <w:lang w:bidi="ar"/>
              </w:rPr>
              <w:t>镇海</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0"/>
            <w:vAlign w:val="center"/>
          </w:tcPr>
          <w:p>
            <w:pPr>
              <w:spacing w:line="320" w:lineRule="exact"/>
              <w:jc w:val="center"/>
              <w:textAlignment w:val="center"/>
              <w:rPr>
                <w:sz w:val="24"/>
              </w:rPr>
            </w:pPr>
            <w:r>
              <w:rPr>
                <w:sz w:val="24"/>
                <w:lang w:bidi="ar"/>
              </w:rPr>
              <w:t>1</w:t>
            </w:r>
          </w:p>
        </w:tc>
        <w:tc>
          <w:tcPr>
            <w:tcW w:w="900" w:type="dxa"/>
            <w:noWrap w:val="0"/>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continue"/>
            <w:noWrap w:val="0"/>
            <w:vAlign w:val="center"/>
          </w:tcPr>
          <w:p>
            <w:pPr>
              <w:spacing w:line="320" w:lineRule="exact"/>
              <w:jc w:val="center"/>
              <w:textAlignment w:val="center"/>
              <w:rPr>
                <w:sz w:val="24"/>
              </w:rPr>
            </w:pPr>
          </w:p>
        </w:tc>
        <w:tc>
          <w:tcPr>
            <w:tcW w:w="1232" w:type="dxa"/>
            <w:noWrap w:val="0"/>
            <w:vAlign w:val="center"/>
          </w:tcPr>
          <w:p>
            <w:pPr>
              <w:spacing w:line="320" w:lineRule="exact"/>
              <w:jc w:val="center"/>
              <w:textAlignment w:val="center"/>
              <w:rPr>
                <w:sz w:val="24"/>
              </w:rPr>
            </w:pPr>
            <w:r>
              <w:rPr>
                <w:sz w:val="24"/>
                <w:lang w:bidi="ar"/>
              </w:rPr>
              <w:t>产业园区</w:t>
            </w:r>
          </w:p>
        </w:tc>
        <w:tc>
          <w:tcPr>
            <w:tcW w:w="943" w:type="dxa"/>
            <w:noWrap w:val="0"/>
            <w:vAlign w:val="center"/>
          </w:tcPr>
          <w:p>
            <w:pPr>
              <w:spacing w:line="320" w:lineRule="exact"/>
              <w:jc w:val="center"/>
              <w:textAlignment w:val="center"/>
              <w:rPr>
                <w:sz w:val="24"/>
              </w:rPr>
            </w:pPr>
            <w:r>
              <w:rPr>
                <w:sz w:val="24"/>
                <w:lang w:bidi="ar"/>
              </w:rPr>
              <w:t>1</w:t>
            </w:r>
          </w:p>
        </w:tc>
        <w:tc>
          <w:tcPr>
            <w:tcW w:w="900" w:type="dxa"/>
            <w:noWrap w:val="0"/>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continue"/>
            <w:noWrap w:val="0"/>
            <w:vAlign w:val="center"/>
          </w:tcPr>
          <w:p>
            <w:pPr>
              <w:spacing w:line="320" w:lineRule="exact"/>
              <w:jc w:val="center"/>
              <w:textAlignment w:val="center"/>
              <w:rPr>
                <w:sz w:val="24"/>
              </w:rPr>
            </w:pPr>
          </w:p>
        </w:tc>
        <w:tc>
          <w:tcPr>
            <w:tcW w:w="1232" w:type="dxa"/>
            <w:noWrap w:val="0"/>
            <w:vAlign w:val="center"/>
          </w:tcPr>
          <w:p>
            <w:pPr>
              <w:spacing w:line="320" w:lineRule="exact"/>
              <w:jc w:val="center"/>
              <w:textAlignment w:val="center"/>
              <w:rPr>
                <w:sz w:val="24"/>
              </w:rPr>
            </w:pPr>
            <w:r>
              <w:rPr>
                <w:sz w:val="24"/>
                <w:lang w:bidi="ar"/>
              </w:rPr>
              <w:t>高速公路</w:t>
            </w:r>
          </w:p>
        </w:tc>
        <w:tc>
          <w:tcPr>
            <w:tcW w:w="943" w:type="dxa"/>
            <w:noWrap w:val="0"/>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noWrap w:val="0"/>
            <w:vAlign w:val="center"/>
          </w:tcPr>
          <w:p>
            <w:pPr>
              <w:spacing w:line="320" w:lineRule="exact"/>
              <w:jc w:val="center"/>
              <w:textAlignment w:val="center"/>
              <w:rPr>
                <w:sz w:val="24"/>
              </w:rPr>
            </w:pPr>
            <w:r>
              <w:rPr>
                <w:sz w:val="24"/>
                <w:lang w:bidi="ar"/>
              </w:rPr>
              <w:t>鄞州</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0"/>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noWrap w:val="0"/>
            <w:vAlign w:val="center"/>
          </w:tcPr>
          <w:p>
            <w:pPr>
              <w:spacing w:line="320" w:lineRule="exact"/>
              <w:jc w:val="center"/>
              <w:textAlignment w:val="center"/>
              <w:rPr>
                <w:sz w:val="24"/>
              </w:rPr>
            </w:pPr>
            <w:r>
              <w:rPr>
                <w:sz w:val="24"/>
                <w:lang w:bidi="ar"/>
              </w:rPr>
              <w:t>江北</w:t>
            </w:r>
          </w:p>
        </w:tc>
        <w:tc>
          <w:tcPr>
            <w:tcW w:w="1232" w:type="dxa"/>
            <w:noWrap w:val="0"/>
            <w:vAlign w:val="center"/>
          </w:tcPr>
          <w:p>
            <w:pPr>
              <w:spacing w:line="320" w:lineRule="exact"/>
              <w:jc w:val="center"/>
              <w:textAlignment w:val="center"/>
              <w:rPr>
                <w:sz w:val="24"/>
              </w:rPr>
            </w:pPr>
            <w:r>
              <w:rPr>
                <w:sz w:val="24"/>
                <w:lang w:bidi="ar"/>
              </w:rPr>
              <w:t>产业园区</w:t>
            </w:r>
          </w:p>
        </w:tc>
        <w:tc>
          <w:tcPr>
            <w:tcW w:w="943" w:type="dxa"/>
            <w:noWrap w:val="0"/>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restart"/>
            <w:noWrap w:val="0"/>
            <w:vAlign w:val="center"/>
          </w:tcPr>
          <w:p>
            <w:pPr>
              <w:spacing w:line="320" w:lineRule="exact"/>
              <w:jc w:val="center"/>
              <w:textAlignment w:val="center"/>
              <w:rPr>
                <w:sz w:val="24"/>
              </w:rPr>
            </w:pPr>
            <w:r>
              <w:rPr>
                <w:sz w:val="24"/>
                <w:lang w:bidi="ar"/>
              </w:rPr>
              <w:t>北仑</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0"/>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continue"/>
            <w:noWrap w:val="0"/>
            <w:vAlign w:val="center"/>
          </w:tcPr>
          <w:p>
            <w:pPr>
              <w:spacing w:line="320" w:lineRule="exact"/>
              <w:jc w:val="center"/>
              <w:textAlignment w:val="center"/>
              <w:rPr>
                <w:sz w:val="24"/>
              </w:rPr>
            </w:pPr>
          </w:p>
        </w:tc>
        <w:tc>
          <w:tcPr>
            <w:tcW w:w="1232" w:type="dxa"/>
            <w:noWrap w:val="0"/>
            <w:vAlign w:val="center"/>
          </w:tcPr>
          <w:p>
            <w:pPr>
              <w:spacing w:line="320" w:lineRule="exact"/>
              <w:jc w:val="center"/>
              <w:textAlignment w:val="center"/>
              <w:rPr>
                <w:sz w:val="24"/>
              </w:rPr>
            </w:pPr>
            <w:r>
              <w:rPr>
                <w:sz w:val="24"/>
                <w:lang w:bidi="ar"/>
              </w:rPr>
              <w:t>产业园区</w:t>
            </w:r>
          </w:p>
        </w:tc>
        <w:tc>
          <w:tcPr>
            <w:tcW w:w="943" w:type="dxa"/>
            <w:noWrap w:val="0"/>
            <w:vAlign w:val="center"/>
          </w:tcPr>
          <w:p>
            <w:pPr>
              <w:spacing w:line="320" w:lineRule="exact"/>
              <w:jc w:val="center"/>
              <w:textAlignment w:val="center"/>
              <w:rPr>
                <w:sz w:val="24"/>
              </w:rPr>
            </w:pPr>
            <w:r>
              <w:rPr>
                <w:sz w:val="24"/>
                <w:lang w:bidi="ar"/>
              </w:rPr>
              <w:t>2</w:t>
            </w: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continue"/>
            <w:noWrap w:val="0"/>
            <w:vAlign w:val="center"/>
          </w:tcPr>
          <w:p>
            <w:pPr>
              <w:spacing w:line="320" w:lineRule="exact"/>
              <w:jc w:val="center"/>
              <w:textAlignment w:val="center"/>
              <w:rPr>
                <w:sz w:val="24"/>
              </w:rPr>
            </w:pPr>
          </w:p>
        </w:tc>
        <w:tc>
          <w:tcPr>
            <w:tcW w:w="1232" w:type="dxa"/>
            <w:noWrap w:val="0"/>
            <w:vAlign w:val="center"/>
          </w:tcPr>
          <w:p>
            <w:pPr>
              <w:spacing w:line="320" w:lineRule="exact"/>
              <w:jc w:val="center"/>
              <w:textAlignment w:val="center"/>
              <w:rPr>
                <w:sz w:val="24"/>
              </w:rPr>
            </w:pPr>
            <w:r>
              <w:rPr>
                <w:sz w:val="24"/>
                <w:lang w:bidi="ar"/>
              </w:rPr>
              <w:t>船舶</w:t>
            </w:r>
          </w:p>
        </w:tc>
        <w:tc>
          <w:tcPr>
            <w:tcW w:w="943" w:type="dxa"/>
            <w:noWrap w:val="0"/>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restart"/>
            <w:noWrap w:val="0"/>
            <w:vAlign w:val="center"/>
          </w:tcPr>
          <w:p>
            <w:pPr>
              <w:spacing w:line="320" w:lineRule="exact"/>
              <w:jc w:val="center"/>
              <w:textAlignment w:val="center"/>
              <w:rPr>
                <w:sz w:val="24"/>
              </w:rPr>
            </w:pPr>
            <w:r>
              <w:rPr>
                <w:sz w:val="24"/>
                <w:lang w:bidi="ar"/>
              </w:rPr>
              <w:t>奉化</w:t>
            </w:r>
          </w:p>
        </w:tc>
        <w:tc>
          <w:tcPr>
            <w:tcW w:w="1232" w:type="dxa"/>
            <w:noWrap w:val="0"/>
            <w:vAlign w:val="center"/>
          </w:tcPr>
          <w:p>
            <w:pPr>
              <w:spacing w:line="320" w:lineRule="exact"/>
              <w:jc w:val="center"/>
              <w:textAlignment w:val="center"/>
              <w:rPr>
                <w:sz w:val="24"/>
              </w:rPr>
            </w:pPr>
            <w:r>
              <w:rPr>
                <w:sz w:val="24"/>
                <w:lang w:bidi="ar"/>
              </w:rPr>
              <w:t>国省道</w:t>
            </w:r>
          </w:p>
        </w:tc>
        <w:tc>
          <w:tcPr>
            <w:tcW w:w="943" w:type="dxa"/>
            <w:noWrap w:val="0"/>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continue"/>
            <w:noWrap w:val="0"/>
            <w:vAlign w:val="center"/>
          </w:tcPr>
          <w:p>
            <w:pPr>
              <w:spacing w:line="320" w:lineRule="exact"/>
              <w:jc w:val="center"/>
              <w:textAlignment w:val="center"/>
              <w:rPr>
                <w:sz w:val="24"/>
              </w:rPr>
            </w:pPr>
          </w:p>
        </w:tc>
        <w:tc>
          <w:tcPr>
            <w:tcW w:w="1232" w:type="dxa"/>
            <w:noWrap w:val="0"/>
            <w:vAlign w:val="center"/>
          </w:tcPr>
          <w:p>
            <w:pPr>
              <w:spacing w:line="320" w:lineRule="exact"/>
              <w:jc w:val="center"/>
              <w:textAlignment w:val="center"/>
              <w:rPr>
                <w:sz w:val="24"/>
              </w:rPr>
            </w:pPr>
            <w:r>
              <w:rPr>
                <w:sz w:val="24"/>
                <w:lang w:bidi="ar"/>
              </w:rPr>
              <w:t>高速公路</w:t>
            </w:r>
          </w:p>
        </w:tc>
        <w:tc>
          <w:tcPr>
            <w:tcW w:w="943" w:type="dxa"/>
            <w:noWrap w:val="0"/>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2</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restart"/>
            <w:noWrap w:val="0"/>
            <w:vAlign w:val="center"/>
          </w:tcPr>
          <w:p>
            <w:pPr>
              <w:spacing w:line="320" w:lineRule="exact"/>
              <w:jc w:val="center"/>
              <w:textAlignment w:val="center"/>
              <w:rPr>
                <w:sz w:val="24"/>
              </w:rPr>
            </w:pPr>
            <w:r>
              <w:rPr>
                <w:sz w:val="24"/>
                <w:lang w:bidi="ar"/>
              </w:rPr>
              <w:t>余姚</w:t>
            </w:r>
          </w:p>
        </w:tc>
        <w:tc>
          <w:tcPr>
            <w:tcW w:w="1232" w:type="dxa"/>
            <w:noWrap w:val="0"/>
            <w:vAlign w:val="center"/>
          </w:tcPr>
          <w:p>
            <w:pPr>
              <w:spacing w:line="320" w:lineRule="exact"/>
              <w:jc w:val="center"/>
              <w:textAlignment w:val="center"/>
              <w:rPr>
                <w:sz w:val="24"/>
              </w:rPr>
            </w:pPr>
            <w:r>
              <w:rPr>
                <w:sz w:val="24"/>
                <w:lang w:bidi="ar"/>
              </w:rPr>
              <w:t>国省道</w:t>
            </w:r>
          </w:p>
        </w:tc>
        <w:tc>
          <w:tcPr>
            <w:tcW w:w="943" w:type="dxa"/>
            <w:noWrap w:val="0"/>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continue"/>
            <w:noWrap w:val="0"/>
            <w:vAlign w:val="center"/>
          </w:tcPr>
          <w:p>
            <w:pPr>
              <w:spacing w:line="320" w:lineRule="exact"/>
              <w:jc w:val="center"/>
              <w:textAlignment w:val="center"/>
              <w:rPr>
                <w:sz w:val="24"/>
              </w:rPr>
            </w:pPr>
          </w:p>
        </w:tc>
        <w:tc>
          <w:tcPr>
            <w:tcW w:w="1232" w:type="dxa"/>
            <w:noWrap/>
            <w:vAlign w:val="center"/>
          </w:tcPr>
          <w:p>
            <w:pPr>
              <w:spacing w:line="320" w:lineRule="exact"/>
              <w:jc w:val="center"/>
              <w:textAlignment w:val="center"/>
              <w:rPr>
                <w:sz w:val="24"/>
              </w:rPr>
            </w:pPr>
            <w:r>
              <w:rPr>
                <w:sz w:val="24"/>
                <w:lang w:bidi="ar"/>
              </w:rPr>
              <w:t>高速公路</w:t>
            </w:r>
          </w:p>
        </w:tc>
        <w:tc>
          <w:tcPr>
            <w:tcW w:w="943" w:type="dxa"/>
            <w:noWrap/>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r>
              <w:rPr>
                <w:sz w:val="24"/>
                <w:lang w:bidi="ar"/>
              </w:rPr>
              <w:t>1</w:t>
            </w:r>
          </w:p>
        </w:tc>
        <w:tc>
          <w:tcPr>
            <w:tcW w:w="900" w:type="dxa"/>
            <w:noWrap w:val="0"/>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restart"/>
            <w:noWrap w:val="0"/>
            <w:vAlign w:val="center"/>
          </w:tcPr>
          <w:p>
            <w:pPr>
              <w:spacing w:line="320" w:lineRule="exact"/>
              <w:jc w:val="center"/>
              <w:textAlignment w:val="center"/>
              <w:rPr>
                <w:sz w:val="24"/>
              </w:rPr>
            </w:pPr>
            <w:r>
              <w:rPr>
                <w:sz w:val="24"/>
                <w:lang w:bidi="ar"/>
              </w:rPr>
              <w:t>慈溪</w:t>
            </w:r>
          </w:p>
        </w:tc>
        <w:tc>
          <w:tcPr>
            <w:tcW w:w="1232" w:type="dxa"/>
            <w:noWrap w:val="0"/>
            <w:vAlign w:val="center"/>
          </w:tcPr>
          <w:p>
            <w:pPr>
              <w:spacing w:line="320" w:lineRule="exact"/>
              <w:jc w:val="center"/>
              <w:textAlignment w:val="center"/>
              <w:rPr>
                <w:sz w:val="24"/>
              </w:rPr>
            </w:pPr>
            <w:r>
              <w:rPr>
                <w:sz w:val="24"/>
                <w:lang w:bidi="ar"/>
              </w:rPr>
              <w:t>国省道</w:t>
            </w:r>
          </w:p>
        </w:tc>
        <w:tc>
          <w:tcPr>
            <w:tcW w:w="943" w:type="dxa"/>
            <w:noWrap w:val="0"/>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continue"/>
            <w:noWrap w:val="0"/>
            <w:vAlign w:val="center"/>
          </w:tcPr>
          <w:p>
            <w:pPr>
              <w:spacing w:line="320" w:lineRule="exact"/>
              <w:jc w:val="center"/>
              <w:textAlignment w:val="center"/>
              <w:rPr>
                <w:sz w:val="24"/>
              </w:rPr>
            </w:pP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0"/>
            <w:vAlign w:val="center"/>
          </w:tcPr>
          <w:p>
            <w:pPr>
              <w:spacing w:line="320" w:lineRule="exact"/>
              <w:jc w:val="center"/>
              <w:textAlignment w:val="center"/>
              <w:rPr>
                <w:sz w:val="24"/>
              </w:rPr>
            </w:pPr>
            <w:r>
              <w:rPr>
                <w:sz w:val="24"/>
                <w:lang w:bidi="ar"/>
              </w:rPr>
              <w:t>1</w:t>
            </w:r>
          </w:p>
        </w:tc>
        <w:tc>
          <w:tcPr>
            <w:tcW w:w="900" w:type="dxa"/>
            <w:noWrap w:val="0"/>
            <w:vAlign w:val="center"/>
          </w:tcPr>
          <w:p>
            <w:pPr>
              <w:spacing w:line="320" w:lineRule="exact"/>
              <w:jc w:val="center"/>
              <w:textAlignment w:val="center"/>
              <w:rPr>
                <w:sz w:val="24"/>
              </w:rPr>
            </w:pPr>
            <w:r>
              <w:rPr>
                <w:sz w:val="24"/>
                <w:lang w:bidi="ar"/>
              </w:rPr>
              <w:t>1</w:t>
            </w:r>
          </w:p>
        </w:tc>
        <w:tc>
          <w:tcPr>
            <w:tcW w:w="900" w:type="dxa"/>
            <w:noWrap w:val="0"/>
            <w:vAlign w:val="center"/>
          </w:tcPr>
          <w:p>
            <w:pPr>
              <w:spacing w:line="320" w:lineRule="exact"/>
              <w:jc w:val="center"/>
              <w:textAlignment w:val="center"/>
              <w:rPr>
                <w:sz w:val="24"/>
              </w:rPr>
            </w:pP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restart"/>
            <w:noWrap w:val="0"/>
            <w:vAlign w:val="center"/>
          </w:tcPr>
          <w:p>
            <w:pPr>
              <w:spacing w:line="320" w:lineRule="exact"/>
              <w:jc w:val="center"/>
              <w:textAlignment w:val="center"/>
              <w:rPr>
                <w:sz w:val="24"/>
              </w:rPr>
            </w:pPr>
            <w:r>
              <w:rPr>
                <w:sz w:val="24"/>
                <w:lang w:bidi="ar"/>
              </w:rPr>
              <w:t>宁海</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0"/>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vMerge w:val="continue"/>
            <w:noWrap w:val="0"/>
            <w:vAlign w:val="center"/>
          </w:tcPr>
          <w:p>
            <w:pPr>
              <w:spacing w:line="320" w:lineRule="exact"/>
              <w:jc w:val="center"/>
              <w:textAlignment w:val="center"/>
              <w:rPr>
                <w:sz w:val="24"/>
              </w:rPr>
            </w:pPr>
          </w:p>
        </w:tc>
        <w:tc>
          <w:tcPr>
            <w:tcW w:w="1232" w:type="dxa"/>
            <w:noWrap w:val="0"/>
            <w:vAlign w:val="center"/>
          </w:tcPr>
          <w:p>
            <w:pPr>
              <w:spacing w:line="320" w:lineRule="exact"/>
              <w:jc w:val="center"/>
              <w:textAlignment w:val="center"/>
              <w:rPr>
                <w:sz w:val="24"/>
              </w:rPr>
            </w:pPr>
            <w:r>
              <w:rPr>
                <w:sz w:val="24"/>
                <w:lang w:bidi="ar"/>
              </w:rPr>
              <w:t>高速公路</w:t>
            </w:r>
          </w:p>
        </w:tc>
        <w:tc>
          <w:tcPr>
            <w:tcW w:w="943" w:type="dxa"/>
            <w:noWrap/>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r>
              <w:rPr>
                <w:sz w:val="24"/>
                <w:lang w:bidi="ar"/>
              </w:rPr>
              <w:t>1</w:t>
            </w:r>
          </w:p>
        </w:tc>
        <w:tc>
          <w:tcPr>
            <w:tcW w:w="900" w:type="dxa"/>
            <w:noWrap w:val="0"/>
            <w:vAlign w:val="center"/>
          </w:tcPr>
          <w:p>
            <w:pPr>
              <w:spacing w:line="320" w:lineRule="exact"/>
              <w:jc w:val="center"/>
              <w:textAlignment w:val="center"/>
              <w:rPr>
                <w:sz w:val="24"/>
              </w:rPr>
            </w:pP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pPr>
              <w:spacing w:line="320" w:lineRule="exact"/>
              <w:jc w:val="center"/>
              <w:textAlignment w:val="center"/>
              <w:rPr>
                <w:sz w:val="24"/>
              </w:rPr>
            </w:pPr>
          </w:p>
        </w:tc>
        <w:tc>
          <w:tcPr>
            <w:tcW w:w="921" w:type="dxa"/>
            <w:noWrap w:val="0"/>
            <w:vAlign w:val="center"/>
          </w:tcPr>
          <w:p>
            <w:pPr>
              <w:spacing w:line="320" w:lineRule="exact"/>
              <w:jc w:val="center"/>
              <w:textAlignment w:val="center"/>
              <w:rPr>
                <w:sz w:val="24"/>
              </w:rPr>
            </w:pPr>
            <w:r>
              <w:rPr>
                <w:sz w:val="24"/>
                <w:lang w:bidi="ar"/>
              </w:rPr>
              <w:t>象山</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0"/>
            <w:vAlign w:val="center"/>
          </w:tcPr>
          <w:p>
            <w:pPr>
              <w:spacing w:line="320" w:lineRule="exact"/>
              <w:jc w:val="center"/>
              <w:textAlignment w:val="center"/>
              <w:rPr>
                <w:sz w:val="24"/>
              </w:rPr>
            </w:pPr>
            <w:r>
              <w:rPr>
                <w:sz w:val="24"/>
                <w:lang w:bidi="ar"/>
              </w:rPr>
              <w:t>2</w:t>
            </w:r>
          </w:p>
        </w:tc>
        <w:tc>
          <w:tcPr>
            <w:tcW w:w="900" w:type="dxa"/>
            <w:noWrap w:val="0"/>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restart"/>
            <w:noWrap/>
            <w:vAlign w:val="center"/>
          </w:tcPr>
          <w:p>
            <w:pPr>
              <w:spacing w:line="320" w:lineRule="exact"/>
              <w:jc w:val="center"/>
              <w:textAlignment w:val="center"/>
              <w:rPr>
                <w:sz w:val="24"/>
              </w:rPr>
            </w:pPr>
            <w:r>
              <w:rPr>
                <w:sz w:val="24"/>
                <w:lang w:bidi="ar"/>
              </w:rPr>
              <w:t>金华</w:t>
            </w:r>
          </w:p>
        </w:tc>
        <w:tc>
          <w:tcPr>
            <w:tcW w:w="921" w:type="dxa"/>
            <w:vMerge w:val="restart"/>
            <w:noWrap/>
            <w:vAlign w:val="center"/>
          </w:tcPr>
          <w:p>
            <w:pPr>
              <w:spacing w:line="320" w:lineRule="exact"/>
              <w:jc w:val="center"/>
              <w:textAlignment w:val="center"/>
              <w:rPr>
                <w:sz w:val="24"/>
              </w:rPr>
            </w:pPr>
            <w:r>
              <w:rPr>
                <w:sz w:val="24"/>
                <w:lang w:bidi="ar"/>
              </w:rPr>
              <w:t>婺城</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0"/>
            <w:vAlign w:val="center"/>
          </w:tcPr>
          <w:p>
            <w:pPr>
              <w:spacing w:line="320" w:lineRule="exact"/>
              <w:jc w:val="center"/>
              <w:textAlignment w:val="center"/>
              <w:rPr>
                <w:sz w:val="24"/>
              </w:rPr>
            </w:pPr>
            <w:r>
              <w:rPr>
                <w:sz w:val="24"/>
                <w:lang w:bidi="ar"/>
              </w:rPr>
              <w:t>1</w:t>
            </w:r>
          </w:p>
        </w:tc>
        <w:tc>
          <w:tcPr>
            <w:tcW w:w="900" w:type="dxa"/>
            <w:noWrap w:val="0"/>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p>
        </w:tc>
        <w:tc>
          <w:tcPr>
            <w:tcW w:w="1029" w:type="dxa"/>
            <w:vMerge w:val="restart"/>
            <w:noWrap w:val="0"/>
            <w:vAlign w:val="center"/>
          </w:tcPr>
          <w:p>
            <w:pPr>
              <w:spacing w:line="320" w:lineRule="exact"/>
              <w:jc w:val="center"/>
              <w:textAlignment w:val="center"/>
              <w:rPr>
                <w:sz w:val="24"/>
              </w:rPr>
            </w:pPr>
            <w:r>
              <w:rPr>
                <w:sz w:val="24"/>
                <w:lang w:bidi="ar"/>
              </w:rPr>
              <w:t>4</w:t>
            </w:r>
          </w:p>
        </w:tc>
        <w:tc>
          <w:tcPr>
            <w:tcW w:w="1060" w:type="dxa"/>
            <w:vMerge w:val="restart"/>
            <w:noWrap w:val="0"/>
            <w:vAlign w:val="center"/>
          </w:tcPr>
          <w:p>
            <w:pPr>
              <w:spacing w:line="320" w:lineRule="exact"/>
              <w:jc w:val="center"/>
              <w:textAlignment w:val="center"/>
              <w:rPr>
                <w:sz w:val="24"/>
              </w:rPr>
            </w:pPr>
            <w:r>
              <w:rPr>
                <w:rFonts w:hint="eastAsia"/>
                <w:sz w:val="24"/>
                <w:lang w:bidi="ar"/>
              </w:rPr>
              <w:t>6</w:t>
            </w:r>
          </w:p>
        </w:tc>
        <w:tc>
          <w:tcPr>
            <w:tcW w:w="750" w:type="dxa"/>
            <w:vMerge w:val="restart"/>
            <w:noWrap/>
            <w:vAlign w:val="center"/>
          </w:tcPr>
          <w:p>
            <w:pPr>
              <w:spacing w:line="320" w:lineRule="exact"/>
              <w:jc w:val="center"/>
              <w:textAlignment w:val="center"/>
              <w:rPr>
                <w:sz w:val="24"/>
              </w:rPr>
            </w:pPr>
            <w:r>
              <w:rPr>
                <w:rFonts w:hint="eastAsia"/>
                <w:sz w:val="24"/>
                <w:lang w:bidi="ar"/>
              </w:rPr>
              <w:t>10</w:t>
            </w:r>
          </w:p>
        </w:tc>
        <w:tc>
          <w:tcPr>
            <w:tcW w:w="975" w:type="dxa"/>
            <w:vMerge w:val="restart"/>
            <w:noWrap/>
            <w:vAlign w:val="center"/>
          </w:tcPr>
          <w:p>
            <w:pPr>
              <w:spacing w:line="320" w:lineRule="exact"/>
              <w:jc w:val="center"/>
              <w:textAlignment w:val="center"/>
              <w:rPr>
                <w:sz w:val="24"/>
              </w:rPr>
            </w:pPr>
            <w:r>
              <w:rPr>
                <w:sz w:val="24"/>
                <w:lang w:bidi="ar"/>
              </w:rPr>
              <w:t>1</w:t>
            </w:r>
            <w:r>
              <w:rPr>
                <w:rFonts w:hint="eastAsia"/>
                <w:sz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vMerge w:val="continue"/>
            <w:noWrap/>
            <w:vAlign w:val="center"/>
          </w:tcPr>
          <w:p>
            <w:pPr>
              <w:spacing w:line="320" w:lineRule="exact"/>
              <w:jc w:val="center"/>
              <w:textAlignment w:val="center"/>
              <w:rPr>
                <w:sz w:val="24"/>
              </w:rPr>
            </w:pPr>
          </w:p>
        </w:tc>
        <w:tc>
          <w:tcPr>
            <w:tcW w:w="1232" w:type="dxa"/>
            <w:noWrap w:val="0"/>
            <w:vAlign w:val="center"/>
          </w:tcPr>
          <w:p>
            <w:pPr>
              <w:spacing w:line="320" w:lineRule="exact"/>
              <w:jc w:val="center"/>
              <w:textAlignment w:val="center"/>
              <w:rPr>
                <w:sz w:val="24"/>
              </w:rPr>
            </w:pPr>
            <w:r>
              <w:rPr>
                <w:sz w:val="24"/>
                <w:lang w:bidi="ar"/>
              </w:rPr>
              <w:t>国省道</w:t>
            </w:r>
          </w:p>
        </w:tc>
        <w:tc>
          <w:tcPr>
            <w:tcW w:w="943" w:type="dxa"/>
            <w:noWrap w:val="0"/>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ign w:val="center"/>
          </w:tcPr>
          <w:p>
            <w:pPr>
              <w:spacing w:line="320" w:lineRule="exact"/>
              <w:jc w:val="center"/>
              <w:textAlignment w:val="center"/>
              <w:rPr>
                <w:sz w:val="24"/>
              </w:rPr>
            </w:pPr>
            <w:r>
              <w:rPr>
                <w:sz w:val="24"/>
                <w:lang w:bidi="ar"/>
              </w:rPr>
              <w:t>金东</w:t>
            </w:r>
          </w:p>
        </w:tc>
        <w:tc>
          <w:tcPr>
            <w:tcW w:w="1232" w:type="dxa"/>
            <w:noWrap w:val="0"/>
            <w:vAlign w:val="center"/>
          </w:tcPr>
          <w:p>
            <w:pPr>
              <w:spacing w:line="320" w:lineRule="exact"/>
              <w:jc w:val="center"/>
              <w:textAlignment w:val="center"/>
              <w:rPr>
                <w:sz w:val="24"/>
              </w:rPr>
            </w:pPr>
            <w:r>
              <w:rPr>
                <w:sz w:val="24"/>
                <w:lang w:bidi="ar"/>
              </w:rPr>
              <w:t>国省道</w:t>
            </w:r>
          </w:p>
        </w:tc>
        <w:tc>
          <w:tcPr>
            <w:tcW w:w="943" w:type="dxa"/>
            <w:noWrap/>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ign w:val="center"/>
          </w:tcPr>
          <w:p>
            <w:pPr>
              <w:spacing w:line="320" w:lineRule="exact"/>
              <w:jc w:val="center"/>
              <w:textAlignment w:val="center"/>
              <w:rPr>
                <w:sz w:val="24"/>
              </w:rPr>
            </w:pPr>
            <w:r>
              <w:rPr>
                <w:sz w:val="24"/>
                <w:lang w:bidi="ar"/>
              </w:rPr>
              <w:t>武义</w:t>
            </w:r>
          </w:p>
        </w:tc>
        <w:tc>
          <w:tcPr>
            <w:tcW w:w="1232" w:type="dxa"/>
            <w:noWrap w:val="0"/>
            <w:vAlign w:val="center"/>
          </w:tcPr>
          <w:p>
            <w:pPr>
              <w:spacing w:line="320" w:lineRule="exact"/>
              <w:jc w:val="center"/>
              <w:textAlignment w:val="center"/>
              <w:rPr>
                <w:sz w:val="24"/>
              </w:rPr>
            </w:pPr>
            <w:r>
              <w:rPr>
                <w:sz w:val="24"/>
                <w:lang w:bidi="ar"/>
              </w:rPr>
              <w:t>国省道</w:t>
            </w:r>
          </w:p>
        </w:tc>
        <w:tc>
          <w:tcPr>
            <w:tcW w:w="943" w:type="dxa"/>
            <w:noWrap/>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ign w:val="center"/>
          </w:tcPr>
          <w:p>
            <w:pPr>
              <w:spacing w:line="320" w:lineRule="exact"/>
              <w:jc w:val="center"/>
              <w:textAlignment w:val="center"/>
              <w:rPr>
                <w:sz w:val="24"/>
              </w:rPr>
            </w:pPr>
            <w:r>
              <w:rPr>
                <w:sz w:val="24"/>
                <w:lang w:bidi="ar"/>
              </w:rPr>
              <w:t>浦江</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ign w:val="center"/>
          </w:tcPr>
          <w:p>
            <w:pPr>
              <w:spacing w:line="320" w:lineRule="exact"/>
              <w:jc w:val="center"/>
              <w:textAlignment w:val="center"/>
              <w:rPr>
                <w:sz w:val="24"/>
              </w:rPr>
            </w:pPr>
            <w:r>
              <w:rPr>
                <w:sz w:val="24"/>
                <w:lang w:bidi="ar"/>
              </w:rPr>
              <w:t>磐安</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ign w:val="center"/>
          </w:tcPr>
          <w:p>
            <w:pPr>
              <w:spacing w:line="320" w:lineRule="exact"/>
              <w:jc w:val="center"/>
              <w:textAlignment w:val="center"/>
              <w:rPr>
                <w:sz w:val="24"/>
              </w:rPr>
            </w:pPr>
            <w:r>
              <w:rPr>
                <w:sz w:val="24"/>
                <w:lang w:bidi="ar"/>
              </w:rPr>
              <w:t>兰溪</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rFonts w:hint="eastAsia"/>
                <w:sz w:val="24"/>
                <w:lang w:bidi="ar"/>
              </w:rPr>
              <w:t>1</w:t>
            </w:r>
          </w:p>
        </w:tc>
        <w:tc>
          <w:tcPr>
            <w:tcW w:w="900" w:type="dxa"/>
            <w:noWrap/>
            <w:vAlign w:val="center"/>
          </w:tcPr>
          <w:p>
            <w:pPr>
              <w:spacing w:line="320" w:lineRule="exact"/>
              <w:jc w:val="center"/>
              <w:textAlignment w:val="center"/>
              <w:rPr>
                <w:sz w:val="24"/>
              </w:rPr>
            </w:pP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ign w:val="center"/>
          </w:tcPr>
          <w:p>
            <w:pPr>
              <w:spacing w:line="320" w:lineRule="exact"/>
              <w:jc w:val="center"/>
              <w:textAlignment w:val="center"/>
              <w:rPr>
                <w:sz w:val="24"/>
              </w:rPr>
            </w:pPr>
            <w:r>
              <w:rPr>
                <w:sz w:val="24"/>
                <w:lang w:bidi="ar"/>
              </w:rPr>
              <w:t>义乌</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rFonts w:hint="eastAsia"/>
                <w:sz w:val="24"/>
              </w:rPr>
              <w:t>2</w:t>
            </w:r>
          </w:p>
        </w:tc>
        <w:tc>
          <w:tcPr>
            <w:tcW w:w="900" w:type="dxa"/>
            <w:noWrap/>
            <w:vAlign w:val="center"/>
          </w:tcPr>
          <w:p>
            <w:pPr>
              <w:spacing w:line="320" w:lineRule="exact"/>
              <w:jc w:val="center"/>
              <w:textAlignment w:val="center"/>
              <w:rPr>
                <w:sz w:val="24"/>
              </w:rPr>
            </w:pP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vMerge w:val="restart"/>
            <w:noWrap/>
            <w:vAlign w:val="center"/>
          </w:tcPr>
          <w:p>
            <w:pPr>
              <w:spacing w:line="320" w:lineRule="exact"/>
              <w:jc w:val="center"/>
              <w:textAlignment w:val="center"/>
              <w:rPr>
                <w:sz w:val="24"/>
              </w:rPr>
            </w:pPr>
            <w:r>
              <w:rPr>
                <w:sz w:val="24"/>
                <w:lang w:bidi="ar"/>
              </w:rPr>
              <w:t>东阳</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rFonts w:hint="eastAsia"/>
                <w:sz w:val="24"/>
              </w:rPr>
              <w:t>1</w:t>
            </w:r>
          </w:p>
        </w:tc>
        <w:tc>
          <w:tcPr>
            <w:tcW w:w="900" w:type="dxa"/>
            <w:noWrap/>
            <w:vAlign w:val="center"/>
          </w:tcPr>
          <w:p>
            <w:pPr>
              <w:spacing w:line="320" w:lineRule="exact"/>
              <w:jc w:val="center"/>
              <w:textAlignment w:val="center"/>
              <w:rPr>
                <w:sz w:val="24"/>
              </w:rPr>
            </w:pPr>
            <w:r>
              <w:rPr>
                <w:rFonts w:hint="eastAsia"/>
                <w:sz w:val="24"/>
                <w:lang w:bidi="ar"/>
              </w:rPr>
              <w:t>1</w:t>
            </w: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vMerge w:val="continue"/>
            <w:noWrap/>
            <w:vAlign w:val="center"/>
          </w:tcPr>
          <w:p>
            <w:pPr>
              <w:spacing w:line="320" w:lineRule="exact"/>
              <w:jc w:val="center"/>
              <w:textAlignment w:val="center"/>
              <w:rPr>
                <w:sz w:val="24"/>
                <w:lang w:bidi="ar"/>
              </w:rPr>
            </w:pPr>
          </w:p>
        </w:tc>
        <w:tc>
          <w:tcPr>
            <w:tcW w:w="1232" w:type="dxa"/>
            <w:noWrap w:val="0"/>
            <w:vAlign w:val="center"/>
          </w:tcPr>
          <w:p>
            <w:pPr>
              <w:spacing w:line="320" w:lineRule="exact"/>
              <w:jc w:val="center"/>
              <w:textAlignment w:val="center"/>
              <w:rPr>
                <w:sz w:val="24"/>
                <w:lang w:bidi="ar"/>
              </w:rPr>
            </w:pPr>
            <w:r>
              <w:rPr>
                <w:sz w:val="24"/>
                <w:lang w:bidi="ar"/>
              </w:rPr>
              <w:t>高速公路</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lang w:bidi="ar"/>
              </w:rPr>
            </w:pPr>
          </w:p>
        </w:tc>
        <w:tc>
          <w:tcPr>
            <w:tcW w:w="900" w:type="dxa"/>
            <w:noWrap/>
            <w:vAlign w:val="center"/>
          </w:tcPr>
          <w:p>
            <w:pPr>
              <w:spacing w:line="320" w:lineRule="exact"/>
              <w:jc w:val="center"/>
              <w:textAlignment w:val="center"/>
              <w:rPr>
                <w:sz w:val="24"/>
                <w:lang w:bidi="ar"/>
              </w:rPr>
            </w:pPr>
            <w:r>
              <w:rPr>
                <w:rFonts w:hint="eastAsia"/>
                <w:sz w:val="24"/>
                <w:lang w:bidi="ar"/>
              </w:rPr>
              <w:t>2</w:t>
            </w: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ign w:val="center"/>
          </w:tcPr>
          <w:p>
            <w:pPr>
              <w:spacing w:line="320" w:lineRule="exact"/>
              <w:jc w:val="center"/>
              <w:textAlignment w:val="center"/>
              <w:rPr>
                <w:sz w:val="24"/>
              </w:rPr>
            </w:pPr>
            <w:r>
              <w:rPr>
                <w:sz w:val="24"/>
                <w:lang w:bidi="ar"/>
              </w:rPr>
              <w:t>永康</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p>
        </w:tc>
        <w:tc>
          <w:tcPr>
            <w:tcW w:w="1029" w:type="dxa"/>
            <w:vMerge w:val="continue"/>
            <w:noWrap w:val="0"/>
            <w:vAlign w:val="center"/>
          </w:tcPr>
          <w:p>
            <w:pPr>
              <w:spacing w:line="320" w:lineRule="exact"/>
              <w:jc w:val="center"/>
              <w:textAlignment w:val="center"/>
              <w:rPr>
                <w:sz w:val="24"/>
              </w:rPr>
            </w:pPr>
          </w:p>
        </w:tc>
        <w:tc>
          <w:tcPr>
            <w:tcW w:w="1060" w:type="dxa"/>
            <w:vMerge w:val="continue"/>
            <w:noWrap w:val="0"/>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restart"/>
            <w:noWrap/>
            <w:vAlign w:val="center"/>
          </w:tcPr>
          <w:p>
            <w:pPr>
              <w:spacing w:line="320" w:lineRule="exact"/>
              <w:jc w:val="center"/>
              <w:textAlignment w:val="center"/>
              <w:rPr>
                <w:sz w:val="24"/>
              </w:rPr>
            </w:pPr>
            <w:r>
              <w:rPr>
                <w:sz w:val="24"/>
                <w:lang w:bidi="ar"/>
              </w:rPr>
              <w:t>舟山</w:t>
            </w:r>
          </w:p>
        </w:tc>
        <w:tc>
          <w:tcPr>
            <w:tcW w:w="921" w:type="dxa"/>
            <w:noWrap/>
            <w:vAlign w:val="center"/>
          </w:tcPr>
          <w:p>
            <w:pPr>
              <w:spacing w:line="320" w:lineRule="exact"/>
              <w:jc w:val="center"/>
              <w:textAlignment w:val="center"/>
              <w:rPr>
                <w:sz w:val="24"/>
              </w:rPr>
            </w:pPr>
            <w:r>
              <w:rPr>
                <w:sz w:val="24"/>
                <w:lang w:bidi="ar"/>
              </w:rPr>
              <w:t>定海</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r>
              <w:rPr>
                <w:sz w:val="24"/>
                <w:lang w:bidi="ar"/>
              </w:rPr>
              <w:t>2</w:t>
            </w:r>
          </w:p>
        </w:tc>
        <w:tc>
          <w:tcPr>
            <w:tcW w:w="1029" w:type="dxa"/>
            <w:vMerge w:val="restart"/>
            <w:noWrap/>
            <w:vAlign w:val="center"/>
          </w:tcPr>
          <w:p>
            <w:pPr>
              <w:spacing w:line="320" w:lineRule="exact"/>
              <w:jc w:val="center"/>
              <w:textAlignment w:val="center"/>
              <w:rPr>
                <w:sz w:val="24"/>
              </w:rPr>
            </w:pPr>
            <w:r>
              <w:rPr>
                <w:sz w:val="24"/>
                <w:lang w:bidi="ar"/>
              </w:rPr>
              <w:t>3</w:t>
            </w:r>
          </w:p>
        </w:tc>
        <w:tc>
          <w:tcPr>
            <w:tcW w:w="1060" w:type="dxa"/>
            <w:vMerge w:val="restart"/>
            <w:noWrap/>
            <w:vAlign w:val="center"/>
          </w:tcPr>
          <w:p>
            <w:pPr>
              <w:spacing w:line="320" w:lineRule="exact"/>
              <w:jc w:val="center"/>
              <w:textAlignment w:val="center"/>
              <w:rPr>
                <w:sz w:val="24"/>
              </w:rPr>
            </w:pPr>
            <w:r>
              <w:rPr>
                <w:sz w:val="24"/>
                <w:lang w:bidi="ar"/>
              </w:rPr>
              <w:t>2</w:t>
            </w:r>
          </w:p>
        </w:tc>
        <w:tc>
          <w:tcPr>
            <w:tcW w:w="750" w:type="dxa"/>
            <w:vMerge w:val="restart"/>
            <w:noWrap/>
            <w:vAlign w:val="center"/>
          </w:tcPr>
          <w:p>
            <w:pPr>
              <w:spacing w:line="320" w:lineRule="exact"/>
              <w:jc w:val="center"/>
              <w:textAlignment w:val="center"/>
              <w:rPr>
                <w:sz w:val="24"/>
              </w:rPr>
            </w:pPr>
            <w:r>
              <w:rPr>
                <w:sz w:val="24"/>
                <w:lang w:bidi="ar"/>
              </w:rPr>
              <w:t>5</w:t>
            </w:r>
          </w:p>
        </w:tc>
        <w:tc>
          <w:tcPr>
            <w:tcW w:w="975" w:type="dxa"/>
            <w:vMerge w:val="restart"/>
            <w:noWrap/>
            <w:vAlign w:val="center"/>
          </w:tcPr>
          <w:p>
            <w:pPr>
              <w:spacing w:line="320" w:lineRule="exact"/>
              <w:jc w:val="center"/>
              <w:textAlignment w:val="center"/>
              <w:rPr>
                <w:sz w:val="24"/>
              </w:rPr>
            </w:pPr>
            <w:r>
              <w:rPr>
                <w:sz w:val="24"/>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ign w:val="center"/>
          </w:tcPr>
          <w:p>
            <w:pPr>
              <w:spacing w:line="320" w:lineRule="exact"/>
              <w:jc w:val="center"/>
              <w:textAlignment w:val="center"/>
              <w:rPr>
                <w:sz w:val="24"/>
              </w:rPr>
            </w:pPr>
            <w:r>
              <w:rPr>
                <w:sz w:val="24"/>
                <w:lang w:bidi="ar"/>
              </w:rPr>
              <w:t>普陀</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r>
              <w:rPr>
                <w:rFonts w:hint="eastAsia"/>
                <w:sz w:val="24"/>
                <w:lang w:bidi="ar"/>
              </w:rPr>
              <w:t>1</w:t>
            </w: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ign w:val="center"/>
          </w:tcPr>
          <w:p>
            <w:pPr>
              <w:spacing w:line="320" w:lineRule="exact"/>
              <w:jc w:val="center"/>
              <w:textAlignment w:val="center"/>
              <w:rPr>
                <w:sz w:val="24"/>
              </w:rPr>
            </w:pPr>
            <w:r>
              <w:rPr>
                <w:sz w:val="24"/>
                <w:lang w:bidi="ar"/>
              </w:rPr>
              <w:t>岱山</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0"/>
            <w:vAlign w:val="center"/>
          </w:tcPr>
          <w:p>
            <w:pPr>
              <w:spacing w:line="320" w:lineRule="exact"/>
              <w:jc w:val="center"/>
              <w:textAlignment w:val="center"/>
              <w:rPr>
                <w:sz w:val="24"/>
              </w:rPr>
            </w:pPr>
            <w:r>
              <w:rPr>
                <w:sz w:val="24"/>
                <w:lang w:bidi="ar"/>
              </w:rPr>
              <w:t>舟山高新区</w:t>
            </w:r>
          </w:p>
        </w:tc>
        <w:tc>
          <w:tcPr>
            <w:tcW w:w="1232" w:type="dxa"/>
            <w:noWrap w:val="0"/>
            <w:vAlign w:val="center"/>
          </w:tcPr>
          <w:p>
            <w:pPr>
              <w:spacing w:line="320" w:lineRule="exact"/>
              <w:jc w:val="center"/>
              <w:textAlignment w:val="center"/>
              <w:rPr>
                <w:sz w:val="24"/>
              </w:rPr>
            </w:pPr>
            <w:r>
              <w:rPr>
                <w:sz w:val="24"/>
                <w:lang w:bidi="ar"/>
              </w:rPr>
              <w:t>产业园区</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noWrap w:val="0"/>
            <w:vAlign w:val="center"/>
          </w:tcPr>
          <w:p>
            <w:pPr>
              <w:spacing w:line="320" w:lineRule="exact"/>
              <w:jc w:val="center"/>
              <w:textAlignment w:val="center"/>
              <w:rPr>
                <w:sz w:val="24"/>
              </w:rPr>
            </w:pPr>
            <w:r>
              <w:rPr>
                <w:sz w:val="24"/>
                <w:lang w:bidi="ar"/>
              </w:rPr>
              <w:t>金塘</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vMerge w:val="restart"/>
            <w:noWrap/>
            <w:vAlign w:val="center"/>
          </w:tcPr>
          <w:p>
            <w:pPr>
              <w:spacing w:line="320" w:lineRule="exact"/>
              <w:jc w:val="center"/>
              <w:textAlignment w:val="center"/>
              <w:rPr>
                <w:sz w:val="24"/>
              </w:rPr>
            </w:pPr>
            <w:r>
              <w:rPr>
                <w:sz w:val="24"/>
                <w:lang w:bidi="ar"/>
              </w:rPr>
              <w:t>六横</w:t>
            </w:r>
          </w:p>
        </w:tc>
        <w:tc>
          <w:tcPr>
            <w:tcW w:w="1232" w:type="dxa"/>
            <w:noWrap w:val="0"/>
            <w:vAlign w:val="center"/>
          </w:tcPr>
          <w:p>
            <w:pPr>
              <w:spacing w:line="320" w:lineRule="exact"/>
              <w:jc w:val="center"/>
              <w:textAlignment w:val="center"/>
              <w:rPr>
                <w:sz w:val="24"/>
              </w:rPr>
            </w:pPr>
            <w:r>
              <w:rPr>
                <w:sz w:val="24"/>
                <w:lang w:bidi="ar"/>
              </w:rPr>
              <w:t>城镇</w:t>
            </w:r>
          </w:p>
        </w:tc>
        <w:tc>
          <w:tcPr>
            <w:tcW w:w="943" w:type="dxa"/>
            <w:noWrap/>
            <w:vAlign w:val="center"/>
          </w:tcPr>
          <w:p>
            <w:pPr>
              <w:spacing w:line="320" w:lineRule="exact"/>
              <w:jc w:val="center"/>
              <w:textAlignment w:val="center"/>
              <w:rPr>
                <w:sz w:val="24"/>
              </w:rPr>
            </w:pPr>
            <w:r>
              <w:rPr>
                <w:rFonts w:hint="eastAsia"/>
                <w:sz w:val="24"/>
              </w:rPr>
              <w:t>1</w:t>
            </w:r>
          </w:p>
        </w:tc>
        <w:tc>
          <w:tcPr>
            <w:tcW w:w="900" w:type="dxa"/>
            <w:noWrap/>
            <w:vAlign w:val="center"/>
          </w:tcPr>
          <w:p>
            <w:pPr>
              <w:spacing w:line="320" w:lineRule="exact"/>
              <w:jc w:val="center"/>
              <w:textAlignment w:val="center"/>
              <w:rPr>
                <w:sz w:val="24"/>
              </w:rPr>
            </w:pPr>
          </w:p>
        </w:tc>
        <w:tc>
          <w:tcPr>
            <w:tcW w:w="900" w:type="dxa"/>
            <w:noWrap/>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ign w:val="center"/>
          </w:tcPr>
          <w:p>
            <w:pPr>
              <w:spacing w:line="320" w:lineRule="exact"/>
              <w:jc w:val="center"/>
              <w:textAlignment w:val="center"/>
              <w:rPr>
                <w:sz w:val="24"/>
              </w:rPr>
            </w:pPr>
          </w:p>
        </w:tc>
        <w:tc>
          <w:tcPr>
            <w:tcW w:w="921" w:type="dxa"/>
            <w:vMerge w:val="continue"/>
            <w:noWrap/>
            <w:vAlign w:val="center"/>
          </w:tcPr>
          <w:p>
            <w:pPr>
              <w:spacing w:line="320" w:lineRule="exact"/>
              <w:jc w:val="center"/>
              <w:textAlignment w:val="center"/>
              <w:rPr>
                <w:sz w:val="24"/>
              </w:rPr>
            </w:pPr>
          </w:p>
        </w:tc>
        <w:tc>
          <w:tcPr>
            <w:tcW w:w="1232" w:type="dxa"/>
            <w:noWrap w:val="0"/>
            <w:vAlign w:val="center"/>
          </w:tcPr>
          <w:p>
            <w:pPr>
              <w:spacing w:line="320" w:lineRule="exact"/>
              <w:jc w:val="center"/>
              <w:textAlignment w:val="center"/>
              <w:rPr>
                <w:sz w:val="24"/>
              </w:rPr>
            </w:pPr>
            <w:r>
              <w:rPr>
                <w:sz w:val="24"/>
                <w:lang w:bidi="ar"/>
              </w:rPr>
              <w:t>船舶</w:t>
            </w:r>
          </w:p>
        </w:tc>
        <w:tc>
          <w:tcPr>
            <w:tcW w:w="943" w:type="dxa"/>
            <w:noWrap w:val="0"/>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p>
        </w:tc>
        <w:tc>
          <w:tcPr>
            <w:tcW w:w="900" w:type="dxa"/>
            <w:noWrap w:val="0"/>
            <w:vAlign w:val="center"/>
          </w:tcPr>
          <w:p>
            <w:pPr>
              <w:spacing w:line="320" w:lineRule="exact"/>
              <w:jc w:val="center"/>
              <w:textAlignment w:val="center"/>
              <w:rPr>
                <w:sz w:val="24"/>
              </w:rPr>
            </w:pPr>
            <w:r>
              <w:rPr>
                <w:sz w:val="24"/>
                <w:lang w:bidi="ar"/>
              </w:rPr>
              <w:t>1</w:t>
            </w:r>
          </w:p>
        </w:tc>
        <w:tc>
          <w:tcPr>
            <w:tcW w:w="1029" w:type="dxa"/>
            <w:vMerge w:val="continue"/>
            <w:noWrap/>
            <w:vAlign w:val="center"/>
          </w:tcPr>
          <w:p>
            <w:pPr>
              <w:spacing w:line="320" w:lineRule="exact"/>
              <w:jc w:val="center"/>
              <w:textAlignment w:val="center"/>
              <w:rPr>
                <w:sz w:val="24"/>
              </w:rPr>
            </w:pPr>
          </w:p>
        </w:tc>
        <w:tc>
          <w:tcPr>
            <w:tcW w:w="1060" w:type="dxa"/>
            <w:vMerge w:val="continue"/>
            <w:noWrap/>
            <w:vAlign w:val="center"/>
          </w:tcPr>
          <w:p>
            <w:pPr>
              <w:spacing w:line="320" w:lineRule="exact"/>
              <w:jc w:val="center"/>
              <w:textAlignment w:val="center"/>
              <w:rPr>
                <w:sz w:val="24"/>
              </w:rPr>
            </w:pPr>
          </w:p>
        </w:tc>
        <w:tc>
          <w:tcPr>
            <w:tcW w:w="750" w:type="dxa"/>
            <w:vMerge w:val="continue"/>
            <w:noWrap/>
            <w:vAlign w:val="center"/>
          </w:tcPr>
          <w:p>
            <w:pPr>
              <w:spacing w:line="320" w:lineRule="exact"/>
              <w:jc w:val="center"/>
              <w:textAlignment w:val="center"/>
              <w:rPr>
                <w:sz w:val="24"/>
              </w:rPr>
            </w:pPr>
          </w:p>
        </w:tc>
        <w:tc>
          <w:tcPr>
            <w:tcW w:w="975" w:type="dxa"/>
            <w:vMerge w:val="continue"/>
            <w:noWrap/>
            <w:vAlign w:val="center"/>
          </w:tcPr>
          <w:p>
            <w:pPr>
              <w:spacing w:line="320" w:lineRule="exact"/>
              <w:jc w:val="center"/>
              <w:textAlignment w:val="center"/>
              <w:rPr>
                <w:sz w:val="24"/>
              </w:rPr>
            </w:pPr>
          </w:p>
        </w:tc>
      </w:tr>
      <w:tr>
        <w:tblPrEx>
          <w:tblCellMar>
            <w:top w:w="0" w:type="dxa"/>
            <w:left w:w="108" w:type="dxa"/>
            <w:bottom w:w="0" w:type="dxa"/>
            <w:right w:w="108" w:type="dxa"/>
          </w:tblCellMar>
        </w:tblPrEx>
        <w:trPr>
          <w:jc w:val="center"/>
        </w:trPr>
        <w:tc>
          <w:tcPr>
            <w:tcW w:w="5371" w:type="dxa"/>
            <w:gridSpan w:val="6"/>
            <w:noWrap/>
            <w:vAlign w:val="center"/>
          </w:tcPr>
          <w:p>
            <w:pPr>
              <w:spacing w:line="320" w:lineRule="exact"/>
              <w:jc w:val="center"/>
              <w:textAlignment w:val="center"/>
              <w:rPr>
                <w:b/>
                <w:bCs/>
                <w:sz w:val="24"/>
              </w:rPr>
            </w:pPr>
            <w:r>
              <w:rPr>
                <w:rFonts w:hint="eastAsia"/>
                <w:b/>
                <w:bCs/>
                <w:sz w:val="24"/>
                <w:lang w:bidi="ar"/>
              </w:rPr>
              <w:t>总计</w:t>
            </w:r>
          </w:p>
        </w:tc>
        <w:tc>
          <w:tcPr>
            <w:tcW w:w="1029" w:type="dxa"/>
            <w:noWrap/>
            <w:vAlign w:val="center"/>
          </w:tcPr>
          <w:p>
            <w:pPr>
              <w:spacing w:line="320" w:lineRule="exact"/>
              <w:jc w:val="center"/>
              <w:textAlignment w:val="center"/>
              <w:rPr>
                <w:b/>
                <w:bCs/>
                <w:sz w:val="24"/>
              </w:rPr>
            </w:pPr>
            <w:r>
              <w:rPr>
                <w:b/>
                <w:bCs/>
                <w:sz w:val="24"/>
                <w:lang w:bidi="ar"/>
              </w:rPr>
              <w:t>17</w:t>
            </w:r>
          </w:p>
        </w:tc>
        <w:tc>
          <w:tcPr>
            <w:tcW w:w="1060" w:type="dxa"/>
            <w:noWrap/>
            <w:vAlign w:val="center"/>
          </w:tcPr>
          <w:p>
            <w:pPr>
              <w:spacing w:line="320" w:lineRule="exact"/>
              <w:jc w:val="center"/>
              <w:textAlignment w:val="center"/>
              <w:rPr>
                <w:b/>
                <w:bCs/>
                <w:sz w:val="24"/>
              </w:rPr>
            </w:pPr>
            <w:r>
              <w:rPr>
                <w:rFonts w:hint="eastAsia"/>
                <w:b/>
                <w:bCs/>
                <w:sz w:val="24"/>
                <w:lang w:bidi="ar"/>
              </w:rPr>
              <w:t>13</w:t>
            </w:r>
          </w:p>
        </w:tc>
        <w:tc>
          <w:tcPr>
            <w:tcW w:w="750" w:type="dxa"/>
            <w:noWrap/>
            <w:vAlign w:val="center"/>
          </w:tcPr>
          <w:p>
            <w:pPr>
              <w:spacing w:line="320" w:lineRule="exact"/>
              <w:jc w:val="center"/>
              <w:textAlignment w:val="center"/>
              <w:rPr>
                <w:b/>
                <w:bCs/>
                <w:sz w:val="24"/>
              </w:rPr>
            </w:pPr>
            <w:r>
              <w:rPr>
                <w:rFonts w:hint="eastAsia"/>
                <w:b/>
                <w:bCs/>
                <w:sz w:val="24"/>
                <w:lang w:bidi="ar"/>
              </w:rPr>
              <w:t>30</w:t>
            </w:r>
          </w:p>
        </w:tc>
        <w:tc>
          <w:tcPr>
            <w:tcW w:w="975" w:type="dxa"/>
            <w:noWrap/>
            <w:vAlign w:val="center"/>
          </w:tcPr>
          <w:p>
            <w:pPr>
              <w:spacing w:line="320" w:lineRule="exact"/>
              <w:jc w:val="center"/>
              <w:textAlignment w:val="center"/>
              <w:rPr>
                <w:b/>
                <w:bCs/>
                <w:sz w:val="24"/>
              </w:rPr>
            </w:pPr>
            <w:r>
              <w:rPr>
                <w:b/>
                <w:bCs/>
                <w:sz w:val="24"/>
                <w:lang w:bidi="ar"/>
              </w:rPr>
              <w:t>5</w:t>
            </w:r>
            <w:r>
              <w:rPr>
                <w:rFonts w:hint="eastAsia"/>
                <w:b/>
                <w:bCs/>
                <w:sz w:val="24"/>
                <w:lang w:bidi="ar"/>
              </w:rPr>
              <w:t>4</w:t>
            </w:r>
          </w:p>
        </w:tc>
      </w:tr>
    </w:tbl>
    <w:p>
      <w:pPr>
        <w:spacing w:line="579" w:lineRule="exact"/>
        <w:ind w:firstLine="630" w:firstLineChars="200"/>
        <w:outlineLvl w:val="1"/>
        <w:rPr>
          <w:rFonts w:eastAsia="楷体_GB2312"/>
          <w:szCs w:val="32"/>
        </w:rPr>
      </w:pPr>
      <w:r>
        <w:rPr>
          <w:rFonts w:ascii="Times New Roman" w:hAnsi="Times New Roman" w:eastAsia="楷体_GB2312" w:cs="Times New Roman"/>
          <w:b/>
          <w:bCs/>
          <w:szCs w:val="32"/>
        </w:rPr>
        <w:t>（三）</w:t>
      </w:r>
      <w:r>
        <w:rPr>
          <w:rFonts w:ascii="Times New Roman" w:hAnsi="Times New Roman" w:eastAsia="楷体_GB2312" w:cs="Times New Roman"/>
          <w:b/>
          <w:bCs/>
          <w:color w:val="0C0C0C"/>
          <w:szCs w:val="32"/>
        </w:rPr>
        <w:t>浙西南氢能产业培育区</w:t>
      </w:r>
      <w:bookmarkEnd w:id="59"/>
      <w:bookmarkEnd w:id="60"/>
    </w:p>
    <w:p>
      <w:pPr>
        <w:spacing w:line="579" w:lineRule="exact"/>
        <w:ind w:firstLine="686" w:firstLineChars="200"/>
        <w:rPr>
          <w:spacing w:val="8"/>
          <w:szCs w:val="32"/>
          <w:shd w:val="clear" w:color="auto" w:fill="FFFFFF"/>
        </w:rPr>
      </w:pPr>
      <w:r>
        <w:rPr>
          <w:rFonts w:hint="eastAsia"/>
          <w:spacing w:val="8"/>
          <w:szCs w:val="32"/>
          <w:shd w:val="clear" w:color="auto" w:fill="FFFFFF"/>
        </w:rPr>
        <w:t>综合</w:t>
      </w:r>
      <w:r>
        <w:rPr>
          <w:spacing w:val="8"/>
          <w:szCs w:val="32"/>
          <w:shd w:val="clear" w:color="auto" w:fill="FFFFFF"/>
        </w:rPr>
        <w:t>考虑国省道交通流量、场地条件，</w:t>
      </w:r>
      <w:r>
        <w:rPr>
          <w:rFonts w:hint="eastAsia"/>
          <w:spacing w:val="8"/>
          <w:szCs w:val="32"/>
          <w:shd w:val="clear" w:color="auto" w:fill="FFFFFF"/>
        </w:rPr>
        <w:t>推动</w:t>
      </w:r>
      <w:r>
        <w:rPr>
          <w:spacing w:val="8"/>
          <w:szCs w:val="32"/>
          <w:shd w:val="clear" w:color="auto" w:fill="FFFFFF"/>
        </w:rPr>
        <w:t>现有综合供能服务站改造</w:t>
      </w:r>
      <w:r>
        <w:rPr>
          <w:rFonts w:hint="eastAsia"/>
          <w:spacing w:val="8"/>
          <w:szCs w:val="32"/>
          <w:shd w:val="clear" w:color="auto" w:fill="FFFFFF"/>
        </w:rPr>
        <w:t>提升</w:t>
      </w:r>
      <w:r>
        <w:rPr>
          <w:spacing w:val="8"/>
          <w:szCs w:val="32"/>
          <w:shd w:val="clear" w:color="auto" w:fill="FFFFFF"/>
        </w:rPr>
        <w:t>，</w:t>
      </w:r>
      <w:r>
        <w:rPr>
          <w:rFonts w:hint="eastAsia"/>
          <w:spacing w:val="8"/>
          <w:szCs w:val="32"/>
          <w:shd w:val="clear" w:color="auto" w:fill="FFFFFF"/>
        </w:rPr>
        <w:t>形成宁波、</w:t>
      </w:r>
      <w:r>
        <w:rPr>
          <w:spacing w:val="8"/>
          <w:szCs w:val="32"/>
          <w:shd w:val="clear" w:color="auto" w:fill="FFFFFF"/>
        </w:rPr>
        <w:t>舟山氢源辐射台州，衢州氢源辐射丽水</w:t>
      </w:r>
      <w:r>
        <w:rPr>
          <w:rFonts w:hint="eastAsia"/>
          <w:spacing w:val="8"/>
          <w:szCs w:val="32"/>
          <w:shd w:val="clear" w:color="auto" w:fill="FFFFFF"/>
        </w:rPr>
        <w:t>的加氢网络</w:t>
      </w:r>
      <w:r>
        <w:rPr>
          <w:spacing w:val="8"/>
          <w:szCs w:val="32"/>
          <w:shd w:val="clear" w:color="auto" w:fill="FFFFFF"/>
        </w:rPr>
        <w:t>。到2025年，建设</w:t>
      </w:r>
      <w:r>
        <w:rPr>
          <w:rFonts w:hint="eastAsia"/>
          <w:spacing w:val="8"/>
          <w:szCs w:val="32"/>
          <w:shd w:val="clear" w:color="auto" w:fill="FFFFFF"/>
        </w:rPr>
        <w:t>浙西南氢能产业培育区</w:t>
      </w:r>
      <w:r>
        <w:rPr>
          <w:spacing w:val="8"/>
          <w:szCs w:val="32"/>
          <w:shd w:val="clear" w:color="auto" w:fill="FFFFFF"/>
        </w:rPr>
        <w:t>加氢站7座以上</w:t>
      </w:r>
      <w:r>
        <w:rPr>
          <w:rFonts w:hint="eastAsia"/>
          <w:spacing w:val="8"/>
          <w:szCs w:val="32"/>
          <w:shd w:val="clear" w:color="auto" w:fill="FFFFFF"/>
        </w:rPr>
        <w:t>、</w:t>
      </w:r>
      <w:r>
        <w:rPr>
          <w:spacing w:val="8"/>
          <w:szCs w:val="32"/>
          <w:shd w:val="clear" w:color="auto" w:fill="FFFFFF"/>
        </w:rPr>
        <w:t>日加氢能力合计3.5吨以上，在温州、丽水等地因地制宜推进可再生能源制氢试点</w:t>
      </w:r>
      <w:r>
        <w:rPr>
          <w:szCs w:val="32"/>
          <w:shd w:val="clear" w:color="auto" w:fill="FFFFFF"/>
        </w:rPr>
        <w:t>。</w:t>
      </w:r>
      <w:r>
        <w:rPr>
          <w:spacing w:val="8"/>
          <w:szCs w:val="32"/>
          <w:shd w:val="clear" w:color="auto" w:fill="FFFFFF"/>
        </w:rPr>
        <w:t>到2030年，氢源保障</w:t>
      </w:r>
      <w:r>
        <w:rPr>
          <w:rFonts w:hint="eastAsia"/>
          <w:spacing w:val="8"/>
          <w:szCs w:val="32"/>
          <w:shd w:val="clear" w:color="auto" w:fill="FFFFFF"/>
        </w:rPr>
        <w:t>逐渐增强</w:t>
      </w:r>
      <w:r>
        <w:rPr>
          <w:spacing w:val="8"/>
          <w:szCs w:val="32"/>
          <w:shd w:val="clear" w:color="auto" w:fill="FFFFFF"/>
        </w:rPr>
        <w:t>，</w:t>
      </w:r>
      <w:r>
        <w:rPr>
          <w:rFonts w:hint="eastAsia"/>
          <w:spacing w:val="8"/>
          <w:szCs w:val="32"/>
          <w:shd w:val="clear" w:color="auto" w:fill="FFFFFF"/>
        </w:rPr>
        <w:t>加快</w:t>
      </w:r>
      <w:r>
        <w:rPr>
          <w:spacing w:val="8"/>
          <w:szCs w:val="32"/>
          <w:shd w:val="clear" w:color="auto" w:fill="FFFFFF"/>
        </w:rPr>
        <w:t>陆地、港口、水上加氢基础设施建设</w:t>
      </w:r>
      <w:r>
        <w:rPr>
          <w:szCs w:val="32"/>
          <w:shd w:val="clear" w:color="auto" w:fill="FFFFFF"/>
          <w:lang w:bidi="ar"/>
        </w:rPr>
        <w:t>。</w:t>
      </w:r>
      <w:r>
        <w:rPr>
          <w:spacing w:val="8"/>
          <w:szCs w:val="32"/>
          <w:shd w:val="clear" w:color="auto" w:fill="FFFFFF"/>
        </w:rPr>
        <w:t>详见表3-3。</w:t>
      </w:r>
    </w:p>
    <w:p>
      <w:pPr>
        <w:pStyle w:val="5"/>
        <w:spacing w:after="0" w:line="580" w:lineRule="exact"/>
        <w:ind w:firstLine="276"/>
        <w:jc w:val="center"/>
      </w:pPr>
      <w:r>
        <w:rPr>
          <w:rFonts w:ascii="Times New Roman" w:hAnsi="Times New Roman" w:eastAsia="黑体"/>
          <w:color w:val="0C0C0C"/>
          <w:sz w:val="28"/>
          <w:szCs w:val="28"/>
        </w:rPr>
        <w:t>表3-3 浙西南氢能产业培育区站点布局表</w:t>
      </w:r>
    </w:p>
    <w:tbl>
      <w:tblPr>
        <w:tblStyle w:val="9"/>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58"/>
        <w:gridCol w:w="1425"/>
        <w:gridCol w:w="942"/>
        <w:gridCol w:w="890"/>
        <w:gridCol w:w="878"/>
        <w:gridCol w:w="997"/>
        <w:gridCol w:w="1060"/>
        <w:gridCol w:w="922"/>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0" w:type="dxa"/>
            <w:vMerge w:val="restart"/>
            <w:noWrap w:val="0"/>
            <w:vAlign w:val="center"/>
          </w:tcPr>
          <w:p>
            <w:pPr>
              <w:spacing w:line="320" w:lineRule="exact"/>
              <w:jc w:val="center"/>
              <w:textAlignment w:val="center"/>
              <w:rPr>
                <w:rFonts w:eastAsia="黑体"/>
                <w:sz w:val="24"/>
              </w:rPr>
            </w:pPr>
            <w:r>
              <w:rPr>
                <w:rFonts w:eastAsia="黑体"/>
                <w:kern w:val="0"/>
                <w:sz w:val="24"/>
                <w:lang w:bidi="ar"/>
              </w:rPr>
              <w:t>地区</w:t>
            </w:r>
          </w:p>
        </w:tc>
        <w:tc>
          <w:tcPr>
            <w:tcW w:w="858" w:type="dxa"/>
            <w:vMerge w:val="restart"/>
            <w:noWrap w:val="0"/>
            <w:vAlign w:val="center"/>
          </w:tcPr>
          <w:p>
            <w:pPr>
              <w:spacing w:line="320" w:lineRule="exact"/>
              <w:jc w:val="center"/>
              <w:textAlignment w:val="center"/>
              <w:rPr>
                <w:rFonts w:eastAsia="黑体"/>
                <w:sz w:val="24"/>
              </w:rPr>
            </w:pPr>
            <w:r>
              <w:rPr>
                <w:rFonts w:eastAsia="黑体"/>
                <w:kern w:val="0"/>
                <w:sz w:val="24"/>
                <w:lang w:bidi="ar"/>
              </w:rPr>
              <w:t>区县</w:t>
            </w:r>
          </w:p>
        </w:tc>
        <w:tc>
          <w:tcPr>
            <w:tcW w:w="1425" w:type="dxa"/>
            <w:vMerge w:val="restart"/>
            <w:noWrap w:val="0"/>
            <w:vAlign w:val="center"/>
          </w:tcPr>
          <w:p>
            <w:pPr>
              <w:spacing w:line="320" w:lineRule="exact"/>
              <w:jc w:val="center"/>
              <w:textAlignment w:val="center"/>
              <w:rPr>
                <w:rFonts w:eastAsia="黑体"/>
                <w:sz w:val="24"/>
              </w:rPr>
            </w:pPr>
            <w:r>
              <w:rPr>
                <w:rFonts w:eastAsia="黑体"/>
                <w:kern w:val="0"/>
                <w:sz w:val="24"/>
                <w:lang w:bidi="ar"/>
              </w:rPr>
              <w:t>布点类型</w:t>
            </w:r>
          </w:p>
        </w:tc>
        <w:tc>
          <w:tcPr>
            <w:tcW w:w="2710" w:type="dxa"/>
            <w:gridSpan w:val="3"/>
            <w:noWrap w:val="0"/>
            <w:vAlign w:val="center"/>
          </w:tcPr>
          <w:p>
            <w:pPr>
              <w:spacing w:line="320" w:lineRule="exact"/>
              <w:jc w:val="center"/>
              <w:rPr>
                <w:rFonts w:eastAsia="黑体"/>
                <w:sz w:val="24"/>
              </w:rPr>
            </w:pPr>
            <w:r>
              <w:rPr>
                <w:rFonts w:eastAsia="黑体"/>
                <w:kern w:val="0"/>
                <w:sz w:val="24"/>
                <w:lang w:bidi="ar"/>
              </w:rPr>
              <w:t>站点数量</w:t>
            </w:r>
          </w:p>
        </w:tc>
        <w:tc>
          <w:tcPr>
            <w:tcW w:w="997" w:type="dxa"/>
            <w:vMerge w:val="restart"/>
            <w:noWrap w:val="0"/>
            <w:vAlign w:val="center"/>
          </w:tcPr>
          <w:p>
            <w:pPr>
              <w:spacing w:line="320" w:lineRule="exact"/>
              <w:jc w:val="center"/>
              <w:textAlignment w:val="center"/>
              <w:rPr>
                <w:rFonts w:eastAsia="黑体"/>
                <w:sz w:val="24"/>
              </w:rPr>
            </w:pPr>
            <w:r>
              <w:rPr>
                <w:rFonts w:eastAsia="黑体"/>
                <w:kern w:val="0"/>
                <w:sz w:val="24"/>
                <w:lang w:bidi="ar"/>
              </w:rPr>
              <w:t>“十四五”实施类站点总数</w:t>
            </w:r>
          </w:p>
        </w:tc>
        <w:tc>
          <w:tcPr>
            <w:tcW w:w="1060" w:type="dxa"/>
            <w:vMerge w:val="restart"/>
            <w:noWrap w:val="0"/>
            <w:vAlign w:val="center"/>
          </w:tcPr>
          <w:p>
            <w:pPr>
              <w:spacing w:line="320" w:lineRule="exact"/>
              <w:jc w:val="center"/>
              <w:textAlignment w:val="center"/>
              <w:rPr>
                <w:rFonts w:eastAsia="黑体"/>
                <w:sz w:val="24"/>
              </w:rPr>
            </w:pPr>
            <w:r>
              <w:rPr>
                <w:rFonts w:eastAsia="黑体"/>
                <w:kern w:val="0"/>
                <w:sz w:val="24"/>
                <w:lang w:bidi="ar"/>
              </w:rPr>
              <w:t>“十四五”储备类站点总数</w:t>
            </w:r>
          </w:p>
        </w:tc>
        <w:tc>
          <w:tcPr>
            <w:tcW w:w="922" w:type="dxa"/>
            <w:vMerge w:val="restart"/>
            <w:noWrap w:val="0"/>
            <w:vAlign w:val="center"/>
          </w:tcPr>
          <w:p>
            <w:pPr>
              <w:spacing w:line="320" w:lineRule="exact"/>
              <w:jc w:val="center"/>
              <w:textAlignment w:val="center"/>
              <w:rPr>
                <w:rFonts w:eastAsia="黑体"/>
                <w:sz w:val="24"/>
              </w:rPr>
            </w:pPr>
            <w:r>
              <w:rPr>
                <w:rFonts w:eastAsia="黑体"/>
                <w:kern w:val="0"/>
                <w:sz w:val="24"/>
                <w:lang w:bidi="ar"/>
              </w:rPr>
              <w:t>规划站点总数</w:t>
            </w:r>
          </w:p>
        </w:tc>
        <w:tc>
          <w:tcPr>
            <w:tcW w:w="1106" w:type="dxa"/>
            <w:vMerge w:val="restart"/>
            <w:noWrap w:val="0"/>
            <w:vAlign w:val="center"/>
          </w:tcPr>
          <w:p>
            <w:pPr>
              <w:spacing w:line="320" w:lineRule="exact"/>
              <w:jc w:val="center"/>
              <w:textAlignment w:val="center"/>
              <w:rPr>
                <w:rFonts w:eastAsia="黑体"/>
                <w:sz w:val="24"/>
              </w:rPr>
            </w:pPr>
            <w:r>
              <w:rPr>
                <w:rFonts w:eastAsia="黑体"/>
                <w:kern w:val="0"/>
                <w:sz w:val="22"/>
                <w:szCs w:val="22"/>
                <w:lang w:bidi="ar"/>
              </w:rPr>
              <w:t>2030年</w:t>
            </w:r>
            <w:r>
              <w:rPr>
                <w:rFonts w:eastAsia="黑体"/>
                <w:kern w:val="0"/>
                <w:sz w:val="24"/>
                <w:lang w:bidi="ar"/>
              </w:rPr>
              <w:t>展望站点总数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0" w:type="dxa"/>
            <w:vMerge w:val="continue"/>
            <w:noWrap w:val="0"/>
            <w:vAlign w:val="center"/>
          </w:tcPr>
          <w:p>
            <w:pPr>
              <w:spacing w:line="320" w:lineRule="exact"/>
              <w:jc w:val="center"/>
              <w:rPr>
                <w:sz w:val="24"/>
              </w:rPr>
            </w:pPr>
          </w:p>
        </w:tc>
        <w:tc>
          <w:tcPr>
            <w:tcW w:w="858" w:type="dxa"/>
            <w:vMerge w:val="continue"/>
            <w:noWrap w:val="0"/>
            <w:vAlign w:val="center"/>
          </w:tcPr>
          <w:p>
            <w:pPr>
              <w:spacing w:line="320" w:lineRule="exact"/>
              <w:jc w:val="center"/>
              <w:rPr>
                <w:sz w:val="24"/>
              </w:rPr>
            </w:pPr>
          </w:p>
        </w:tc>
        <w:tc>
          <w:tcPr>
            <w:tcW w:w="1425" w:type="dxa"/>
            <w:vMerge w:val="continue"/>
            <w:noWrap w:val="0"/>
            <w:vAlign w:val="center"/>
          </w:tcPr>
          <w:p>
            <w:pPr>
              <w:spacing w:line="320" w:lineRule="exact"/>
              <w:jc w:val="center"/>
              <w:rPr>
                <w:sz w:val="24"/>
              </w:rPr>
            </w:pPr>
          </w:p>
        </w:tc>
        <w:tc>
          <w:tcPr>
            <w:tcW w:w="942" w:type="dxa"/>
            <w:noWrap w:val="0"/>
            <w:vAlign w:val="center"/>
          </w:tcPr>
          <w:p>
            <w:pPr>
              <w:spacing w:line="320" w:lineRule="exact"/>
              <w:jc w:val="center"/>
              <w:textAlignment w:val="center"/>
              <w:rPr>
                <w:rFonts w:eastAsia="黑体"/>
                <w:sz w:val="24"/>
              </w:rPr>
            </w:pPr>
            <w:r>
              <w:rPr>
                <w:rFonts w:eastAsia="黑体"/>
                <w:kern w:val="0"/>
                <w:sz w:val="24"/>
                <w:lang w:bidi="ar"/>
              </w:rPr>
              <w:t>“十四五”实施类</w:t>
            </w:r>
          </w:p>
        </w:tc>
        <w:tc>
          <w:tcPr>
            <w:tcW w:w="890" w:type="dxa"/>
            <w:noWrap w:val="0"/>
            <w:vAlign w:val="center"/>
          </w:tcPr>
          <w:p>
            <w:pPr>
              <w:spacing w:line="320" w:lineRule="exact"/>
              <w:jc w:val="center"/>
              <w:textAlignment w:val="center"/>
              <w:rPr>
                <w:rFonts w:eastAsia="黑体"/>
                <w:sz w:val="24"/>
              </w:rPr>
            </w:pPr>
            <w:r>
              <w:rPr>
                <w:rFonts w:eastAsia="黑体"/>
                <w:kern w:val="0"/>
                <w:sz w:val="24"/>
                <w:lang w:bidi="ar"/>
              </w:rPr>
              <w:t>“十四五”储备类</w:t>
            </w:r>
          </w:p>
        </w:tc>
        <w:tc>
          <w:tcPr>
            <w:tcW w:w="878" w:type="dxa"/>
            <w:noWrap w:val="0"/>
            <w:vAlign w:val="center"/>
          </w:tcPr>
          <w:p>
            <w:pPr>
              <w:spacing w:line="320" w:lineRule="exact"/>
              <w:jc w:val="center"/>
              <w:textAlignment w:val="center"/>
              <w:rPr>
                <w:rFonts w:eastAsia="黑体"/>
                <w:sz w:val="24"/>
              </w:rPr>
            </w:pPr>
            <w:r>
              <w:rPr>
                <w:rFonts w:hint="eastAsia" w:eastAsia="黑体"/>
                <w:kern w:val="0"/>
                <w:sz w:val="24"/>
                <w:lang w:bidi="ar"/>
              </w:rPr>
              <w:t>“十五五”新增</w:t>
            </w:r>
          </w:p>
        </w:tc>
        <w:tc>
          <w:tcPr>
            <w:tcW w:w="997" w:type="dxa"/>
            <w:vMerge w:val="continue"/>
            <w:noWrap w:val="0"/>
            <w:vAlign w:val="center"/>
          </w:tcPr>
          <w:p>
            <w:pPr>
              <w:spacing w:line="320" w:lineRule="exact"/>
              <w:jc w:val="center"/>
              <w:rPr>
                <w:b/>
                <w:bCs/>
                <w:sz w:val="24"/>
              </w:rPr>
            </w:pPr>
          </w:p>
        </w:tc>
        <w:tc>
          <w:tcPr>
            <w:tcW w:w="1060" w:type="dxa"/>
            <w:vMerge w:val="continue"/>
            <w:noWrap w:val="0"/>
            <w:vAlign w:val="center"/>
          </w:tcPr>
          <w:p>
            <w:pPr>
              <w:spacing w:line="320" w:lineRule="exact"/>
              <w:jc w:val="center"/>
              <w:rPr>
                <w:b/>
                <w:bCs/>
                <w:sz w:val="24"/>
              </w:rPr>
            </w:pPr>
          </w:p>
        </w:tc>
        <w:tc>
          <w:tcPr>
            <w:tcW w:w="922" w:type="dxa"/>
            <w:vMerge w:val="continue"/>
            <w:noWrap w:val="0"/>
            <w:vAlign w:val="center"/>
          </w:tcPr>
          <w:p>
            <w:pPr>
              <w:spacing w:line="320" w:lineRule="exact"/>
              <w:jc w:val="center"/>
              <w:rPr>
                <w:b/>
                <w:bCs/>
                <w:sz w:val="24"/>
              </w:rPr>
            </w:pPr>
          </w:p>
        </w:tc>
        <w:tc>
          <w:tcPr>
            <w:tcW w:w="1106" w:type="dxa"/>
            <w:vMerge w:val="continue"/>
            <w:noWrap w:val="0"/>
            <w:vAlign w:val="center"/>
          </w:tcPr>
          <w:p>
            <w:pPr>
              <w:spacing w:line="320" w:lineRule="exact"/>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restart"/>
            <w:noWrap/>
            <w:vAlign w:val="center"/>
          </w:tcPr>
          <w:p>
            <w:pPr>
              <w:spacing w:line="320" w:lineRule="exact"/>
              <w:jc w:val="center"/>
              <w:textAlignment w:val="center"/>
              <w:rPr>
                <w:sz w:val="24"/>
              </w:rPr>
            </w:pPr>
            <w:r>
              <w:rPr>
                <w:kern w:val="0"/>
                <w:sz w:val="24"/>
                <w:lang w:bidi="ar"/>
              </w:rPr>
              <w:t>温州</w:t>
            </w:r>
          </w:p>
        </w:tc>
        <w:tc>
          <w:tcPr>
            <w:tcW w:w="858" w:type="dxa"/>
            <w:noWrap/>
            <w:vAlign w:val="center"/>
          </w:tcPr>
          <w:p>
            <w:pPr>
              <w:spacing w:line="320" w:lineRule="exact"/>
              <w:jc w:val="center"/>
              <w:textAlignment w:val="center"/>
              <w:rPr>
                <w:sz w:val="24"/>
              </w:rPr>
            </w:pPr>
            <w:r>
              <w:rPr>
                <w:kern w:val="0"/>
                <w:sz w:val="24"/>
                <w:lang w:bidi="ar"/>
              </w:rPr>
              <w:t>鹿城</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textAlignment w:val="center"/>
              <w:rPr>
                <w:sz w:val="24"/>
              </w:rPr>
            </w:pPr>
            <w:r>
              <w:rPr>
                <w:kern w:val="0"/>
                <w:sz w:val="24"/>
                <w:lang w:bidi="ar"/>
              </w:rPr>
              <w:t>1</w:t>
            </w: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textAlignment w:val="center"/>
              <w:rPr>
                <w:sz w:val="24"/>
              </w:rPr>
            </w:pPr>
            <w:r>
              <w:rPr>
                <w:kern w:val="0"/>
                <w:sz w:val="24"/>
                <w:lang w:bidi="ar"/>
              </w:rPr>
              <w:t>1</w:t>
            </w:r>
          </w:p>
        </w:tc>
        <w:tc>
          <w:tcPr>
            <w:tcW w:w="997" w:type="dxa"/>
            <w:vMerge w:val="restart"/>
            <w:noWrap/>
            <w:vAlign w:val="center"/>
          </w:tcPr>
          <w:p>
            <w:pPr>
              <w:spacing w:line="320" w:lineRule="exact"/>
              <w:jc w:val="center"/>
              <w:textAlignment w:val="center"/>
              <w:rPr>
                <w:sz w:val="24"/>
              </w:rPr>
            </w:pPr>
            <w:r>
              <w:rPr>
                <w:kern w:val="0"/>
                <w:sz w:val="24"/>
                <w:lang w:bidi="ar"/>
              </w:rPr>
              <w:t>3</w:t>
            </w:r>
          </w:p>
        </w:tc>
        <w:tc>
          <w:tcPr>
            <w:tcW w:w="1060" w:type="dxa"/>
            <w:vMerge w:val="restart"/>
            <w:noWrap/>
            <w:vAlign w:val="center"/>
          </w:tcPr>
          <w:p>
            <w:pPr>
              <w:spacing w:line="320" w:lineRule="exact"/>
              <w:jc w:val="center"/>
              <w:textAlignment w:val="center"/>
              <w:rPr>
                <w:sz w:val="24"/>
              </w:rPr>
            </w:pPr>
            <w:r>
              <w:rPr>
                <w:rFonts w:hint="eastAsia"/>
                <w:kern w:val="0"/>
                <w:sz w:val="24"/>
                <w:lang w:bidi="ar"/>
              </w:rPr>
              <w:t>2</w:t>
            </w:r>
          </w:p>
        </w:tc>
        <w:tc>
          <w:tcPr>
            <w:tcW w:w="922" w:type="dxa"/>
            <w:vMerge w:val="restart"/>
            <w:noWrap/>
            <w:vAlign w:val="center"/>
          </w:tcPr>
          <w:p>
            <w:pPr>
              <w:spacing w:line="320" w:lineRule="exact"/>
              <w:jc w:val="center"/>
              <w:textAlignment w:val="center"/>
              <w:rPr>
                <w:sz w:val="24"/>
              </w:rPr>
            </w:pPr>
            <w:r>
              <w:rPr>
                <w:rFonts w:hint="eastAsia"/>
                <w:kern w:val="0"/>
                <w:sz w:val="24"/>
                <w:lang w:bidi="ar"/>
              </w:rPr>
              <w:t>5</w:t>
            </w:r>
          </w:p>
        </w:tc>
        <w:tc>
          <w:tcPr>
            <w:tcW w:w="1106" w:type="dxa"/>
            <w:vMerge w:val="restart"/>
            <w:noWrap/>
            <w:vAlign w:val="center"/>
          </w:tcPr>
          <w:p>
            <w:pPr>
              <w:spacing w:line="320" w:lineRule="exact"/>
              <w:jc w:val="center"/>
              <w:textAlignment w:val="center"/>
              <w:rPr>
                <w:sz w:val="24"/>
              </w:rPr>
            </w:pPr>
            <w:r>
              <w:rPr>
                <w:kern w:val="0"/>
                <w:sz w:val="24"/>
                <w:lang w:bidi="ar"/>
              </w:rPr>
              <w:t>1</w:t>
            </w:r>
            <w:r>
              <w:rPr>
                <w:rFonts w:hint="eastAsia"/>
                <w:kern w:val="0"/>
                <w:sz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noWrap/>
            <w:vAlign w:val="center"/>
          </w:tcPr>
          <w:p>
            <w:pPr>
              <w:spacing w:line="320" w:lineRule="exact"/>
              <w:jc w:val="center"/>
              <w:rPr>
                <w:sz w:val="24"/>
              </w:rPr>
            </w:pPr>
          </w:p>
        </w:tc>
        <w:tc>
          <w:tcPr>
            <w:tcW w:w="858" w:type="dxa"/>
            <w:noWrap/>
            <w:vAlign w:val="center"/>
          </w:tcPr>
          <w:p>
            <w:pPr>
              <w:spacing w:line="320" w:lineRule="exact"/>
              <w:jc w:val="center"/>
              <w:textAlignment w:val="center"/>
              <w:rPr>
                <w:sz w:val="24"/>
              </w:rPr>
            </w:pPr>
            <w:r>
              <w:rPr>
                <w:rFonts w:hint="eastAsia"/>
                <w:kern w:val="0"/>
                <w:sz w:val="24"/>
                <w:lang w:bidi="ar"/>
              </w:rPr>
              <w:t>温州湾新区</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rPr>
                <w:sz w:val="24"/>
              </w:rPr>
            </w:pPr>
          </w:p>
        </w:tc>
        <w:tc>
          <w:tcPr>
            <w:tcW w:w="890" w:type="dxa"/>
            <w:noWrap/>
            <w:vAlign w:val="center"/>
          </w:tcPr>
          <w:p>
            <w:pPr>
              <w:spacing w:line="320" w:lineRule="exact"/>
              <w:jc w:val="center"/>
              <w:textAlignment w:val="center"/>
              <w:rPr>
                <w:sz w:val="24"/>
              </w:rPr>
            </w:pPr>
            <w:r>
              <w:rPr>
                <w:kern w:val="0"/>
                <w:sz w:val="24"/>
                <w:lang w:bidi="ar"/>
              </w:rPr>
              <w:t>1</w:t>
            </w:r>
          </w:p>
        </w:tc>
        <w:tc>
          <w:tcPr>
            <w:tcW w:w="878" w:type="dxa"/>
            <w:noWrap/>
            <w:vAlign w:val="center"/>
          </w:tcPr>
          <w:p>
            <w:pPr>
              <w:spacing w:line="320" w:lineRule="exact"/>
              <w:jc w:val="center"/>
              <w:rPr>
                <w:sz w:val="24"/>
              </w:rPr>
            </w:pPr>
          </w:p>
        </w:tc>
        <w:tc>
          <w:tcPr>
            <w:tcW w:w="997" w:type="dxa"/>
            <w:vMerge w:val="continue"/>
            <w:noWrap/>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ign w:val="center"/>
          </w:tcPr>
          <w:p>
            <w:pPr>
              <w:spacing w:line="320" w:lineRule="exact"/>
              <w:jc w:val="center"/>
              <w:rPr>
                <w:sz w:val="24"/>
              </w:rPr>
            </w:pPr>
          </w:p>
        </w:tc>
        <w:tc>
          <w:tcPr>
            <w:tcW w:w="1106" w:type="dxa"/>
            <w:vMerge w:val="continue"/>
            <w:noWrap/>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noWrap/>
            <w:vAlign w:val="center"/>
          </w:tcPr>
          <w:p>
            <w:pPr>
              <w:spacing w:line="320" w:lineRule="exact"/>
              <w:jc w:val="center"/>
              <w:rPr>
                <w:sz w:val="24"/>
              </w:rPr>
            </w:pPr>
          </w:p>
        </w:tc>
        <w:tc>
          <w:tcPr>
            <w:tcW w:w="858" w:type="dxa"/>
            <w:noWrap/>
            <w:vAlign w:val="center"/>
          </w:tcPr>
          <w:p>
            <w:pPr>
              <w:spacing w:line="320" w:lineRule="exact"/>
              <w:jc w:val="center"/>
              <w:textAlignment w:val="center"/>
              <w:rPr>
                <w:sz w:val="24"/>
              </w:rPr>
            </w:pPr>
            <w:r>
              <w:rPr>
                <w:kern w:val="0"/>
                <w:sz w:val="24"/>
                <w:lang w:bidi="ar"/>
              </w:rPr>
              <w:t>永嘉</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textAlignment w:val="center"/>
              <w:rPr>
                <w:sz w:val="24"/>
              </w:rPr>
            </w:pPr>
            <w:r>
              <w:rPr>
                <w:kern w:val="0"/>
                <w:sz w:val="24"/>
                <w:lang w:bidi="ar"/>
              </w:rPr>
              <w:t xml:space="preserve"> </w:t>
            </w: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textAlignment w:val="center"/>
              <w:rPr>
                <w:sz w:val="24"/>
              </w:rPr>
            </w:pPr>
            <w:r>
              <w:rPr>
                <w:kern w:val="0"/>
                <w:sz w:val="24"/>
                <w:lang w:bidi="ar"/>
              </w:rPr>
              <w:t>1</w:t>
            </w:r>
          </w:p>
        </w:tc>
        <w:tc>
          <w:tcPr>
            <w:tcW w:w="997" w:type="dxa"/>
            <w:vMerge w:val="continue"/>
            <w:noWrap/>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ign w:val="center"/>
          </w:tcPr>
          <w:p>
            <w:pPr>
              <w:spacing w:line="320" w:lineRule="exact"/>
              <w:jc w:val="center"/>
              <w:rPr>
                <w:sz w:val="24"/>
              </w:rPr>
            </w:pPr>
          </w:p>
        </w:tc>
        <w:tc>
          <w:tcPr>
            <w:tcW w:w="1106" w:type="dxa"/>
            <w:vMerge w:val="continue"/>
            <w:noWrap/>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noWrap/>
            <w:vAlign w:val="center"/>
          </w:tcPr>
          <w:p>
            <w:pPr>
              <w:spacing w:line="320" w:lineRule="exact"/>
              <w:jc w:val="center"/>
              <w:rPr>
                <w:sz w:val="24"/>
              </w:rPr>
            </w:pPr>
          </w:p>
        </w:tc>
        <w:tc>
          <w:tcPr>
            <w:tcW w:w="858" w:type="dxa"/>
            <w:noWrap/>
            <w:vAlign w:val="center"/>
          </w:tcPr>
          <w:p>
            <w:pPr>
              <w:spacing w:line="320" w:lineRule="exact"/>
              <w:jc w:val="center"/>
              <w:textAlignment w:val="center"/>
              <w:rPr>
                <w:sz w:val="24"/>
              </w:rPr>
            </w:pPr>
            <w:r>
              <w:rPr>
                <w:kern w:val="0"/>
                <w:sz w:val="24"/>
                <w:lang w:bidi="ar"/>
              </w:rPr>
              <w:t>乐清</w:t>
            </w:r>
          </w:p>
        </w:tc>
        <w:tc>
          <w:tcPr>
            <w:tcW w:w="1425" w:type="dxa"/>
            <w:noWrap/>
            <w:vAlign w:val="center"/>
          </w:tcPr>
          <w:p>
            <w:pPr>
              <w:spacing w:line="320" w:lineRule="exact"/>
              <w:jc w:val="center"/>
              <w:textAlignment w:val="center"/>
              <w:rPr>
                <w:sz w:val="24"/>
              </w:rPr>
            </w:pPr>
            <w:r>
              <w:rPr>
                <w:kern w:val="0"/>
                <w:sz w:val="24"/>
                <w:lang w:bidi="ar"/>
              </w:rPr>
              <w:t>国省道</w:t>
            </w:r>
          </w:p>
        </w:tc>
        <w:tc>
          <w:tcPr>
            <w:tcW w:w="942" w:type="dxa"/>
            <w:noWrap/>
            <w:vAlign w:val="center"/>
          </w:tcPr>
          <w:p>
            <w:pPr>
              <w:spacing w:line="320" w:lineRule="exact"/>
              <w:jc w:val="center"/>
              <w:rPr>
                <w:sz w:val="24"/>
              </w:rPr>
            </w:pPr>
            <w:r>
              <w:rPr>
                <w:rFonts w:hint="eastAsia"/>
                <w:sz w:val="24"/>
              </w:rPr>
              <w:t>1</w:t>
            </w:r>
          </w:p>
        </w:tc>
        <w:tc>
          <w:tcPr>
            <w:tcW w:w="890" w:type="dxa"/>
            <w:noWrap/>
            <w:vAlign w:val="center"/>
          </w:tcPr>
          <w:p>
            <w:pPr>
              <w:spacing w:line="320" w:lineRule="exact"/>
              <w:jc w:val="center"/>
              <w:textAlignment w:val="center"/>
              <w:rPr>
                <w:sz w:val="24"/>
              </w:rPr>
            </w:pPr>
          </w:p>
        </w:tc>
        <w:tc>
          <w:tcPr>
            <w:tcW w:w="878" w:type="dxa"/>
            <w:noWrap/>
            <w:vAlign w:val="center"/>
          </w:tcPr>
          <w:p>
            <w:pPr>
              <w:spacing w:line="320" w:lineRule="exact"/>
              <w:jc w:val="center"/>
              <w:textAlignment w:val="center"/>
              <w:rPr>
                <w:sz w:val="24"/>
              </w:rPr>
            </w:pPr>
            <w:r>
              <w:rPr>
                <w:kern w:val="0"/>
                <w:sz w:val="24"/>
                <w:lang w:bidi="ar"/>
              </w:rPr>
              <w:t>1</w:t>
            </w:r>
          </w:p>
        </w:tc>
        <w:tc>
          <w:tcPr>
            <w:tcW w:w="997" w:type="dxa"/>
            <w:vMerge w:val="continue"/>
            <w:noWrap/>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ign w:val="center"/>
          </w:tcPr>
          <w:p>
            <w:pPr>
              <w:spacing w:line="320" w:lineRule="exact"/>
              <w:jc w:val="center"/>
              <w:rPr>
                <w:sz w:val="24"/>
              </w:rPr>
            </w:pPr>
          </w:p>
        </w:tc>
        <w:tc>
          <w:tcPr>
            <w:tcW w:w="1106" w:type="dxa"/>
            <w:vMerge w:val="continue"/>
            <w:noWrap/>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Merge w:val="continue"/>
            <w:noWrap/>
            <w:vAlign w:val="center"/>
          </w:tcPr>
          <w:p>
            <w:pPr>
              <w:spacing w:line="320" w:lineRule="exact"/>
              <w:jc w:val="center"/>
              <w:rPr>
                <w:sz w:val="24"/>
              </w:rPr>
            </w:pPr>
          </w:p>
        </w:tc>
        <w:tc>
          <w:tcPr>
            <w:tcW w:w="858" w:type="dxa"/>
            <w:vMerge w:val="restart"/>
            <w:noWrap/>
            <w:vAlign w:val="center"/>
          </w:tcPr>
          <w:p>
            <w:pPr>
              <w:spacing w:line="320" w:lineRule="exact"/>
              <w:jc w:val="center"/>
              <w:textAlignment w:val="center"/>
              <w:rPr>
                <w:sz w:val="24"/>
              </w:rPr>
            </w:pPr>
            <w:r>
              <w:rPr>
                <w:kern w:val="0"/>
                <w:sz w:val="24"/>
                <w:lang w:bidi="ar"/>
              </w:rPr>
              <w:t>苍南</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textAlignment w:val="center"/>
              <w:rPr>
                <w:sz w:val="24"/>
              </w:rPr>
            </w:pPr>
            <w:r>
              <w:rPr>
                <w:kern w:val="0"/>
                <w:sz w:val="24"/>
                <w:lang w:bidi="ar"/>
              </w:rPr>
              <w:t>1</w:t>
            </w: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rPr>
                <w:sz w:val="24"/>
              </w:rPr>
            </w:pPr>
            <w:r>
              <w:rPr>
                <w:rFonts w:hint="eastAsia"/>
                <w:sz w:val="24"/>
              </w:rPr>
              <w:t>1</w:t>
            </w:r>
          </w:p>
        </w:tc>
        <w:tc>
          <w:tcPr>
            <w:tcW w:w="997" w:type="dxa"/>
            <w:vMerge w:val="continue"/>
            <w:noWrap/>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ign w:val="center"/>
          </w:tcPr>
          <w:p>
            <w:pPr>
              <w:spacing w:line="320" w:lineRule="exact"/>
              <w:jc w:val="center"/>
              <w:rPr>
                <w:sz w:val="24"/>
              </w:rPr>
            </w:pPr>
          </w:p>
        </w:tc>
        <w:tc>
          <w:tcPr>
            <w:tcW w:w="1106" w:type="dxa"/>
            <w:vMerge w:val="continue"/>
            <w:noWrap/>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noWrap/>
            <w:vAlign w:val="center"/>
          </w:tcPr>
          <w:p>
            <w:pPr>
              <w:spacing w:line="320" w:lineRule="exact"/>
              <w:jc w:val="center"/>
              <w:rPr>
                <w:sz w:val="24"/>
              </w:rPr>
            </w:pPr>
          </w:p>
        </w:tc>
        <w:tc>
          <w:tcPr>
            <w:tcW w:w="858" w:type="dxa"/>
            <w:vMerge w:val="continue"/>
            <w:noWrap/>
            <w:vAlign w:val="center"/>
          </w:tcPr>
          <w:p>
            <w:pPr>
              <w:spacing w:line="320" w:lineRule="exact"/>
              <w:jc w:val="center"/>
              <w:rPr>
                <w:sz w:val="24"/>
              </w:rPr>
            </w:pPr>
          </w:p>
        </w:tc>
        <w:tc>
          <w:tcPr>
            <w:tcW w:w="1425" w:type="dxa"/>
            <w:noWrap/>
            <w:vAlign w:val="center"/>
          </w:tcPr>
          <w:p>
            <w:pPr>
              <w:spacing w:line="320" w:lineRule="exact"/>
              <w:jc w:val="center"/>
              <w:textAlignment w:val="center"/>
              <w:rPr>
                <w:sz w:val="24"/>
              </w:rPr>
            </w:pPr>
            <w:r>
              <w:rPr>
                <w:kern w:val="0"/>
                <w:sz w:val="24"/>
                <w:lang w:bidi="ar"/>
              </w:rPr>
              <w:t>船舶</w:t>
            </w:r>
          </w:p>
        </w:tc>
        <w:tc>
          <w:tcPr>
            <w:tcW w:w="942" w:type="dxa"/>
            <w:noWrap/>
            <w:vAlign w:val="center"/>
          </w:tcPr>
          <w:p>
            <w:pPr>
              <w:spacing w:line="320" w:lineRule="exact"/>
              <w:jc w:val="center"/>
              <w:rPr>
                <w:sz w:val="24"/>
              </w:rPr>
            </w:pPr>
          </w:p>
        </w:tc>
        <w:tc>
          <w:tcPr>
            <w:tcW w:w="890" w:type="dxa"/>
            <w:noWrap/>
            <w:vAlign w:val="center"/>
          </w:tcPr>
          <w:p>
            <w:pPr>
              <w:spacing w:line="320" w:lineRule="exact"/>
              <w:jc w:val="center"/>
              <w:textAlignment w:val="center"/>
              <w:rPr>
                <w:sz w:val="24"/>
              </w:rPr>
            </w:pPr>
            <w:r>
              <w:rPr>
                <w:kern w:val="0"/>
                <w:sz w:val="24"/>
                <w:lang w:bidi="ar"/>
              </w:rPr>
              <w:t>1</w:t>
            </w:r>
          </w:p>
        </w:tc>
        <w:tc>
          <w:tcPr>
            <w:tcW w:w="878" w:type="dxa"/>
            <w:noWrap/>
            <w:vAlign w:val="center"/>
          </w:tcPr>
          <w:p>
            <w:pPr>
              <w:spacing w:line="320" w:lineRule="exact"/>
              <w:jc w:val="center"/>
              <w:textAlignment w:val="center"/>
              <w:rPr>
                <w:sz w:val="24"/>
              </w:rPr>
            </w:pPr>
            <w:r>
              <w:rPr>
                <w:kern w:val="0"/>
                <w:sz w:val="24"/>
                <w:lang w:bidi="ar"/>
              </w:rPr>
              <w:t>1</w:t>
            </w:r>
          </w:p>
        </w:tc>
        <w:tc>
          <w:tcPr>
            <w:tcW w:w="997" w:type="dxa"/>
            <w:vMerge w:val="continue"/>
            <w:noWrap/>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ign w:val="center"/>
          </w:tcPr>
          <w:p>
            <w:pPr>
              <w:spacing w:line="320" w:lineRule="exact"/>
              <w:jc w:val="center"/>
              <w:rPr>
                <w:sz w:val="24"/>
              </w:rPr>
            </w:pPr>
          </w:p>
        </w:tc>
        <w:tc>
          <w:tcPr>
            <w:tcW w:w="1106" w:type="dxa"/>
            <w:vMerge w:val="continue"/>
            <w:noWrap/>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restart"/>
            <w:noWrap/>
            <w:vAlign w:val="center"/>
          </w:tcPr>
          <w:p>
            <w:pPr>
              <w:spacing w:line="320" w:lineRule="exact"/>
              <w:jc w:val="center"/>
              <w:textAlignment w:val="center"/>
              <w:rPr>
                <w:sz w:val="24"/>
              </w:rPr>
            </w:pPr>
            <w:r>
              <w:rPr>
                <w:kern w:val="0"/>
                <w:sz w:val="24"/>
                <w:lang w:bidi="ar"/>
              </w:rPr>
              <w:t>衢州</w:t>
            </w:r>
          </w:p>
        </w:tc>
        <w:tc>
          <w:tcPr>
            <w:tcW w:w="858" w:type="dxa"/>
            <w:noWrap/>
            <w:vAlign w:val="center"/>
          </w:tcPr>
          <w:p>
            <w:pPr>
              <w:spacing w:line="320" w:lineRule="exact"/>
              <w:jc w:val="center"/>
              <w:textAlignment w:val="center"/>
              <w:rPr>
                <w:sz w:val="24"/>
              </w:rPr>
            </w:pPr>
            <w:r>
              <w:rPr>
                <w:kern w:val="0"/>
                <w:sz w:val="24"/>
                <w:lang w:bidi="ar"/>
              </w:rPr>
              <w:t>柯城</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textAlignment w:val="center"/>
              <w:rPr>
                <w:sz w:val="24"/>
              </w:rPr>
            </w:pPr>
            <w:r>
              <w:rPr>
                <w:kern w:val="0"/>
                <w:sz w:val="24"/>
                <w:lang w:bidi="ar"/>
              </w:rPr>
              <w:t>1</w:t>
            </w: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textAlignment w:val="center"/>
              <w:rPr>
                <w:sz w:val="24"/>
              </w:rPr>
            </w:pPr>
            <w:r>
              <w:rPr>
                <w:kern w:val="0"/>
                <w:sz w:val="24"/>
                <w:lang w:bidi="ar"/>
              </w:rPr>
              <w:t>3</w:t>
            </w:r>
          </w:p>
        </w:tc>
        <w:tc>
          <w:tcPr>
            <w:tcW w:w="997" w:type="dxa"/>
            <w:vMerge w:val="restart"/>
            <w:noWrap/>
            <w:vAlign w:val="center"/>
          </w:tcPr>
          <w:p>
            <w:pPr>
              <w:spacing w:line="320" w:lineRule="exact"/>
              <w:jc w:val="center"/>
              <w:textAlignment w:val="center"/>
              <w:rPr>
                <w:sz w:val="24"/>
              </w:rPr>
            </w:pPr>
            <w:r>
              <w:rPr>
                <w:kern w:val="0"/>
                <w:sz w:val="24"/>
                <w:lang w:bidi="ar"/>
              </w:rPr>
              <w:t>1</w:t>
            </w:r>
          </w:p>
        </w:tc>
        <w:tc>
          <w:tcPr>
            <w:tcW w:w="1060" w:type="dxa"/>
            <w:vMerge w:val="restart"/>
            <w:noWrap/>
            <w:vAlign w:val="center"/>
          </w:tcPr>
          <w:p>
            <w:pPr>
              <w:spacing w:line="320" w:lineRule="exact"/>
              <w:jc w:val="center"/>
              <w:textAlignment w:val="center"/>
              <w:rPr>
                <w:sz w:val="24"/>
              </w:rPr>
            </w:pPr>
            <w:r>
              <w:rPr>
                <w:kern w:val="0"/>
                <w:sz w:val="24"/>
                <w:lang w:bidi="ar"/>
              </w:rPr>
              <w:t>0</w:t>
            </w:r>
          </w:p>
        </w:tc>
        <w:tc>
          <w:tcPr>
            <w:tcW w:w="922" w:type="dxa"/>
            <w:vMerge w:val="restart"/>
            <w:noWrap w:val="0"/>
            <w:vAlign w:val="center"/>
          </w:tcPr>
          <w:p>
            <w:pPr>
              <w:spacing w:line="320" w:lineRule="exact"/>
              <w:jc w:val="center"/>
              <w:textAlignment w:val="center"/>
              <w:rPr>
                <w:sz w:val="24"/>
              </w:rPr>
            </w:pPr>
            <w:r>
              <w:rPr>
                <w:kern w:val="0"/>
                <w:sz w:val="24"/>
                <w:lang w:bidi="ar"/>
              </w:rPr>
              <w:t>1</w:t>
            </w:r>
          </w:p>
        </w:tc>
        <w:tc>
          <w:tcPr>
            <w:tcW w:w="1106" w:type="dxa"/>
            <w:vMerge w:val="restart"/>
            <w:noWrap/>
            <w:vAlign w:val="center"/>
          </w:tcPr>
          <w:p>
            <w:pPr>
              <w:spacing w:line="320" w:lineRule="exact"/>
              <w:jc w:val="center"/>
              <w:textAlignment w:val="center"/>
              <w:rPr>
                <w:sz w:val="24"/>
              </w:rPr>
            </w:pPr>
            <w:r>
              <w:rPr>
                <w:kern w:val="0"/>
                <w:sz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noWrap/>
            <w:vAlign w:val="center"/>
          </w:tcPr>
          <w:p>
            <w:pPr>
              <w:spacing w:line="320" w:lineRule="exact"/>
              <w:jc w:val="center"/>
              <w:rPr>
                <w:sz w:val="24"/>
              </w:rPr>
            </w:pPr>
          </w:p>
        </w:tc>
        <w:tc>
          <w:tcPr>
            <w:tcW w:w="858" w:type="dxa"/>
            <w:noWrap/>
            <w:vAlign w:val="center"/>
          </w:tcPr>
          <w:p>
            <w:pPr>
              <w:spacing w:line="320" w:lineRule="exact"/>
              <w:jc w:val="center"/>
              <w:textAlignment w:val="center"/>
              <w:rPr>
                <w:sz w:val="24"/>
              </w:rPr>
            </w:pPr>
            <w:r>
              <w:rPr>
                <w:kern w:val="0"/>
                <w:sz w:val="24"/>
                <w:lang w:bidi="ar"/>
              </w:rPr>
              <w:t>龙游</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rPr>
                <w:sz w:val="24"/>
              </w:rPr>
            </w:pP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textAlignment w:val="center"/>
              <w:rPr>
                <w:sz w:val="24"/>
              </w:rPr>
            </w:pPr>
            <w:r>
              <w:rPr>
                <w:kern w:val="0"/>
                <w:sz w:val="24"/>
                <w:lang w:bidi="ar"/>
              </w:rPr>
              <w:t>1</w:t>
            </w:r>
          </w:p>
        </w:tc>
        <w:tc>
          <w:tcPr>
            <w:tcW w:w="997" w:type="dxa"/>
            <w:vMerge w:val="continue"/>
            <w:noWrap/>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0"/>
            <w:vAlign w:val="center"/>
          </w:tcPr>
          <w:p>
            <w:pPr>
              <w:spacing w:line="320" w:lineRule="exact"/>
              <w:jc w:val="center"/>
              <w:rPr>
                <w:sz w:val="24"/>
              </w:rPr>
            </w:pPr>
          </w:p>
        </w:tc>
        <w:tc>
          <w:tcPr>
            <w:tcW w:w="1106" w:type="dxa"/>
            <w:vMerge w:val="continue"/>
            <w:noWrap/>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restart"/>
            <w:noWrap/>
            <w:vAlign w:val="center"/>
          </w:tcPr>
          <w:p>
            <w:pPr>
              <w:spacing w:line="320" w:lineRule="exact"/>
              <w:jc w:val="center"/>
              <w:textAlignment w:val="center"/>
              <w:rPr>
                <w:sz w:val="24"/>
              </w:rPr>
            </w:pPr>
            <w:r>
              <w:rPr>
                <w:kern w:val="0"/>
                <w:sz w:val="24"/>
                <w:lang w:bidi="ar"/>
              </w:rPr>
              <w:t>台州</w:t>
            </w:r>
          </w:p>
        </w:tc>
        <w:tc>
          <w:tcPr>
            <w:tcW w:w="858" w:type="dxa"/>
            <w:noWrap/>
            <w:vAlign w:val="center"/>
          </w:tcPr>
          <w:p>
            <w:pPr>
              <w:spacing w:line="320" w:lineRule="exact"/>
              <w:jc w:val="center"/>
              <w:textAlignment w:val="center"/>
              <w:rPr>
                <w:sz w:val="24"/>
              </w:rPr>
            </w:pPr>
            <w:r>
              <w:rPr>
                <w:rFonts w:hint="eastAsia"/>
                <w:kern w:val="0"/>
                <w:sz w:val="24"/>
                <w:lang w:bidi="ar"/>
              </w:rPr>
              <w:t>台州湾新区</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textAlignment w:val="center"/>
              <w:rPr>
                <w:sz w:val="24"/>
              </w:rPr>
            </w:pPr>
            <w:r>
              <w:rPr>
                <w:kern w:val="0"/>
                <w:sz w:val="24"/>
                <w:lang w:bidi="ar"/>
              </w:rPr>
              <w:t>1</w:t>
            </w: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rPr>
                <w:sz w:val="24"/>
              </w:rPr>
            </w:pPr>
          </w:p>
        </w:tc>
        <w:tc>
          <w:tcPr>
            <w:tcW w:w="997" w:type="dxa"/>
            <w:vMerge w:val="restart"/>
            <w:noWrap w:val="0"/>
            <w:vAlign w:val="center"/>
          </w:tcPr>
          <w:p>
            <w:pPr>
              <w:spacing w:line="320" w:lineRule="exact"/>
              <w:jc w:val="center"/>
              <w:textAlignment w:val="center"/>
              <w:rPr>
                <w:sz w:val="24"/>
              </w:rPr>
            </w:pPr>
            <w:r>
              <w:rPr>
                <w:kern w:val="0"/>
                <w:sz w:val="24"/>
                <w:lang w:bidi="ar"/>
              </w:rPr>
              <w:t>2</w:t>
            </w:r>
          </w:p>
        </w:tc>
        <w:tc>
          <w:tcPr>
            <w:tcW w:w="1060" w:type="dxa"/>
            <w:vMerge w:val="restart"/>
            <w:noWrap/>
            <w:vAlign w:val="center"/>
          </w:tcPr>
          <w:p>
            <w:pPr>
              <w:spacing w:line="320" w:lineRule="exact"/>
              <w:jc w:val="center"/>
              <w:textAlignment w:val="center"/>
              <w:rPr>
                <w:sz w:val="24"/>
              </w:rPr>
            </w:pPr>
            <w:r>
              <w:rPr>
                <w:kern w:val="0"/>
                <w:sz w:val="24"/>
                <w:lang w:bidi="ar"/>
              </w:rPr>
              <w:t>0</w:t>
            </w:r>
          </w:p>
        </w:tc>
        <w:tc>
          <w:tcPr>
            <w:tcW w:w="922" w:type="dxa"/>
            <w:vMerge w:val="restart"/>
            <w:noWrap/>
            <w:vAlign w:val="center"/>
          </w:tcPr>
          <w:p>
            <w:pPr>
              <w:spacing w:line="320" w:lineRule="exact"/>
              <w:jc w:val="center"/>
              <w:textAlignment w:val="center"/>
              <w:rPr>
                <w:sz w:val="24"/>
              </w:rPr>
            </w:pPr>
            <w:r>
              <w:rPr>
                <w:kern w:val="0"/>
                <w:sz w:val="24"/>
                <w:lang w:bidi="ar"/>
              </w:rPr>
              <w:t>2</w:t>
            </w:r>
          </w:p>
        </w:tc>
        <w:tc>
          <w:tcPr>
            <w:tcW w:w="1106" w:type="dxa"/>
            <w:vMerge w:val="restart"/>
            <w:noWrap/>
            <w:vAlign w:val="center"/>
          </w:tcPr>
          <w:p>
            <w:pPr>
              <w:spacing w:line="320" w:lineRule="exact"/>
              <w:jc w:val="center"/>
              <w:textAlignment w:val="center"/>
              <w:rPr>
                <w:sz w:val="24"/>
              </w:rPr>
            </w:pPr>
            <w:r>
              <w:rPr>
                <w:kern w:val="0"/>
                <w:sz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noWrap/>
            <w:vAlign w:val="center"/>
          </w:tcPr>
          <w:p>
            <w:pPr>
              <w:spacing w:line="320" w:lineRule="exact"/>
              <w:jc w:val="center"/>
              <w:rPr>
                <w:sz w:val="24"/>
              </w:rPr>
            </w:pPr>
          </w:p>
        </w:tc>
        <w:tc>
          <w:tcPr>
            <w:tcW w:w="858" w:type="dxa"/>
            <w:noWrap w:val="0"/>
            <w:vAlign w:val="center"/>
          </w:tcPr>
          <w:p>
            <w:pPr>
              <w:spacing w:line="320" w:lineRule="exact"/>
              <w:jc w:val="center"/>
              <w:textAlignment w:val="center"/>
              <w:rPr>
                <w:sz w:val="24"/>
              </w:rPr>
            </w:pPr>
            <w:r>
              <w:rPr>
                <w:kern w:val="0"/>
                <w:sz w:val="24"/>
                <w:lang w:bidi="ar"/>
              </w:rPr>
              <w:t>路桥</w:t>
            </w:r>
          </w:p>
        </w:tc>
        <w:tc>
          <w:tcPr>
            <w:tcW w:w="1425" w:type="dxa"/>
            <w:noWrap/>
            <w:vAlign w:val="center"/>
          </w:tcPr>
          <w:p>
            <w:pPr>
              <w:spacing w:line="320" w:lineRule="exact"/>
              <w:jc w:val="center"/>
              <w:textAlignment w:val="center"/>
              <w:rPr>
                <w:sz w:val="24"/>
              </w:rPr>
            </w:pPr>
            <w:r>
              <w:rPr>
                <w:kern w:val="0"/>
                <w:sz w:val="24"/>
                <w:lang w:bidi="ar"/>
              </w:rPr>
              <w:t>国省道</w:t>
            </w:r>
          </w:p>
        </w:tc>
        <w:tc>
          <w:tcPr>
            <w:tcW w:w="942" w:type="dxa"/>
            <w:noWrap/>
            <w:vAlign w:val="center"/>
          </w:tcPr>
          <w:p>
            <w:pPr>
              <w:spacing w:line="320" w:lineRule="exact"/>
              <w:jc w:val="center"/>
              <w:textAlignment w:val="center"/>
              <w:rPr>
                <w:sz w:val="24"/>
              </w:rPr>
            </w:pPr>
            <w:r>
              <w:rPr>
                <w:kern w:val="0"/>
                <w:sz w:val="24"/>
                <w:lang w:bidi="ar"/>
              </w:rPr>
              <w:t>1</w:t>
            </w: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rPr>
                <w:sz w:val="24"/>
              </w:rPr>
            </w:pPr>
          </w:p>
        </w:tc>
        <w:tc>
          <w:tcPr>
            <w:tcW w:w="997" w:type="dxa"/>
            <w:vMerge w:val="continue"/>
            <w:noWrap w:val="0"/>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ign w:val="center"/>
          </w:tcPr>
          <w:p>
            <w:pPr>
              <w:spacing w:line="320" w:lineRule="exact"/>
              <w:jc w:val="center"/>
              <w:rPr>
                <w:sz w:val="24"/>
              </w:rPr>
            </w:pPr>
          </w:p>
        </w:tc>
        <w:tc>
          <w:tcPr>
            <w:tcW w:w="1106" w:type="dxa"/>
            <w:vMerge w:val="continue"/>
            <w:noWrap/>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noWrap/>
            <w:vAlign w:val="center"/>
          </w:tcPr>
          <w:p>
            <w:pPr>
              <w:spacing w:line="320" w:lineRule="exact"/>
              <w:jc w:val="center"/>
              <w:rPr>
                <w:sz w:val="24"/>
              </w:rPr>
            </w:pPr>
          </w:p>
        </w:tc>
        <w:tc>
          <w:tcPr>
            <w:tcW w:w="858" w:type="dxa"/>
            <w:noWrap w:val="0"/>
            <w:vAlign w:val="center"/>
          </w:tcPr>
          <w:p>
            <w:pPr>
              <w:spacing w:line="320" w:lineRule="exact"/>
              <w:jc w:val="center"/>
              <w:textAlignment w:val="center"/>
              <w:rPr>
                <w:sz w:val="24"/>
              </w:rPr>
            </w:pPr>
            <w:r>
              <w:rPr>
                <w:kern w:val="0"/>
                <w:sz w:val="24"/>
                <w:lang w:bidi="ar"/>
              </w:rPr>
              <w:t>温岭</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rPr>
                <w:sz w:val="24"/>
              </w:rPr>
            </w:pP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textAlignment w:val="center"/>
              <w:rPr>
                <w:sz w:val="24"/>
              </w:rPr>
            </w:pPr>
            <w:r>
              <w:rPr>
                <w:kern w:val="0"/>
                <w:sz w:val="24"/>
                <w:lang w:bidi="ar"/>
              </w:rPr>
              <w:t>1</w:t>
            </w:r>
          </w:p>
        </w:tc>
        <w:tc>
          <w:tcPr>
            <w:tcW w:w="997" w:type="dxa"/>
            <w:vMerge w:val="continue"/>
            <w:noWrap w:val="0"/>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ign w:val="center"/>
          </w:tcPr>
          <w:p>
            <w:pPr>
              <w:spacing w:line="320" w:lineRule="exact"/>
              <w:jc w:val="center"/>
              <w:rPr>
                <w:sz w:val="24"/>
              </w:rPr>
            </w:pPr>
          </w:p>
        </w:tc>
        <w:tc>
          <w:tcPr>
            <w:tcW w:w="1106" w:type="dxa"/>
            <w:vMerge w:val="continue"/>
            <w:noWrap/>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noWrap/>
            <w:vAlign w:val="center"/>
          </w:tcPr>
          <w:p>
            <w:pPr>
              <w:spacing w:line="320" w:lineRule="exact"/>
              <w:jc w:val="center"/>
              <w:rPr>
                <w:sz w:val="24"/>
              </w:rPr>
            </w:pPr>
          </w:p>
        </w:tc>
        <w:tc>
          <w:tcPr>
            <w:tcW w:w="858" w:type="dxa"/>
            <w:noWrap w:val="0"/>
            <w:vAlign w:val="center"/>
          </w:tcPr>
          <w:p>
            <w:pPr>
              <w:spacing w:line="320" w:lineRule="exact"/>
              <w:jc w:val="center"/>
              <w:textAlignment w:val="center"/>
              <w:rPr>
                <w:sz w:val="24"/>
              </w:rPr>
            </w:pPr>
            <w:r>
              <w:rPr>
                <w:kern w:val="0"/>
                <w:sz w:val="24"/>
                <w:lang w:bidi="ar"/>
              </w:rPr>
              <w:t>玉环</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rPr>
                <w:sz w:val="24"/>
              </w:rPr>
            </w:pP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textAlignment w:val="center"/>
              <w:rPr>
                <w:sz w:val="24"/>
              </w:rPr>
            </w:pPr>
            <w:r>
              <w:rPr>
                <w:kern w:val="0"/>
                <w:sz w:val="24"/>
                <w:lang w:bidi="ar"/>
              </w:rPr>
              <w:t>1</w:t>
            </w:r>
          </w:p>
        </w:tc>
        <w:tc>
          <w:tcPr>
            <w:tcW w:w="997" w:type="dxa"/>
            <w:vMerge w:val="continue"/>
            <w:noWrap w:val="0"/>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ign w:val="center"/>
          </w:tcPr>
          <w:p>
            <w:pPr>
              <w:spacing w:line="320" w:lineRule="exact"/>
              <w:jc w:val="center"/>
              <w:rPr>
                <w:sz w:val="24"/>
              </w:rPr>
            </w:pPr>
          </w:p>
        </w:tc>
        <w:tc>
          <w:tcPr>
            <w:tcW w:w="1106" w:type="dxa"/>
            <w:vMerge w:val="continue"/>
            <w:noWrap/>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restart"/>
            <w:noWrap/>
            <w:vAlign w:val="center"/>
          </w:tcPr>
          <w:p>
            <w:pPr>
              <w:spacing w:line="320" w:lineRule="exact"/>
              <w:jc w:val="center"/>
              <w:textAlignment w:val="center"/>
              <w:rPr>
                <w:sz w:val="24"/>
              </w:rPr>
            </w:pPr>
            <w:r>
              <w:rPr>
                <w:kern w:val="0"/>
                <w:sz w:val="24"/>
                <w:lang w:bidi="ar"/>
              </w:rPr>
              <w:t>丽水</w:t>
            </w:r>
          </w:p>
        </w:tc>
        <w:tc>
          <w:tcPr>
            <w:tcW w:w="858" w:type="dxa"/>
            <w:vMerge w:val="restart"/>
            <w:noWrap/>
            <w:vAlign w:val="center"/>
          </w:tcPr>
          <w:p>
            <w:pPr>
              <w:spacing w:line="320" w:lineRule="exact"/>
              <w:jc w:val="center"/>
              <w:textAlignment w:val="center"/>
              <w:rPr>
                <w:sz w:val="24"/>
              </w:rPr>
            </w:pPr>
            <w:r>
              <w:rPr>
                <w:kern w:val="0"/>
                <w:sz w:val="24"/>
                <w:lang w:bidi="ar"/>
              </w:rPr>
              <w:t>莲都</w:t>
            </w:r>
          </w:p>
        </w:tc>
        <w:tc>
          <w:tcPr>
            <w:tcW w:w="1425" w:type="dxa"/>
            <w:noWrap/>
            <w:vAlign w:val="center"/>
          </w:tcPr>
          <w:p>
            <w:pPr>
              <w:spacing w:line="320" w:lineRule="exact"/>
              <w:jc w:val="center"/>
              <w:textAlignment w:val="center"/>
              <w:rPr>
                <w:sz w:val="24"/>
              </w:rPr>
            </w:pPr>
            <w:r>
              <w:rPr>
                <w:kern w:val="0"/>
                <w:sz w:val="24"/>
                <w:lang w:bidi="ar"/>
              </w:rPr>
              <w:t>城镇</w:t>
            </w:r>
          </w:p>
        </w:tc>
        <w:tc>
          <w:tcPr>
            <w:tcW w:w="942" w:type="dxa"/>
            <w:noWrap/>
            <w:vAlign w:val="center"/>
          </w:tcPr>
          <w:p>
            <w:pPr>
              <w:spacing w:line="320" w:lineRule="exact"/>
              <w:jc w:val="center"/>
              <w:textAlignment w:val="center"/>
              <w:rPr>
                <w:sz w:val="24"/>
              </w:rPr>
            </w:pPr>
            <w:r>
              <w:rPr>
                <w:kern w:val="0"/>
                <w:sz w:val="24"/>
                <w:lang w:bidi="ar"/>
              </w:rPr>
              <w:t>1</w:t>
            </w:r>
          </w:p>
        </w:tc>
        <w:tc>
          <w:tcPr>
            <w:tcW w:w="890" w:type="dxa"/>
            <w:noWrap/>
            <w:vAlign w:val="center"/>
          </w:tcPr>
          <w:p>
            <w:pPr>
              <w:spacing w:line="320" w:lineRule="exact"/>
              <w:jc w:val="center"/>
              <w:rPr>
                <w:sz w:val="24"/>
              </w:rPr>
            </w:pPr>
          </w:p>
        </w:tc>
        <w:tc>
          <w:tcPr>
            <w:tcW w:w="878" w:type="dxa"/>
            <w:noWrap/>
            <w:vAlign w:val="center"/>
          </w:tcPr>
          <w:p>
            <w:pPr>
              <w:spacing w:line="320" w:lineRule="exact"/>
              <w:jc w:val="center"/>
              <w:textAlignment w:val="center"/>
              <w:rPr>
                <w:sz w:val="24"/>
              </w:rPr>
            </w:pPr>
          </w:p>
        </w:tc>
        <w:tc>
          <w:tcPr>
            <w:tcW w:w="997" w:type="dxa"/>
            <w:vMerge w:val="restart"/>
            <w:noWrap/>
            <w:vAlign w:val="center"/>
          </w:tcPr>
          <w:p>
            <w:pPr>
              <w:spacing w:line="320" w:lineRule="exact"/>
              <w:jc w:val="center"/>
              <w:textAlignment w:val="center"/>
              <w:rPr>
                <w:sz w:val="24"/>
              </w:rPr>
            </w:pPr>
            <w:r>
              <w:rPr>
                <w:kern w:val="0"/>
                <w:sz w:val="24"/>
                <w:lang w:bidi="ar"/>
              </w:rPr>
              <w:t>1</w:t>
            </w:r>
          </w:p>
        </w:tc>
        <w:tc>
          <w:tcPr>
            <w:tcW w:w="1060" w:type="dxa"/>
            <w:vMerge w:val="restart"/>
            <w:noWrap/>
            <w:vAlign w:val="center"/>
          </w:tcPr>
          <w:p>
            <w:pPr>
              <w:spacing w:line="320" w:lineRule="exact"/>
              <w:jc w:val="center"/>
              <w:textAlignment w:val="center"/>
              <w:rPr>
                <w:sz w:val="24"/>
              </w:rPr>
            </w:pPr>
            <w:r>
              <w:rPr>
                <w:rFonts w:hint="eastAsia"/>
                <w:kern w:val="0"/>
                <w:sz w:val="24"/>
                <w:lang w:bidi="ar"/>
              </w:rPr>
              <w:t>1</w:t>
            </w:r>
          </w:p>
        </w:tc>
        <w:tc>
          <w:tcPr>
            <w:tcW w:w="922" w:type="dxa"/>
            <w:vMerge w:val="restart"/>
            <w:noWrap/>
            <w:vAlign w:val="center"/>
          </w:tcPr>
          <w:p>
            <w:pPr>
              <w:spacing w:line="320" w:lineRule="exact"/>
              <w:jc w:val="center"/>
              <w:textAlignment w:val="center"/>
              <w:rPr>
                <w:sz w:val="24"/>
              </w:rPr>
            </w:pPr>
            <w:r>
              <w:rPr>
                <w:rFonts w:hint="eastAsia"/>
                <w:kern w:val="0"/>
                <w:sz w:val="24"/>
                <w:lang w:bidi="ar"/>
              </w:rPr>
              <w:t>2</w:t>
            </w:r>
          </w:p>
        </w:tc>
        <w:tc>
          <w:tcPr>
            <w:tcW w:w="1106" w:type="dxa"/>
            <w:vMerge w:val="restart"/>
            <w:noWrap w:val="0"/>
            <w:vAlign w:val="center"/>
          </w:tcPr>
          <w:p>
            <w:pPr>
              <w:spacing w:line="320" w:lineRule="exact"/>
              <w:jc w:val="center"/>
              <w:textAlignment w:val="center"/>
              <w:rPr>
                <w:sz w:val="24"/>
              </w:rPr>
            </w:pPr>
            <w:r>
              <w:rPr>
                <w:rFonts w:hint="eastAsia"/>
                <w:kern w:val="0"/>
                <w:sz w:val="24"/>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noWrap/>
            <w:vAlign w:val="center"/>
          </w:tcPr>
          <w:p>
            <w:pPr>
              <w:spacing w:line="320" w:lineRule="exact"/>
              <w:jc w:val="center"/>
              <w:rPr>
                <w:sz w:val="24"/>
              </w:rPr>
            </w:pPr>
          </w:p>
        </w:tc>
        <w:tc>
          <w:tcPr>
            <w:tcW w:w="858" w:type="dxa"/>
            <w:vMerge w:val="continue"/>
            <w:noWrap/>
            <w:vAlign w:val="center"/>
          </w:tcPr>
          <w:p>
            <w:pPr>
              <w:spacing w:line="320" w:lineRule="exact"/>
              <w:jc w:val="center"/>
              <w:rPr>
                <w:sz w:val="24"/>
              </w:rPr>
            </w:pPr>
          </w:p>
        </w:tc>
        <w:tc>
          <w:tcPr>
            <w:tcW w:w="1425" w:type="dxa"/>
            <w:noWrap/>
            <w:vAlign w:val="center"/>
          </w:tcPr>
          <w:p>
            <w:pPr>
              <w:spacing w:line="320" w:lineRule="exact"/>
              <w:jc w:val="center"/>
              <w:textAlignment w:val="center"/>
              <w:rPr>
                <w:sz w:val="24"/>
              </w:rPr>
            </w:pPr>
            <w:r>
              <w:rPr>
                <w:kern w:val="0"/>
                <w:sz w:val="24"/>
                <w:lang w:bidi="ar"/>
              </w:rPr>
              <w:t>产业园区</w:t>
            </w:r>
          </w:p>
        </w:tc>
        <w:tc>
          <w:tcPr>
            <w:tcW w:w="942" w:type="dxa"/>
            <w:noWrap/>
            <w:vAlign w:val="center"/>
          </w:tcPr>
          <w:p>
            <w:pPr>
              <w:spacing w:line="320" w:lineRule="exact"/>
              <w:jc w:val="center"/>
              <w:rPr>
                <w:sz w:val="24"/>
              </w:rPr>
            </w:pPr>
          </w:p>
        </w:tc>
        <w:tc>
          <w:tcPr>
            <w:tcW w:w="890" w:type="dxa"/>
            <w:noWrap/>
            <w:vAlign w:val="center"/>
          </w:tcPr>
          <w:p>
            <w:pPr>
              <w:spacing w:line="320" w:lineRule="exact"/>
              <w:jc w:val="center"/>
              <w:textAlignment w:val="center"/>
              <w:rPr>
                <w:sz w:val="24"/>
              </w:rPr>
            </w:pPr>
            <w:r>
              <w:rPr>
                <w:rFonts w:hint="eastAsia"/>
                <w:kern w:val="0"/>
                <w:sz w:val="24"/>
                <w:lang w:bidi="ar"/>
              </w:rPr>
              <w:t>1</w:t>
            </w:r>
          </w:p>
        </w:tc>
        <w:tc>
          <w:tcPr>
            <w:tcW w:w="878" w:type="dxa"/>
            <w:noWrap/>
            <w:vAlign w:val="center"/>
          </w:tcPr>
          <w:p>
            <w:pPr>
              <w:spacing w:line="320" w:lineRule="exact"/>
              <w:jc w:val="center"/>
              <w:rPr>
                <w:sz w:val="24"/>
              </w:rPr>
            </w:pPr>
            <w:r>
              <w:rPr>
                <w:rFonts w:hint="eastAsia"/>
                <w:sz w:val="24"/>
              </w:rPr>
              <w:t>1</w:t>
            </w:r>
          </w:p>
        </w:tc>
        <w:tc>
          <w:tcPr>
            <w:tcW w:w="997" w:type="dxa"/>
            <w:vMerge w:val="continue"/>
            <w:noWrap/>
            <w:vAlign w:val="center"/>
          </w:tcPr>
          <w:p>
            <w:pPr>
              <w:spacing w:line="320" w:lineRule="exact"/>
              <w:jc w:val="center"/>
              <w:rPr>
                <w:sz w:val="24"/>
              </w:rPr>
            </w:pPr>
          </w:p>
        </w:tc>
        <w:tc>
          <w:tcPr>
            <w:tcW w:w="1060" w:type="dxa"/>
            <w:vMerge w:val="continue"/>
            <w:noWrap/>
            <w:vAlign w:val="center"/>
          </w:tcPr>
          <w:p>
            <w:pPr>
              <w:spacing w:line="320" w:lineRule="exact"/>
              <w:jc w:val="center"/>
              <w:rPr>
                <w:sz w:val="24"/>
              </w:rPr>
            </w:pPr>
          </w:p>
        </w:tc>
        <w:tc>
          <w:tcPr>
            <w:tcW w:w="922" w:type="dxa"/>
            <w:vMerge w:val="continue"/>
            <w:noWrap/>
            <w:vAlign w:val="center"/>
          </w:tcPr>
          <w:p>
            <w:pPr>
              <w:spacing w:line="320" w:lineRule="exact"/>
              <w:jc w:val="center"/>
              <w:rPr>
                <w:sz w:val="24"/>
              </w:rPr>
            </w:pPr>
          </w:p>
        </w:tc>
        <w:tc>
          <w:tcPr>
            <w:tcW w:w="1106" w:type="dxa"/>
            <w:vMerge w:val="continue"/>
            <w:noWrap w:val="0"/>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3" w:type="dxa"/>
            <w:gridSpan w:val="6"/>
            <w:noWrap/>
            <w:vAlign w:val="center"/>
          </w:tcPr>
          <w:p>
            <w:pPr>
              <w:spacing w:line="320" w:lineRule="exact"/>
              <w:jc w:val="center"/>
              <w:textAlignment w:val="center"/>
              <w:rPr>
                <w:b/>
                <w:bCs/>
                <w:sz w:val="24"/>
              </w:rPr>
            </w:pPr>
            <w:r>
              <w:rPr>
                <w:b/>
                <w:bCs/>
                <w:kern w:val="0"/>
                <w:sz w:val="24"/>
                <w:lang w:bidi="ar"/>
              </w:rPr>
              <w:t>总计</w:t>
            </w:r>
          </w:p>
        </w:tc>
        <w:tc>
          <w:tcPr>
            <w:tcW w:w="997" w:type="dxa"/>
            <w:noWrap/>
            <w:vAlign w:val="center"/>
          </w:tcPr>
          <w:p>
            <w:pPr>
              <w:spacing w:line="320" w:lineRule="exact"/>
              <w:jc w:val="center"/>
              <w:textAlignment w:val="center"/>
              <w:rPr>
                <w:b/>
                <w:bCs/>
                <w:sz w:val="24"/>
              </w:rPr>
            </w:pPr>
            <w:r>
              <w:rPr>
                <w:b/>
                <w:bCs/>
                <w:kern w:val="0"/>
                <w:sz w:val="24"/>
                <w:lang w:bidi="ar"/>
              </w:rPr>
              <w:t>7</w:t>
            </w:r>
          </w:p>
        </w:tc>
        <w:tc>
          <w:tcPr>
            <w:tcW w:w="1060" w:type="dxa"/>
            <w:noWrap/>
            <w:vAlign w:val="center"/>
          </w:tcPr>
          <w:p>
            <w:pPr>
              <w:spacing w:line="320" w:lineRule="exact"/>
              <w:jc w:val="center"/>
              <w:textAlignment w:val="center"/>
              <w:rPr>
                <w:b/>
                <w:bCs/>
                <w:sz w:val="24"/>
              </w:rPr>
            </w:pPr>
            <w:r>
              <w:rPr>
                <w:rFonts w:hint="eastAsia"/>
                <w:b/>
                <w:bCs/>
                <w:kern w:val="0"/>
                <w:sz w:val="24"/>
                <w:lang w:bidi="ar"/>
              </w:rPr>
              <w:t>3</w:t>
            </w:r>
          </w:p>
        </w:tc>
        <w:tc>
          <w:tcPr>
            <w:tcW w:w="922" w:type="dxa"/>
            <w:noWrap/>
            <w:vAlign w:val="center"/>
          </w:tcPr>
          <w:p>
            <w:pPr>
              <w:spacing w:line="320" w:lineRule="exact"/>
              <w:jc w:val="center"/>
              <w:textAlignment w:val="center"/>
              <w:rPr>
                <w:b/>
                <w:bCs/>
                <w:sz w:val="24"/>
              </w:rPr>
            </w:pPr>
            <w:r>
              <w:rPr>
                <w:b/>
                <w:bCs/>
                <w:kern w:val="0"/>
                <w:sz w:val="24"/>
                <w:lang w:bidi="ar"/>
              </w:rPr>
              <w:t>1</w:t>
            </w:r>
            <w:r>
              <w:rPr>
                <w:rFonts w:hint="eastAsia"/>
                <w:b/>
                <w:bCs/>
                <w:kern w:val="0"/>
                <w:sz w:val="24"/>
                <w:lang w:bidi="ar"/>
              </w:rPr>
              <w:t>0</w:t>
            </w:r>
          </w:p>
        </w:tc>
        <w:tc>
          <w:tcPr>
            <w:tcW w:w="1106" w:type="dxa"/>
            <w:noWrap/>
            <w:vAlign w:val="center"/>
          </w:tcPr>
          <w:p>
            <w:pPr>
              <w:spacing w:line="320" w:lineRule="exact"/>
              <w:jc w:val="center"/>
              <w:textAlignment w:val="center"/>
              <w:rPr>
                <w:b/>
                <w:bCs/>
                <w:sz w:val="24"/>
              </w:rPr>
            </w:pPr>
            <w:r>
              <w:rPr>
                <w:b/>
                <w:bCs/>
                <w:kern w:val="0"/>
                <w:sz w:val="24"/>
                <w:lang w:bidi="ar"/>
              </w:rPr>
              <w:t>2</w:t>
            </w:r>
            <w:r>
              <w:rPr>
                <w:rFonts w:hint="eastAsia"/>
                <w:b/>
                <w:bCs/>
                <w:kern w:val="0"/>
                <w:sz w:val="24"/>
                <w:lang w:bidi="ar"/>
              </w:rPr>
              <w:t>2</w:t>
            </w:r>
          </w:p>
        </w:tc>
      </w:tr>
    </w:tbl>
    <w:p>
      <w:pPr>
        <w:spacing w:line="579" w:lineRule="exact"/>
      </w:pPr>
    </w:p>
    <w:tbl>
      <w:tblPr>
        <w:tblStyle w:val="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eastAsia="黑体"/>
                <w:b/>
                <w:kern w:val="0"/>
                <w:sz w:val="24"/>
              </w:rPr>
            </w:pPr>
            <w:r>
              <w:rPr>
                <w:rFonts w:eastAsia="黑体"/>
                <w:kern w:val="0"/>
                <w:sz w:val="28"/>
                <w:szCs w:val="28"/>
              </w:rPr>
              <w:t>专栏3.1  加氢站布点原则与建设要求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tabs>
                <w:tab w:val="left" w:pos="312"/>
              </w:tabs>
              <w:spacing w:line="360" w:lineRule="exact"/>
              <w:ind w:firstLine="470" w:firstLineChars="200"/>
              <w:rPr>
                <w:rFonts w:hint="eastAsia"/>
                <w:bCs/>
                <w:kern w:val="0"/>
                <w:sz w:val="24"/>
                <w:lang w:eastAsia="zh-CN"/>
              </w:rPr>
            </w:pPr>
            <w:r>
              <w:rPr>
                <w:rFonts w:hint="eastAsia"/>
                <w:bCs/>
                <w:kern w:val="0"/>
                <w:sz w:val="24"/>
                <w:lang w:val="en-US" w:eastAsia="zh-CN"/>
              </w:rPr>
              <w:t>1.</w:t>
            </w:r>
            <w:r>
              <w:rPr>
                <w:rFonts w:hint="eastAsia"/>
                <w:bCs/>
                <w:kern w:val="0"/>
                <w:sz w:val="24"/>
              </w:rPr>
              <w:t>加氢站建设布局应与城市交通设施规划相协调，尤其是公共交通、物流枢纽等专业作业车集中区域</w:t>
            </w:r>
            <w:r>
              <w:rPr>
                <w:rFonts w:hint="eastAsia"/>
                <w:bCs/>
                <w:kern w:val="0"/>
                <w:sz w:val="24"/>
                <w:lang w:eastAsia="zh-CN"/>
              </w:rPr>
              <w:t>；</w:t>
            </w:r>
          </w:p>
          <w:p>
            <w:pPr>
              <w:numPr>
                <w:ilvl w:val="0"/>
                <w:numId w:val="0"/>
              </w:numPr>
              <w:tabs>
                <w:tab w:val="left" w:pos="312"/>
              </w:tabs>
              <w:spacing w:line="360" w:lineRule="exact"/>
              <w:ind w:firstLine="470" w:firstLineChars="200"/>
              <w:rPr>
                <w:rFonts w:hint="eastAsia"/>
                <w:bCs/>
                <w:kern w:val="0"/>
                <w:sz w:val="24"/>
                <w:lang w:eastAsia="zh-CN"/>
              </w:rPr>
            </w:pPr>
            <w:r>
              <w:rPr>
                <w:rFonts w:hint="eastAsia"/>
                <w:bCs/>
                <w:kern w:val="0"/>
                <w:sz w:val="24"/>
                <w:lang w:val="en-US" w:eastAsia="zh-CN"/>
              </w:rPr>
              <w:t>2.</w:t>
            </w:r>
            <w:r>
              <w:rPr>
                <w:bCs/>
                <w:kern w:val="0"/>
                <w:sz w:val="24"/>
              </w:rPr>
              <w:t>位于交通干道的加氢站，</w:t>
            </w:r>
            <w:r>
              <w:rPr>
                <w:rFonts w:hint="eastAsia"/>
                <w:bCs/>
                <w:kern w:val="0"/>
                <w:sz w:val="24"/>
                <w:lang w:val="en-US" w:eastAsia="zh-CN"/>
              </w:rPr>
              <w:t>站点</w:t>
            </w:r>
            <w:r>
              <w:rPr>
                <w:bCs/>
                <w:kern w:val="0"/>
                <w:sz w:val="24"/>
              </w:rPr>
              <w:t>布局</w:t>
            </w:r>
            <w:r>
              <w:rPr>
                <w:rFonts w:hint="eastAsia"/>
                <w:bCs/>
                <w:kern w:val="0"/>
                <w:sz w:val="24"/>
                <w:lang w:val="en-US" w:eastAsia="zh-CN"/>
              </w:rPr>
              <w:t>应</w:t>
            </w:r>
            <w:r>
              <w:rPr>
                <w:bCs/>
                <w:kern w:val="0"/>
                <w:sz w:val="24"/>
              </w:rPr>
              <w:t>尽量与高速公路互通出入口、旅游集散中心、客车停靠站等现有交通节点相结合</w:t>
            </w:r>
            <w:r>
              <w:rPr>
                <w:rFonts w:hint="eastAsia"/>
                <w:bCs/>
                <w:kern w:val="0"/>
                <w:sz w:val="24"/>
                <w:lang w:eastAsia="zh-CN"/>
              </w:rPr>
              <w:t>；</w:t>
            </w:r>
          </w:p>
          <w:p>
            <w:pPr>
              <w:spacing w:line="360" w:lineRule="exact"/>
              <w:ind w:firstLine="470" w:firstLineChars="200"/>
              <w:rPr>
                <w:rFonts w:hint="eastAsia" w:eastAsia="仿宋_GB2312"/>
                <w:bCs/>
                <w:kern w:val="0"/>
                <w:sz w:val="24"/>
                <w:lang w:eastAsia="zh-CN"/>
              </w:rPr>
            </w:pPr>
            <w:r>
              <w:rPr>
                <w:rFonts w:hint="eastAsia" w:eastAsia="宋体"/>
                <w:bCs/>
                <w:kern w:val="0"/>
                <w:sz w:val="24"/>
                <w:lang w:val="en-US" w:eastAsia="zh-CN"/>
              </w:rPr>
              <w:t>3</w:t>
            </w:r>
            <w:r>
              <w:rPr>
                <w:rFonts w:hint="eastAsia" w:ascii="宋体" w:hAnsi="宋体" w:eastAsia="宋体" w:cs="宋体"/>
                <w:kern w:val="0"/>
                <w:sz w:val="24"/>
              </w:rPr>
              <w:t>.</w:t>
            </w:r>
            <w:r>
              <w:rPr>
                <w:bCs/>
                <w:kern w:val="0"/>
                <w:sz w:val="24"/>
              </w:rPr>
              <w:t>位于城区的加氢站</w:t>
            </w:r>
            <w:r>
              <w:rPr>
                <w:rFonts w:hint="eastAsia"/>
                <w:bCs/>
                <w:kern w:val="0"/>
                <w:sz w:val="24"/>
                <w:lang w:eastAsia="zh-CN"/>
              </w:rPr>
              <w:t>，</w:t>
            </w:r>
            <w:r>
              <w:rPr>
                <w:rFonts w:hint="eastAsia"/>
                <w:bCs/>
                <w:kern w:val="0"/>
                <w:sz w:val="24"/>
                <w:lang w:val="en-US" w:eastAsia="zh-CN"/>
              </w:rPr>
              <w:t>站点布局应</w:t>
            </w:r>
            <w:r>
              <w:rPr>
                <w:rFonts w:hint="eastAsia"/>
                <w:kern w:val="0"/>
                <w:sz w:val="24"/>
              </w:rPr>
              <w:t>在交通便捷的位置，与当地交通管理措施相衔接，宜靠近公路、城市道路等，但不应在主干道交叉路口附近，且应避开交通事故高风险路段</w:t>
            </w:r>
            <w:r>
              <w:rPr>
                <w:rFonts w:hint="eastAsia"/>
                <w:bCs/>
                <w:kern w:val="0"/>
                <w:sz w:val="24"/>
                <w:lang w:eastAsia="zh-CN"/>
              </w:rPr>
              <w:t>；</w:t>
            </w:r>
            <w:r>
              <w:rPr>
                <w:bCs/>
                <w:kern w:val="0"/>
                <w:sz w:val="24"/>
              </w:rPr>
              <w:t>城市中心区不应建设一级加氢站。</w:t>
            </w:r>
          </w:p>
          <w:p>
            <w:pPr>
              <w:spacing w:line="360" w:lineRule="exact"/>
              <w:ind w:firstLine="470" w:firstLineChars="200"/>
              <w:rPr>
                <w:rFonts w:hint="eastAsia" w:eastAsia="仿宋_GB2312"/>
                <w:bCs/>
                <w:kern w:val="0"/>
                <w:sz w:val="24"/>
                <w:lang w:eastAsia="zh-CN"/>
              </w:rPr>
            </w:pPr>
            <w:r>
              <w:rPr>
                <w:rFonts w:hint="eastAsia" w:eastAsia="宋体"/>
                <w:bCs/>
                <w:kern w:val="0"/>
                <w:sz w:val="24"/>
                <w:lang w:val="en-US" w:eastAsia="zh-CN"/>
              </w:rPr>
              <w:t>4</w:t>
            </w:r>
            <w:r>
              <w:rPr>
                <w:rFonts w:hint="eastAsia" w:ascii="宋体" w:hAnsi="宋体" w:eastAsia="宋体" w:cs="宋体"/>
                <w:kern w:val="0"/>
                <w:sz w:val="24"/>
              </w:rPr>
              <w:t>.</w:t>
            </w:r>
            <w:r>
              <w:rPr>
                <w:bCs/>
                <w:kern w:val="0"/>
                <w:sz w:val="24"/>
              </w:rPr>
              <w:t>位于产业园区的加氢站，站点布局应符合产业园区规划及功能区管理规定，一般设置在园区班车停车场站、物流集散地、工业搬运车管理维护点等车辆相对集中的地方或者靠近园区主干道，车辆运行方便的区域</w:t>
            </w:r>
            <w:r>
              <w:rPr>
                <w:rFonts w:hint="eastAsia"/>
                <w:bCs/>
                <w:kern w:val="0"/>
                <w:sz w:val="24"/>
                <w:lang w:eastAsia="zh-CN"/>
              </w:rPr>
              <w:t>；</w:t>
            </w:r>
          </w:p>
          <w:p>
            <w:pPr>
              <w:spacing w:line="360" w:lineRule="exact"/>
              <w:ind w:firstLine="470" w:firstLineChars="200"/>
            </w:pPr>
            <w:r>
              <w:rPr>
                <w:rFonts w:hint="eastAsia" w:eastAsia="宋体"/>
                <w:bCs/>
                <w:kern w:val="0"/>
                <w:sz w:val="24"/>
                <w:lang w:val="en-US" w:eastAsia="zh-CN"/>
              </w:rPr>
              <w:t>5</w:t>
            </w:r>
            <w:r>
              <w:rPr>
                <w:rFonts w:hint="eastAsia" w:ascii="宋体" w:hAnsi="宋体" w:eastAsia="宋体" w:cs="宋体"/>
                <w:kern w:val="0"/>
                <w:sz w:val="24"/>
              </w:rPr>
              <w:t>.</w:t>
            </w:r>
            <w:r>
              <w:rPr>
                <w:bCs/>
                <w:kern w:val="0"/>
                <w:sz w:val="24"/>
              </w:rPr>
              <w:t>位于港口码头的加氢站，加氢位置应满足氢燃料电池船舶安全靠泊要求，合理选取岸线端部布置</w:t>
            </w:r>
            <w:r>
              <w:rPr>
                <w:rFonts w:hint="eastAsia"/>
                <w:bCs/>
                <w:kern w:val="0"/>
                <w:sz w:val="24"/>
                <w:lang w:eastAsia="zh-CN"/>
              </w:rPr>
              <w:t>；</w:t>
            </w:r>
          </w:p>
          <w:p>
            <w:pPr>
              <w:spacing w:line="360" w:lineRule="exact"/>
              <w:ind w:firstLine="470" w:firstLineChars="200"/>
              <w:rPr>
                <w:rFonts w:hint="eastAsia"/>
                <w:kern w:val="0"/>
                <w:sz w:val="24"/>
              </w:rPr>
            </w:pPr>
            <w:r>
              <w:rPr>
                <w:rFonts w:hint="eastAsia"/>
                <w:kern w:val="0"/>
                <w:sz w:val="24"/>
                <w:lang w:val="en-US" w:eastAsia="zh-CN"/>
              </w:rPr>
              <w:t>6</w:t>
            </w:r>
            <w:r>
              <w:rPr>
                <w:rFonts w:hint="eastAsia" w:ascii="宋体" w:hAnsi="宋体" w:eastAsia="宋体" w:cs="宋体"/>
                <w:kern w:val="0"/>
                <w:sz w:val="24"/>
              </w:rPr>
              <w:t>.</w:t>
            </w:r>
            <w:r>
              <w:rPr>
                <w:rFonts w:hint="eastAsia"/>
                <w:kern w:val="0"/>
                <w:sz w:val="24"/>
              </w:rPr>
              <w:t>新建加氢站站址应充分考虑节约集约用地，合理使用土地，尽量利用荒地、劣地，不占或少占耕地和经济效益高的土地，并尽量减少土石方量；</w:t>
            </w:r>
          </w:p>
          <w:p>
            <w:pPr>
              <w:spacing w:line="360" w:lineRule="exact"/>
              <w:ind w:firstLine="470" w:firstLineChars="200"/>
            </w:pPr>
            <w:r>
              <w:rPr>
                <w:rFonts w:hint="eastAsia"/>
                <w:kern w:val="0"/>
                <w:sz w:val="24"/>
                <w:lang w:val="en-US" w:eastAsia="zh-CN"/>
              </w:rPr>
              <w:t>7</w:t>
            </w:r>
            <w:r>
              <w:rPr>
                <w:rFonts w:hint="eastAsia" w:ascii="宋体" w:hAnsi="宋体" w:eastAsia="宋体" w:cs="宋体"/>
                <w:kern w:val="0"/>
                <w:sz w:val="24"/>
              </w:rPr>
              <w:t>.</w:t>
            </w:r>
            <w:r>
              <w:rPr>
                <w:rFonts w:hint="eastAsia"/>
                <w:kern w:val="0"/>
                <w:sz w:val="24"/>
              </w:rPr>
              <w:t>加氢站应选址在开阔、通风良好的地方，与动火作业场所、爆炸危险场所保持安全距离；</w:t>
            </w:r>
          </w:p>
          <w:p>
            <w:pPr>
              <w:spacing w:line="360" w:lineRule="exact"/>
              <w:ind w:firstLine="470" w:firstLineChars="200"/>
              <w:rPr>
                <w:rFonts w:hint="eastAsia"/>
                <w:kern w:val="0"/>
                <w:sz w:val="24"/>
              </w:rPr>
            </w:pPr>
            <w:r>
              <w:rPr>
                <w:rFonts w:hint="eastAsia"/>
                <w:kern w:val="0"/>
                <w:sz w:val="24"/>
                <w:lang w:val="en-US" w:eastAsia="zh-CN"/>
              </w:rPr>
              <w:t>8</w:t>
            </w:r>
            <w:r>
              <w:rPr>
                <w:rFonts w:hint="eastAsia" w:ascii="宋体" w:hAnsi="宋体" w:eastAsia="宋体" w:cs="宋体"/>
                <w:kern w:val="0"/>
                <w:sz w:val="24"/>
              </w:rPr>
              <w:t>.</w:t>
            </w:r>
            <w:r>
              <w:rPr>
                <w:rFonts w:hint="eastAsia"/>
                <w:kern w:val="0"/>
                <w:sz w:val="24"/>
              </w:rPr>
              <w:t>站址应考虑与邻近设施、周围环境的相互影响和协调；</w:t>
            </w:r>
          </w:p>
          <w:p>
            <w:pPr>
              <w:spacing w:line="360" w:lineRule="exact"/>
              <w:ind w:firstLine="470" w:firstLineChars="200"/>
              <w:rPr>
                <w:rFonts w:hint="eastAsia"/>
                <w:kern w:val="0"/>
                <w:sz w:val="24"/>
              </w:rPr>
            </w:pPr>
            <w:r>
              <w:rPr>
                <w:rFonts w:hint="eastAsia"/>
                <w:kern w:val="0"/>
                <w:sz w:val="24"/>
                <w:lang w:val="en-US" w:eastAsia="zh-CN"/>
              </w:rPr>
              <w:t>9</w:t>
            </w:r>
            <w:r>
              <w:rPr>
                <w:rFonts w:hint="eastAsia" w:ascii="宋体" w:hAnsi="宋体" w:eastAsia="宋体" w:cs="宋体"/>
                <w:kern w:val="0"/>
                <w:sz w:val="24"/>
              </w:rPr>
              <w:t>.</w:t>
            </w:r>
            <w:r>
              <w:rPr>
                <w:rFonts w:hint="eastAsia"/>
                <w:kern w:val="0"/>
                <w:sz w:val="24"/>
              </w:rPr>
              <w:t>加氢站与站外建构筑物的防火要求等应符合《加氢站技术规范（GB 50516）》《汽车加油加气加氢站技术标准（GB 50156）》等相关规定；</w:t>
            </w:r>
          </w:p>
          <w:p>
            <w:pPr>
              <w:spacing w:line="360" w:lineRule="exact"/>
              <w:ind w:firstLine="470" w:firstLineChars="200"/>
              <w:rPr>
                <w:kern w:val="0"/>
                <w:sz w:val="24"/>
              </w:rPr>
            </w:pPr>
            <w:r>
              <w:rPr>
                <w:rFonts w:hint="eastAsia"/>
                <w:kern w:val="0"/>
                <w:sz w:val="24"/>
                <w:lang w:val="en-US" w:eastAsia="zh-CN"/>
              </w:rPr>
              <w:t>10</w:t>
            </w:r>
            <w:r>
              <w:rPr>
                <w:rFonts w:hint="eastAsia" w:ascii="宋体" w:hAnsi="宋体" w:eastAsia="宋体" w:cs="宋体"/>
                <w:kern w:val="0"/>
                <w:sz w:val="24"/>
              </w:rPr>
              <w:t>.</w:t>
            </w:r>
            <w:r>
              <w:rPr>
                <w:rFonts w:hint="eastAsia"/>
                <w:kern w:val="0"/>
                <w:sz w:val="24"/>
              </w:rPr>
              <w:t>站址应具有适宜的地质、地形条件，应避开滑坡、泥石流、明或暗的河塘、塌陷区和地震断裂地带等不良地质构造。避开溶洞、采空区、岸边冲刷区、易发生滚石的地段，还应注意尽量避免或减少破坏林木和环境自然地貌</w:t>
            </w:r>
          </w:p>
        </w:tc>
      </w:tr>
    </w:tbl>
    <w:p>
      <w:pPr>
        <w:spacing w:line="579" w:lineRule="exact"/>
        <w:ind w:firstLine="630" w:firstLineChars="200"/>
        <w:outlineLvl w:val="0"/>
        <w:rPr>
          <w:rFonts w:eastAsia="黑体"/>
          <w:bCs/>
          <w:szCs w:val="32"/>
        </w:rPr>
      </w:pPr>
      <w:r>
        <w:rPr>
          <w:rFonts w:eastAsia="黑体"/>
          <w:bCs/>
          <w:szCs w:val="32"/>
        </w:rPr>
        <w:t>四</w:t>
      </w:r>
      <w:r>
        <w:rPr>
          <w:rFonts w:hint="eastAsia" w:eastAsia="黑体"/>
          <w:bCs/>
          <w:szCs w:val="32"/>
        </w:rPr>
        <w:t>、</w:t>
      </w:r>
      <w:r>
        <w:rPr>
          <w:rFonts w:eastAsia="黑体"/>
          <w:bCs/>
          <w:szCs w:val="32"/>
        </w:rPr>
        <w:t>重点任务</w:t>
      </w:r>
    </w:p>
    <w:p>
      <w:pPr>
        <w:spacing w:line="579" w:lineRule="exact"/>
        <w:ind w:firstLine="630" w:firstLineChars="200"/>
        <w:outlineLvl w:val="1"/>
        <w:rPr>
          <w:rFonts w:eastAsia="楷体_GB2312"/>
          <w:szCs w:val="32"/>
        </w:rPr>
      </w:pPr>
      <w:bookmarkStart w:id="61" w:name="_Toc12331"/>
      <w:bookmarkStart w:id="62" w:name="_Toc12907"/>
      <w:bookmarkStart w:id="63" w:name="_Toc3931"/>
      <w:bookmarkStart w:id="64" w:name="_Toc12919"/>
      <w:bookmarkStart w:id="65" w:name="_Toc17114"/>
      <w:bookmarkStart w:id="66" w:name="_Toc7385"/>
      <w:r>
        <w:rPr>
          <w:rFonts w:ascii="Times New Roman" w:hAnsi="Times New Roman" w:eastAsia="楷体_GB2312" w:cs="Times New Roman"/>
          <w:b/>
          <w:bCs/>
          <w:szCs w:val="32"/>
        </w:rPr>
        <w:t>（一）加强氢源保障</w:t>
      </w:r>
      <w:bookmarkEnd w:id="61"/>
      <w:bookmarkEnd w:id="62"/>
      <w:bookmarkEnd w:id="63"/>
      <w:bookmarkEnd w:id="64"/>
      <w:bookmarkEnd w:id="65"/>
      <w:bookmarkEnd w:id="66"/>
    </w:p>
    <w:p>
      <w:pPr>
        <w:pStyle w:val="13"/>
        <w:spacing w:line="579" w:lineRule="exact"/>
        <w:ind w:firstLine="632"/>
        <w:rPr>
          <w:rFonts w:ascii="Times New Roman" w:hAnsi="Times New Roman" w:cs="Times New Roman"/>
          <w:color w:val="0C0C0C"/>
        </w:rPr>
      </w:pPr>
      <w:r>
        <w:rPr>
          <w:rFonts w:hint="eastAsia" w:ascii="Times New Roman" w:hAnsi="Times New Roman" w:cs="Times New Roman"/>
          <w:szCs w:val="32"/>
        </w:rPr>
        <w:t xml:space="preserve">1. </w:t>
      </w:r>
      <w:r>
        <w:rPr>
          <w:rFonts w:ascii="Times New Roman" w:hAnsi="Times New Roman" w:cs="Times New Roman"/>
          <w:szCs w:val="32"/>
        </w:rPr>
        <w:t>拓展氢源供应渠道。优先就近利用工业副产氢，支持化工企业强化副产氢回收利用。支持海上风电、光伏等可再生能源制氢示范，</w:t>
      </w:r>
      <w:r>
        <w:rPr>
          <w:rFonts w:ascii="Times New Roman" w:hAnsi="Times New Roman" w:cs="Times New Roman"/>
          <w:color w:val="0C0C0C"/>
        </w:rPr>
        <w:t>通过技术创新逐步降低可再生能源制氢成本，提高</w:t>
      </w:r>
      <w:r>
        <w:rPr>
          <w:rFonts w:hint="eastAsia" w:hAnsi="仿宋_GB2312" w:cs="仿宋_GB2312"/>
          <w:color w:val="0C0C0C"/>
        </w:rPr>
        <w:t>“绿氢”</w:t>
      </w:r>
      <w:r>
        <w:rPr>
          <w:rFonts w:ascii="Times New Roman" w:hAnsi="Times New Roman" w:cs="Times New Roman"/>
          <w:color w:val="0C0C0C"/>
        </w:rPr>
        <w:t>市场竞争力。</w:t>
      </w:r>
      <w:r>
        <w:rPr>
          <w:rFonts w:hint="eastAsia" w:ascii="Times New Roman" w:hAnsi="Times New Roman" w:cs="Times New Roman"/>
          <w:color w:val="0C0C0C"/>
        </w:rPr>
        <w:t>以</w:t>
      </w:r>
      <w:r>
        <w:rPr>
          <w:rFonts w:ascii="Times New Roman" w:hAnsi="Times New Roman" w:cs="Times New Roman"/>
          <w:color w:val="0C0C0C"/>
        </w:rPr>
        <w:t>工业副产氢、可再生能源制氢等</w:t>
      </w:r>
      <w:r>
        <w:rPr>
          <w:rFonts w:hint="eastAsia" w:ascii="Times New Roman" w:hAnsi="Times New Roman" w:cs="Times New Roman"/>
          <w:color w:val="0C0C0C"/>
        </w:rPr>
        <w:t>为</w:t>
      </w:r>
      <w:r>
        <w:rPr>
          <w:rFonts w:ascii="Times New Roman" w:hAnsi="Times New Roman" w:cs="Times New Roman"/>
          <w:color w:val="0C0C0C"/>
        </w:rPr>
        <w:t>主要氢源，形成多元化氢源保障供应体系。</w:t>
      </w:r>
    </w:p>
    <w:p>
      <w:pPr>
        <w:pStyle w:val="4"/>
        <w:spacing w:after="0" w:line="579" w:lineRule="exact"/>
        <w:ind w:firstLine="630" w:firstLineChars="200"/>
        <w:rPr>
          <w:szCs w:val="32"/>
        </w:rPr>
      </w:pPr>
      <w:r>
        <w:rPr>
          <w:rFonts w:hint="eastAsia"/>
          <w:szCs w:val="32"/>
        </w:rPr>
        <w:t xml:space="preserve">2. </w:t>
      </w:r>
      <w:r>
        <w:rPr>
          <w:szCs w:val="32"/>
        </w:rPr>
        <w:t>提高供氢质量。拓展氢气提纯产业布局，支持化工企业实施副产氢提纯、液化工程，进一步提高工业副产氢提纯能力</w:t>
      </w:r>
      <w:r>
        <w:rPr>
          <w:rFonts w:hint="eastAsia"/>
          <w:szCs w:val="32"/>
        </w:rPr>
        <w:t>。</w:t>
      </w:r>
      <w:r>
        <w:rPr>
          <w:szCs w:val="32"/>
        </w:rPr>
        <w:t>建立氢气来源溯源机制，加强氢气运输环节管控。严格车用加氢站加注要求，完善高压储氢瓶质量保证体系，形成质量</w:t>
      </w:r>
      <w:r>
        <w:rPr>
          <w:rFonts w:hint="eastAsia"/>
          <w:szCs w:val="32"/>
        </w:rPr>
        <w:t>达标</w:t>
      </w:r>
      <w:r>
        <w:rPr>
          <w:szCs w:val="32"/>
        </w:rPr>
        <w:t>、稳定持续、安全可靠的氢源供应能力。建立供氢质量在线监测管控体系，实时监控氢气的温度、压力</w:t>
      </w:r>
      <w:r>
        <w:rPr>
          <w:rFonts w:hint="eastAsia"/>
          <w:szCs w:val="32"/>
        </w:rPr>
        <w:t>、流量</w:t>
      </w:r>
      <w:r>
        <w:rPr>
          <w:szCs w:val="32"/>
        </w:rPr>
        <w:t>等状态</w:t>
      </w:r>
      <w:r>
        <w:rPr>
          <w:rFonts w:hint="eastAsia"/>
          <w:szCs w:val="32"/>
        </w:rPr>
        <w:t>。</w:t>
      </w:r>
    </w:p>
    <w:p>
      <w:pPr>
        <w:spacing w:line="579" w:lineRule="exact"/>
        <w:ind w:firstLine="643"/>
        <w:rPr>
          <w:bCs/>
          <w:szCs w:val="32"/>
        </w:rPr>
      </w:pPr>
      <w:r>
        <w:rPr>
          <w:rFonts w:hint="eastAsia"/>
          <w:szCs w:val="32"/>
        </w:rPr>
        <w:t>3. 推动</w:t>
      </w:r>
      <w:r>
        <w:rPr>
          <w:szCs w:val="32"/>
        </w:rPr>
        <w:t>制氢技术</w:t>
      </w:r>
      <w:r>
        <w:rPr>
          <w:rFonts w:hint="eastAsia"/>
          <w:szCs w:val="32"/>
        </w:rPr>
        <w:t>发展</w:t>
      </w:r>
      <w:r>
        <w:rPr>
          <w:szCs w:val="32"/>
        </w:rPr>
        <w:t>。推动可再生能源制氢、甲醇重整制氢等技术发展</w:t>
      </w:r>
      <w:r>
        <w:rPr>
          <w:rFonts w:hint="eastAsia"/>
          <w:szCs w:val="32"/>
        </w:rPr>
        <w:t>和</w:t>
      </w:r>
      <w:r>
        <w:rPr>
          <w:szCs w:val="32"/>
        </w:rPr>
        <w:t>应用，推动重大氢源、制氢项目落地，</w:t>
      </w:r>
      <w:r>
        <w:rPr>
          <w:bCs/>
          <w:szCs w:val="32"/>
        </w:rPr>
        <w:t>积极发展制氢电解槽等制氢设备产业。</w:t>
      </w:r>
      <w:r>
        <w:rPr>
          <w:szCs w:val="32"/>
        </w:rPr>
        <w:t>在核安全</w:t>
      </w:r>
      <w:r>
        <w:rPr>
          <w:rFonts w:hint="eastAsia"/>
          <w:szCs w:val="32"/>
        </w:rPr>
        <w:t>风险</w:t>
      </w:r>
      <w:r>
        <w:rPr>
          <w:szCs w:val="32"/>
        </w:rPr>
        <w:t>评估的基础上，探索</w:t>
      </w:r>
      <w:r>
        <w:rPr>
          <w:rFonts w:hint="eastAsia"/>
          <w:szCs w:val="32"/>
        </w:rPr>
        <w:t>高温气冷堆</w:t>
      </w:r>
      <w:r>
        <w:rPr>
          <w:szCs w:val="32"/>
        </w:rPr>
        <w:t>制氢技术研发</w:t>
      </w:r>
      <w:r>
        <w:rPr>
          <w:rFonts w:hint="eastAsia"/>
          <w:szCs w:val="32"/>
        </w:rPr>
        <w:t>应用</w:t>
      </w:r>
      <w:r>
        <w:rPr>
          <w:szCs w:val="32"/>
        </w:rPr>
        <w:t>。</w:t>
      </w:r>
      <w:r>
        <w:rPr>
          <w:rFonts w:hint="eastAsia"/>
          <w:szCs w:val="32"/>
        </w:rPr>
        <w:t>推动</w:t>
      </w:r>
      <w:r>
        <w:rPr>
          <w:szCs w:val="32"/>
        </w:rPr>
        <w:t>深远海风电现场制氢及海上加氢技术</w:t>
      </w:r>
      <w:r>
        <w:rPr>
          <w:rFonts w:hint="eastAsia"/>
          <w:szCs w:val="32"/>
        </w:rPr>
        <w:t>发展</w:t>
      </w:r>
      <w:r>
        <w:rPr>
          <w:szCs w:val="32"/>
        </w:rPr>
        <w:t>。</w:t>
      </w:r>
    </w:p>
    <w:p>
      <w:pPr>
        <w:spacing w:line="579" w:lineRule="exact"/>
        <w:ind w:firstLine="630" w:firstLineChars="200"/>
        <w:outlineLvl w:val="1"/>
        <w:rPr>
          <w:rFonts w:eastAsia="楷体_GB2312"/>
          <w:szCs w:val="32"/>
        </w:rPr>
      </w:pPr>
      <w:bookmarkStart w:id="67" w:name="_Toc10225"/>
      <w:bookmarkStart w:id="68" w:name="_Toc13229"/>
      <w:bookmarkStart w:id="69" w:name="_Toc32152"/>
      <w:bookmarkStart w:id="70" w:name="_Toc27578"/>
      <w:bookmarkStart w:id="71" w:name="_Toc6101"/>
      <w:bookmarkStart w:id="72" w:name="_Toc13720"/>
      <w:r>
        <w:rPr>
          <w:rFonts w:ascii="Times New Roman" w:hAnsi="Times New Roman" w:eastAsia="楷体_GB2312" w:cs="Times New Roman"/>
          <w:b/>
          <w:bCs/>
          <w:szCs w:val="32"/>
        </w:rPr>
        <w:t>（二）推进加氢站建设</w:t>
      </w:r>
      <w:bookmarkEnd w:id="67"/>
      <w:bookmarkEnd w:id="68"/>
      <w:bookmarkEnd w:id="69"/>
      <w:bookmarkEnd w:id="70"/>
      <w:bookmarkEnd w:id="71"/>
      <w:bookmarkEnd w:id="72"/>
    </w:p>
    <w:p>
      <w:pPr>
        <w:pStyle w:val="4"/>
        <w:spacing w:after="0" w:line="579" w:lineRule="exact"/>
        <w:ind w:firstLine="630" w:firstLineChars="200"/>
        <w:rPr>
          <w:szCs w:val="32"/>
        </w:rPr>
      </w:pPr>
      <w:r>
        <w:rPr>
          <w:rFonts w:hint="default"/>
          <w:szCs w:val="32"/>
        </w:rPr>
        <w:t xml:space="preserve">1. </w:t>
      </w:r>
      <w:r>
        <w:rPr>
          <w:szCs w:val="32"/>
        </w:rPr>
        <w:t>加快</w:t>
      </w:r>
      <w:r>
        <w:rPr>
          <w:rFonts w:hint="default"/>
          <w:szCs w:val="32"/>
        </w:rPr>
        <w:t>现有场址</w:t>
      </w:r>
      <w:r>
        <w:rPr>
          <w:szCs w:val="32"/>
        </w:rPr>
        <w:t>改造提升。在满足安全</w:t>
      </w:r>
      <w:r>
        <w:rPr>
          <w:rFonts w:hint="default"/>
          <w:szCs w:val="32"/>
        </w:rPr>
        <w:t>距离</w:t>
      </w:r>
      <w:r>
        <w:rPr>
          <w:szCs w:val="32"/>
        </w:rPr>
        <w:t>要求基础上，发挥现有场址布点均匀优势</w:t>
      </w:r>
      <w:r>
        <w:rPr>
          <w:rFonts w:hint="default"/>
          <w:szCs w:val="32"/>
        </w:rPr>
        <w:t>，</w:t>
      </w:r>
      <w:r>
        <w:rPr>
          <w:szCs w:val="32"/>
        </w:rPr>
        <w:t>鼓励充分利用现有加油</w:t>
      </w:r>
      <w:r>
        <w:rPr>
          <w:rFonts w:hint="default"/>
          <w:szCs w:val="32"/>
        </w:rPr>
        <w:t>（</w:t>
      </w:r>
      <w:r>
        <w:rPr>
          <w:szCs w:val="32"/>
        </w:rPr>
        <w:t>气</w:t>
      </w:r>
      <w:r>
        <w:rPr>
          <w:rFonts w:hint="default"/>
          <w:szCs w:val="32"/>
        </w:rPr>
        <w:t>）</w:t>
      </w:r>
      <w:r>
        <w:rPr>
          <w:szCs w:val="32"/>
        </w:rPr>
        <w:t>、充电以及综合供能服务站等场址实施加氢站改扩建工程</w:t>
      </w:r>
      <w:r>
        <w:rPr>
          <w:rFonts w:hint="default"/>
          <w:szCs w:val="32"/>
        </w:rPr>
        <w:t>，推动</w:t>
      </w:r>
      <w:r>
        <w:rPr>
          <w:szCs w:val="32"/>
        </w:rPr>
        <w:t>油氢、气氢、电氢</w:t>
      </w:r>
      <w:r>
        <w:rPr>
          <w:rFonts w:hint="default"/>
          <w:szCs w:val="32"/>
        </w:rPr>
        <w:t>、油气电氢</w:t>
      </w:r>
      <w:r>
        <w:rPr>
          <w:szCs w:val="32"/>
        </w:rPr>
        <w:t>等合建共建发展模式。鼓励符合</w:t>
      </w:r>
      <w:r>
        <w:rPr>
          <w:rFonts w:hint="default"/>
          <w:szCs w:val="32"/>
        </w:rPr>
        <w:t>条件的</w:t>
      </w:r>
      <w:r>
        <w:rPr>
          <w:szCs w:val="32"/>
        </w:rPr>
        <w:t>自有厂区闲置用地开展加氢站建设。</w:t>
      </w:r>
    </w:p>
    <w:p>
      <w:pPr>
        <w:pStyle w:val="4"/>
        <w:spacing w:line="579" w:lineRule="exact"/>
        <w:ind w:firstLine="630" w:firstLineChars="200"/>
      </w:pPr>
      <w:r>
        <w:rPr>
          <w:rFonts w:hint="eastAsia"/>
          <w:szCs w:val="32"/>
        </w:rPr>
        <w:t>2. 推动加氢模式创新。</w:t>
      </w:r>
      <w:r>
        <w:rPr>
          <w:szCs w:val="32"/>
        </w:rPr>
        <w:t>依托氢能公交示范线、固定旅游专线，就近布局加氢站，推进城市环卫、物流</w:t>
      </w:r>
      <w:r>
        <w:rPr>
          <w:rFonts w:hint="eastAsia"/>
          <w:szCs w:val="32"/>
        </w:rPr>
        <w:t>运输</w:t>
      </w:r>
      <w:r>
        <w:rPr>
          <w:szCs w:val="32"/>
        </w:rPr>
        <w:t>、港口</w:t>
      </w:r>
      <w:r>
        <w:rPr>
          <w:rFonts w:hint="eastAsia"/>
          <w:szCs w:val="32"/>
        </w:rPr>
        <w:t>、</w:t>
      </w:r>
      <w:r>
        <w:rPr>
          <w:szCs w:val="32"/>
        </w:rPr>
        <w:t>园区等场景氢能示范应用。</w:t>
      </w:r>
      <w:r>
        <w:rPr>
          <w:rFonts w:hint="eastAsia"/>
          <w:spacing w:val="8"/>
          <w:szCs w:val="32"/>
          <w:shd w:val="clear" w:color="auto" w:fill="FFFFFF"/>
        </w:rPr>
        <w:t>加强加氢设施节能管理，形成一批高效安全、规模化、低成本的氢气“制-储-运-加”技术示范。</w:t>
      </w:r>
      <w:r>
        <w:rPr>
          <w:spacing w:val="8"/>
          <w:szCs w:val="32"/>
          <w:shd w:val="clear" w:color="auto" w:fill="FFFFFF"/>
        </w:rPr>
        <w:t>发展</w:t>
      </w:r>
      <w:r>
        <w:rPr>
          <w:rFonts w:ascii="仿宋_GB2312" w:hAnsi="仿宋_GB2312" w:cs="仿宋_GB2312"/>
          <w:szCs w:val="32"/>
        </w:rPr>
        <w:t>“</w:t>
      </w:r>
      <w:r>
        <w:rPr>
          <w:rFonts w:hint="eastAsia" w:ascii="仿宋_GB2312" w:hAnsi="仿宋_GB2312" w:cs="仿宋_GB2312"/>
          <w:szCs w:val="32"/>
        </w:rPr>
        <w:t>风光氢储加”一体化等加氢新模式，</w:t>
      </w:r>
      <w:r>
        <w:rPr>
          <w:rFonts w:hint="eastAsia"/>
          <w:szCs w:val="32"/>
        </w:rPr>
        <w:t>探索</w:t>
      </w:r>
      <w:r>
        <w:rPr>
          <w:bCs/>
          <w:szCs w:val="32"/>
        </w:rPr>
        <w:t>在LNG接收中心就近布局天然气重整制氢加氢示范站</w:t>
      </w:r>
      <w:r>
        <w:rPr>
          <w:rFonts w:hint="eastAsia"/>
          <w:bCs/>
          <w:szCs w:val="32"/>
        </w:rPr>
        <w:t>，探索在可再生能源资源丰富地区布局</w:t>
      </w:r>
      <w:r>
        <w:rPr>
          <w:rFonts w:hint="eastAsia"/>
          <w:spacing w:val="8"/>
          <w:szCs w:val="32"/>
          <w:shd w:val="clear" w:color="auto" w:fill="FFFFFF"/>
        </w:rPr>
        <w:t>“绿氢”</w:t>
      </w:r>
      <w:r>
        <w:rPr>
          <w:spacing w:val="8"/>
          <w:szCs w:val="32"/>
          <w:shd w:val="clear" w:color="auto" w:fill="FFFFFF"/>
        </w:rPr>
        <w:t>示范</w:t>
      </w:r>
      <w:r>
        <w:rPr>
          <w:rFonts w:hint="eastAsia"/>
          <w:spacing w:val="8"/>
          <w:szCs w:val="32"/>
          <w:shd w:val="clear" w:color="auto" w:fill="FFFFFF"/>
        </w:rPr>
        <w:t>站</w:t>
      </w:r>
      <w:r>
        <w:rPr>
          <w:rFonts w:hint="eastAsia"/>
          <w:spacing w:val="8"/>
          <w:szCs w:val="32"/>
          <w:shd w:val="clear" w:color="auto" w:fill="FFFFFF"/>
          <w:lang w:eastAsia="zh-CN"/>
        </w:rPr>
        <w:t>，</w:t>
      </w:r>
      <w:r>
        <w:rPr>
          <w:rFonts w:hint="eastAsia"/>
          <w:spacing w:val="8"/>
          <w:szCs w:val="32"/>
          <w:shd w:val="clear" w:color="auto" w:fill="FFFFFF"/>
        </w:rPr>
        <w:t>探索加氢站规范建设运营试点城市建设</w:t>
      </w:r>
      <w:r>
        <w:rPr>
          <w:spacing w:val="8"/>
          <w:szCs w:val="32"/>
          <w:shd w:val="clear" w:color="auto" w:fill="FFFFFF"/>
        </w:rPr>
        <w:t>。</w:t>
      </w:r>
    </w:p>
    <w:p>
      <w:pPr>
        <w:spacing w:line="579" w:lineRule="exact"/>
        <w:ind w:firstLine="630" w:firstLineChars="200"/>
        <w:outlineLvl w:val="1"/>
        <w:rPr>
          <w:rFonts w:eastAsia="楷体_GB2312"/>
          <w:szCs w:val="32"/>
        </w:rPr>
      </w:pPr>
      <w:bookmarkStart w:id="73" w:name="_Toc6336"/>
      <w:bookmarkStart w:id="74" w:name="_Toc11483"/>
      <w:bookmarkStart w:id="75" w:name="_Toc24202"/>
      <w:bookmarkStart w:id="76" w:name="_Toc17798"/>
      <w:bookmarkStart w:id="77" w:name="_Toc26597"/>
      <w:bookmarkStart w:id="78" w:name="_Toc201"/>
      <w:r>
        <w:rPr>
          <w:rFonts w:ascii="Times New Roman" w:hAnsi="Times New Roman" w:eastAsia="楷体_GB2312" w:cs="Times New Roman"/>
          <w:b/>
          <w:bCs/>
          <w:szCs w:val="32"/>
        </w:rPr>
        <w:t>（三）强化储运基础设施建设</w:t>
      </w:r>
      <w:bookmarkEnd w:id="73"/>
      <w:bookmarkEnd w:id="74"/>
      <w:bookmarkEnd w:id="75"/>
      <w:bookmarkEnd w:id="76"/>
      <w:bookmarkEnd w:id="77"/>
      <w:bookmarkEnd w:id="78"/>
    </w:p>
    <w:p>
      <w:pPr>
        <w:spacing w:line="579" w:lineRule="exact"/>
        <w:ind w:firstLine="630" w:firstLineChars="200"/>
        <w:rPr>
          <w:szCs w:val="32"/>
        </w:rPr>
      </w:pPr>
      <w:r>
        <w:rPr>
          <w:rFonts w:hint="eastAsia"/>
          <w:szCs w:val="32"/>
        </w:rPr>
        <w:t xml:space="preserve">1. </w:t>
      </w:r>
      <w:r>
        <w:rPr>
          <w:szCs w:val="32"/>
        </w:rPr>
        <w:t>稳步</w:t>
      </w:r>
      <w:r>
        <w:rPr>
          <w:rFonts w:hint="eastAsia"/>
          <w:szCs w:val="32"/>
        </w:rPr>
        <w:t>提升</w:t>
      </w:r>
      <w:r>
        <w:rPr>
          <w:szCs w:val="32"/>
        </w:rPr>
        <w:t>储氢能力。重点发展车载高压储氢和加氢站储氢装备</w:t>
      </w:r>
      <w:r>
        <w:rPr>
          <w:rFonts w:hint="eastAsia"/>
          <w:szCs w:val="32"/>
        </w:rPr>
        <w:t>和</w:t>
      </w:r>
      <w:r>
        <w:rPr>
          <w:szCs w:val="32"/>
        </w:rPr>
        <w:t>技术。推进大容量高安全液氢存储罐及相关设施建设，鼓励低温液态、有机液态、合金固态储运示范，逐步提升氢气储存运输能力。</w:t>
      </w:r>
    </w:p>
    <w:p>
      <w:pPr>
        <w:spacing w:line="579" w:lineRule="exact"/>
        <w:ind w:firstLine="630" w:firstLineChars="200"/>
        <w:rPr>
          <w:szCs w:val="32"/>
        </w:rPr>
      </w:pPr>
      <w:r>
        <w:rPr>
          <w:rFonts w:hint="eastAsia"/>
          <w:szCs w:val="32"/>
        </w:rPr>
        <w:t xml:space="preserve">2. </w:t>
      </w:r>
      <w:r>
        <w:rPr>
          <w:szCs w:val="32"/>
        </w:rPr>
        <w:t>完善氢能输送体系。</w:t>
      </w:r>
      <w:r>
        <w:rPr>
          <w:szCs w:val="32"/>
          <w:lang w:bidi="ar"/>
        </w:rPr>
        <w:t>积极开展</w:t>
      </w:r>
      <w:r>
        <w:rPr>
          <w:rFonts w:hint="eastAsia"/>
          <w:szCs w:val="32"/>
          <w:lang w:bidi="ar"/>
        </w:rPr>
        <w:t>输氢</w:t>
      </w:r>
      <w:r>
        <w:rPr>
          <w:szCs w:val="32"/>
          <w:lang w:bidi="ar"/>
        </w:rPr>
        <w:t>管道建设，推动</w:t>
      </w:r>
      <w:r>
        <w:rPr>
          <w:rFonts w:hint="eastAsia"/>
          <w:szCs w:val="32"/>
          <w:lang w:bidi="ar"/>
        </w:rPr>
        <w:t>宁波舟山港区、</w:t>
      </w:r>
      <w:r>
        <w:rPr>
          <w:szCs w:val="32"/>
          <w:lang w:bidi="ar"/>
        </w:rPr>
        <w:t>嘉兴港区、上虞经济技术开发区等地氢气输运管道建设试点。提升高压氢气长管拖车运输能力，</w:t>
      </w:r>
      <w:r>
        <w:rPr>
          <w:rFonts w:hint="eastAsia"/>
          <w:szCs w:val="32"/>
          <w:lang w:bidi="ar"/>
        </w:rPr>
        <w:t>探索</w:t>
      </w:r>
      <w:r>
        <w:rPr>
          <w:szCs w:val="32"/>
          <w:lang w:bidi="ar"/>
        </w:rPr>
        <w:t>50MPa高压运氢</w:t>
      </w:r>
      <w:r>
        <w:rPr>
          <w:rFonts w:hint="eastAsia"/>
          <w:szCs w:val="32"/>
          <w:lang w:bidi="ar"/>
        </w:rPr>
        <w:t>方式。</w:t>
      </w:r>
      <w:r>
        <w:rPr>
          <w:szCs w:val="32"/>
          <w:lang w:bidi="ar"/>
        </w:rPr>
        <w:t>重点引进70MPa、90MPa储氢装备以及相关先进材料生产研发企业，培育大型氢物流运输服务企业，探索发展内陆陆运、河运氢气输运服务</w:t>
      </w:r>
      <w:r>
        <w:rPr>
          <w:rFonts w:hint="eastAsia"/>
          <w:szCs w:val="32"/>
          <w:lang w:bidi="ar"/>
        </w:rPr>
        <w:t>，</w:t>
      </w:r>
      <w:r>
        <w:rPr>
          <w:szCs w:val="32"/>
          <w:lang w:bidi="ar"/>
        </w:rPr>
        <w:t>探索跨地区大规模氢运输，提升加氢站点服务辐射能力和区域加注能力。</w:t>
      </w:r>
    </w:p>
    <w:p>
      <w:pPr>
        <w:spacing w:line="579" w:lineRule="exact"/>
        <w:ind w:firstLine="630" w:firstLineChars="200"/>
        <w:outlineLvl w:val="1"/>
        <w:rPr>
          <w:rFonts w:eastAsia="楷体_GB2312"/>
          <w:szCs w:val="32"/>
        </w:rPr>
      </w:pPr>
      <w:bookmarkStart w:id="79" w:name="_Toc15754"/>
      <w:bookmarkStart w:id="80" w:name="_Toc5008"/>
      <w:bookmarkStart w:id="81" w:name="_Toc8791"/>
      <w:bookmarkStart w:id="82" w:name="_Toc19883"/>
      <w:bookmarkStart w:id="83" w:name="_Toc26162"/>
      <w:bookmarkStart w:id="84" w:name="_Toc15024"/>
      <w:r>
        <w:rPr>
          <w:rFonts w:ascii="Times New Roman" w:hAnsi="Times New Roman" w:eastAsia="楷体_GB2312" w:cs="Times New Roman"/>
          <w:b/>
          <w:bCs/>
          <w:szCs w:val="32"/>
        </w:rPr>
        <w:t>（四）构建运营支撑体系</w:t>
      </w:r>
      <w:bookmarkEnd w:id="79"/>
      <w:bookmarkEnd w:id="80"/>
      <w:bookmarkEnd w:id="81"/>
      <w:bookmarkEnd w:id="82"/>
      <w:bookmarkEnd w:id="83"/>
      <w:bookmarkEnd w:id="84"/>
    </w:p>
    <w:p>
      <w:pPr>
        <w:spacing w:line="579" w:lineRule="exact"/>
        <w:ind w:firstLine="630" w:firstLineChars="200"/>
        <w:rPr>
          <w:szCs w:val="32"/>
        </w:rPr>
      </w:pPr>
      <w:r>
        <w:rPr>
          <w:rFonts w:hint="eastAsia"/>
          <w:szCs w:val="32"/>
        </w:rPr>
        <w:t xml:space="preserve">1. </w:t>
      </w:r>
      <w:r>
        <w:rPr>
          <w:szCs w:val="32"/>
        </w:rPr>
        <w:t>创新加氢服务模式。创新经营模式，鼓励现有加油、加气、充电以及综合供能服务站投资运营主体</w:t>
      </w:r>
      <w:r>
        <w:rPr>
          <w:rFonts w:hint="eastAsia"/>
          <w:szCs w:val="32"/>
        </w:rPr>
        <w:t>完善</w:t>
      </w:r>
      <w:r>
        <w:rPr>
          <w:szCs w:val="32"/>
        </w:rPr>
        <w:t>加氢业务。</w:t>
      </w:r>
      <w:r>
        <w:rPr>
          <w:bCs/>
          <w:szCs w:val="32"/>
        </w:rPr>
        <w:t>鼓励专业化加氢服务商发展，提升运行维护和服务专业化水平</w:t>
      </w:r>
      <w:r>
        <w:rPr>
          <w:szCs w:val="32"/>
        </w:rPr>
        <w:t>。</w:t>
      </w:r>
      <w:r>
        <w:rPr>
          <w:rFonts w:hint="eastAsia"/>
          <w:szCs w:val="32"/>
        </w:rPr>
        <w:t>支持</w:t>
      </w:r>
      <w:r>
        <w:rPr>
          <w:rFonts w:hint="eastAsia" w:ascii="仿宋_GB2312" w:hAnsi="仿宋_GB2312" w:cs="仿宋_GB2312"/>
          <w:bCs/>
          <w:szCs w:val="32"/>
        </w:rPr>
        <w:t>“数字氢能”相关</w:t>
      </w:r>
      <w:r>
        <w:rPr>
          <w:rFonts w:hint="eastAsia"/>
          <w:szCs w:val="32"/>
        </w:rPr>
        <w:t>商业模式与服务创新</w:t>
      </w:r>
      <w:r>
        <w:rPr>
          <w:bCs/>
          <w:szCs w:val="32"/>
        </w:rPr>
        <w:t>，</w:t>
      </w:r>
      <w:r>
        <w:rPr>
          <w:rFonts w:hint="eastAsia"/>
          <w:szCs w:val="32"/>
        </w:rPr>
        <w:t>推广</w:t>
      </w:r>
      <w:r>
        <w:rPr>
          <w:rFonts w:hint="eastAsia"/>
          <w:bCs/>
          <w:szCs w:val="32"/>
        </w:rPr>
        <w:t>共享、</w:t>
      </w:r>
      <w:r>
        <w:rPr>
          <w:bCs/>
          <w:szCs w:val="32"/>
        </w:rPr>
        <w:t>租赁等经营模式</w:t>
      </w:r>
      <w:r>
        <w:rPr>
          <w:rFonts w:hint="eastAsia"/>
          <w:bCs/>
          <w:szCs w:val="32"/>
          <w:lang w:eastAsia="zh-CN"/>
        </w:rPr>
        <w:t>，</w:t>
      </w:r>
      <w:r>
        <w:rPr>
          <w:rFonts w:hint="eastAsia" w:ascii="仿宋_GB2312" w:hAnsi="仿宋_GB2312" w:cs="仿宋_GB2312"/>
          <w:bCs/>
          <w:szCs w:val="32"/>
        </w:rPr>
        <w:t>拓展</w:t>
      </w:r>
      <w:r>
        <w:rPr>
          <w:bCs/>
          <w:szCs w:val="32"/>
        </w:rPr>
        <w:t>智能加氢、电子商务、应急救援等增值服务。</w:t>
      </w:r>
    </w:p>
    <w:p>
      <w:pPr>
        <w:spacing w:line="579" w:lineRule="exact"/>
        <w:ind w:firstLine="630" w:firstLineChars="200"/>
        <w:rPr>
          <w:bCs/>
          <w:szCs w:val="32"/>
        </w:rPr>
      </w:pPr>
      <w:r>
        <w:rPr>
          <w:rFonts w:hint="eastAsia"/>
          <w:bCs/>
          <w:szCs w:val="32"/>
        </w:rPr>
        <w:t xml:space="preserve">2. </w:t>
      </w:r>
      <w:r>
        <w:rPr>
          <w:bCs/>
          <w:szCs w:val="32"/>
        </w:rPr>
        <w:t>建设加氢数智管理平台。加快建设全省统一的加氢</w:t>
      </w:r>
      <w:r>
        <w:rPr>
          <w:szCs w:val="32"/>
        </w:rPr>
        <w:t>基础设施智能</w:t>
      </w:r>
      <w:r>
        <w:rPr>
          <w:rFonts w:hint="eastAsia"/>
          <w:szCs w:val="32"/>
        </w:rPr>
        <w:t>运营管理</w:t>
      </w:r>
      <w:r>
        <w:rPr>
          <w:szCs w:val="32"/>
        </w:rPr>
        <w:t>平台</w:t>
      </w:r>
      <w:r>
        <w:rPr>
          <w:rFonts w:hint="eastAsia"/>
          <w:szCs w:val="32"/>
        </w:rPr>
        <w:t>，</w:t>
      </w:r>
      <w:r>
        <w:rPr>
          <w:bCs/>
          <w:szCs w:val="32"/>
        </w:rPr>
        <w:t>优化整合地方应用</w:t>
      </w:r>
      <w:r>
        <w:rPr>
          <w:rFonts w:hint="eastAsia"/>
          <w:bCs/>
          <w:szCs w:val="32"/>
        </w:rPr>
        <w:t>平台，完善</w:t>
      </w:r>
      <w:r>
        <w:rPr>
          <w:bCs/>
          <w:szCs w:val="32"/>
        </w:rPr>
        <w:t>氢气制取、储存、运输、加注、</w:t>
      </w:r>
      <w:r>
        <w:rPr>
          <w:rFonts w:hint="eastAsia"/>
          <w:bCs/>
          <w:szCs w:val="32"/>
        </w:rPr>
        <w:t>应用</w:t>
      </w:r>
      <w:r>
        <w:rPr>
          <w:bCs/>
          <w:szCs w:val="32"/>
        </w:rPr>
        <w:t>等全产业链大数据。整合</w:t>
      </w:r>
      <w:r>
        <w:rPr>
          <w:rFonts w:hint="eastAsia"/>
          <w:bCs/>
          <w:szCs w:val="32"/>
        </w:rPr>
        <w:t>加氢</w:t>
      </w:r>
      <w:r>
        <w:rPr>
          <w:bCs/>
          <w:szCs w:val="32"/>
        </w:rPr>
        <w:t>站点及客户需求，加快运营商数据集成接入</w:t>
      </w:r>
      <w:r>
        <w:rPr>
          <w:rFonts w:hint="eastAsia"/>
          <w:bCs/>
          <w:szCs w:val="32"/>
        </w:rPr>
        <w:t>，</w:t>
      </w:r>
      <w:r>
        <w:rPr>
          <w:bCs/>
          <w:szCs w:val="32"/>
        </w:rPr>
        <w:t>做好</w:t>
      </w:r>
      <w:r>
        <w:rPr>
          <w:rFonts w:hint="eastAsia"/>
          <w:bCs/>
          <w:szCs w:val="32"/>
        </w:rPr>
        <w:t>氢源保障</w:t>
      </w:r>
      <w:r>
        <w:rPr>
          <w:rFonts w:hint="eastAsia"/>
          <w:bCs/>
          <w:szCs w:val="32"/>
          <w:lang w:eastAsia="zh-CN"/>
        </w:rPr>
        <w:t>、</w:t>
      </w:r>
      <w:r>
        <w:rPr>
          <w:bCs/>
          <w:szCs w:val="32"/>
        </w:rPr>
        <w:t>物流调度</w:t>
      </w:r>
      <w:r>
        <w:rPr>
          <w:rFonts w:hint="eastAsia"/>
          <w:bCs/>
          <w:szCs w:val="32"/>
          <w:lang w:val="en-US" w:eastAsia="zh-CN"/>
        </w:rPr>
        <w:t>和</w:t>
      </w:r>
      <w:r>
        <w:rPr>
          <w:bCs/>
          <w:szCs w:val="32"/>
        </w:rPr>
        <w:t>全过程氢气质量跟踪管理。</w:t>
      </w:r>
      <w:r>
        <w:rPr>
          <w:szCs w:val="32"/>
        </w:rPr>
        <w:t>推动建立省</w:t>
      </w:r>
      <w:r>
        <w:rPr>
          <w:rFonts w:hint="eastAsia"/>
          <w:szCs w:val="32"/>
        </w:rPr>
        <w:t>、</w:t>
      </w:r>
      <w:r>
        <w:rPr>
          <w:szCs w:val="32"/>
        </w:rPr>
        <w:t>市</w:t>
      </w:r>
      <w:r>
        <w:rPr>
          <w:rFonts w:hint="eastAsia"/>
          <w:szCs w:val="32"/>
        </w:rPr>
        <w:t>、</w:t>
      </w:r>
      <w:r>
        <w:rPr>
          <w:szCs w:val="32"/>
        </w:rPr>
        <w:t>县三级加氢站在线监测体系，推进跨平台安全预警信息交换共享。</w:t>
      </w:r>
    </w:p>
    <w:p>
      <w:pPr>
        <w:spacing w:line="579" w:lineRule="exact"/>
        <w:ind w:firstLine="630" w:firstLineChars="200"/>
        <w:outlineLvl w:val="1"/>
        <w:rPr>
          <w:rFonts w:ascii="Times New Roman" w:hAnsi="Times New Roman" w:eastAsia="楷体_GB2312" w:cs="Times New Roman"/>
          <w:b/>
          <w:bCs/>
          <w:szCs w:val="32"/>
        </w:rPr>
      </w:pPr>
      <w:bookmarkStart w:id="85" w:name="_Toc19179"/>
      <w:bookmarkStart w:id="86" w:name="_Toc5908"/>
      <w:r>
        <w:rPr>
          <w:rFonts w:ascii="Times New Roman" w:hAnsi="Times New Roman" w:eastAsia="楷体_GB2312" w:cs="Times New Roman"/>
          <w:b/>
          <w:bCs/>
          <w:szCs w:val="32"/>
        </w:rPr>
        <w:t>（五）加强技术攻关</w:t>
      </w:r>
      <w:bookmarkEnd w:id="85"/>
      <w:bookmarkEnd w:id="86"/>
    </w:p>
    <w:p>
      <w:pPr>
        <w:spacing w:line="579" w:lineRule="exact"/>
        <w:ind w:firstLine="630" w:firstLineChars="200"/>
        <w:rPr>
          <w:szCs w:val="32"/>
        </w:rPr>
      </w:pPr>
      <w:r>
        <w:rPr>
          <w:rFonts w:hint="eastAsia"/>
          <w:szCs w:val="32"/>
        </w:rPr>
        <w:t>1. 推进关键技术设备研发。</w:t>
      </w:r>
      <w:r>
        <w:rPr>
          <w:rFonts w:hint="eastAsia" w:ascii="仿宋_GB2312" w:hAnsi="仿宋_GB2312" w:cs="仿宋_GB2312"/>
          <w:bCs/>
          <w:szCs w:val="32"/>
        </w:rPr>
        <w:t>加强“卡脖子”技术攻关，</w:t>
      </w:r>
      <w:r>
        <w:rPr>
          <w:szCs w:val="32"/>
        </w:rPr>
        <w:t>推进氢气压缩机、氢气加注机等核心装备研发与产业化</w:t>
      </w:r>
      <w:r>
        <w:rPr>
          <w:rFonts w:hint="eastAsia"/>
          <w:szCs w:val="32"/>
        </w:rPr>
        <w:t>。重点推进70MPa压缩机、液氢储罐技术攻关，开展高压气态储氢瓶碳纤维及复合材料研发，推进固体聚合物电解质电解水制氢、高温氧化物电解水制氢、超低温液态储氢、有机液态储氢、质子交换膜燃料电池等技术突破。</w:t>
      </w:r>
    </w:p>
    <w:p>
      <w:pPr>
        <w:spacing w:line="579" w:lineRule="exact"/>
        <w:ind w:firstLine="630" w:firstLineChars="200"/>
        <w:rPr>
          <w:szCs w:val="32"/>
        </w:rPr>
      </w:pPr>
      <w:r>
        <w:rPr>
          <w:rFonts w:hint="eastAsia"/>
          <w:szCs w:val="32"/>
        </w:rPr>
        <w:t>2. 打造研发及成果转化应用平台。充分依托浙江大学、西湖大学等院校科技研发优势，发挥白马湖实验室等省级实验室创新引领作用，聚焦可再生能源制氢、氢液化、固态储氢、加氢站核心设备、氢燃料电池等关键技术领域，加快技术落地和成果转化，打通氢能产学研创新链、产业链、价值链，形成良性创新生态圈。</w:t>
      </w:r>
    </w:p>
    <w:p>
      <w:pPr>
        <w:spacing w:line="579" w:lineRule="exact"/>
        <w:ind w:firstLine="630" w:firstLineChars="200"/>
        <w:outlineLvl w:val="0"/>
        <w:rPr>
          <w:rFonts w:eastAsia="黑体"/>
          <w:bCs/>
          <w:szCs w:val="32"/>
        </w:rPr>
      </w:pPr>
      <w:bookmarkStart w:id="87" w:name="_Toc29433"/>
      <w:bookmarkStart w:id="88" w:name="_Toc19312"/>
      <w:bookmarkStart w:id="89" w:name="_Toc20575"/>
      <w:bookmarkStart w:id="90" w:name="_Toc20806"/>
      <w:bookmarkStart w:id="91" w:name="_Toc25834"/>
      <w:bookmarkStart w:id="92" w:name="_Toc28072"/>
      <w:r>
        <w:rPr>
          <w:rFonts w:eastAsia="黑体"/>
          <w:bCs/>
          <w:szCs w:val="32"/>
        </w:rPr>
        <w:t>五</w:t>
      </w:r>
      <w:r>
        <w:rPr>
          <w:rFonts w:hint="eastAsia" w:eastAsia="黑体"/>
          <w:bCs/>
          <w:szCs w:val="32"/>
        </w:rPr>
        <w:t>、</w:t>
      </w:r>
      <w:r>
        <w:rPr>
          <w:rFonts w:eastAsia="黑体"/>
          <w:bCs/>
          <w:szCs w:val="32"/>
        </w:rPr>
        <w:t>安全与环境保护</w:t>
      </w:r>
      <w:bookmarkEnd w:id="87"/>
      <w:bookmarkEnd w:id="88"/>
      <w:bookmarkEnd w:id="89"/>
      <w:bookmarkEnd w:id="90"/>
      <w:bookmarkEnd w:id="91"/>
      <w:bookmarkEnd w:id="92"/>
    </w:p>
    <w:p>
      <w:pPr>
        <w:spacing w:line="240" w:lineRule="auto"/>
        <w:ind w:firstLine="630" w:firstLineChars="200"/>
        <w:outlineLvl w:val="9"/>
        <w:rPr>
          <w:b w:val="0"/>
          <w:bCs w:val="0"/>
          <w:kern w:val="2"/>
          <w:sz w:val="32"/>
          <w:szCs w:val="32"/>
        </w:rPr>
      </w:pPr>
      <w:bookmarkStart w:id="93" w:name="_Toc9212"/>
      <w:bookmarkStart w:id="94" w:name="_Toc28449"/>
      <w:bookmarkStart w:id="95" w:name="_Toc13235"/>
      <w:bookmarkStart w:id="96" w:name="_Toc9640"/>
      <w:bookmarkStart w:id="97" w:name="_Toc13017"/>
      <w:bookmarkStart w:id="98" w:name="_Toc23316"/>
      <w:r>
        <w:rPr>
          <w:rFonts w:ascii="Times New Roman" w:hAnsi="Times New Roman" w:eastAsia="楷体_GB2312" w:cs="Times New Roman"/>
          <w:b/>
          <w:bCs/>
          <w:szCs w:val="32"/>
        </w:rPr>
        <w:t>（一）加快建立安全管理机制</w:t>
      </w:r>
      <w:bookmarkEnd w:id="93"/>
      <w:bookmarkEnd w:id="94"/>
      <w:bookmarkEnd w:id="95"/>
      <w:bookmarkEnd w:id="96"/>
      <w:bookmarkEnd w:id="97"/>
      <w:bookmarkEnd w:id="98"/>
      <w:r>
        <w:rPr>
          <w:rFonts w:hint="default" w:ascii="Times New Roman" w:hAnsi="Times New Roman" w:eastAsia="楷体_GB2312" w:cs="Times New Roman"/>
          <w:b/>
          <w:bCs/>
          <w:szCs w:val="32"/>
        </w:rPr>
        <w:t>。</w:t>
      </w:r>
      <w:r>
        <w:rPr>
          <w:szCs w:val="32"/>
        </w:rPr>
        <w:t>建立健全加氢站建设运营安全标准规范</w:t>
      </w:r>
      <w:r>
        <w:rPr>
          <w:rFonts w:hint="eastAsia"/>
          <w:szCs w:val="32"/>
        </w:rPr>
        <w:t>，</w:t>
      </w:r>
      <w:r>
        <w:rPr>
          <w:szCs w:val="32"/>
        </w:rPr>
        <w:t>建立统一有效的氢气压缩、储存、</w:t>
      </w:r>
      <w:r>
        <w:rPr>
          <w:rFonts w:hint="eastAsia"/>
          <w:szCs w:val="32"/>
        </w:rPr>
        <w:t>运输、</w:t>
      </w:r>
      <w:r>
        <w:rPr>
          <w:szCs w:val="32"/>
        </w:rPr>
        <w:t>加注</w:t>
      </w:r>
      <w:r>
        <w:rPr>
          <w:rFonts w:hint="eastAsia"/>
          <w:szCs w:val="32"/>
        </w:rPr>
        <w:t>等</w:t>
      </w:r>
      <w:r>
        <w:rPr>
          <w:szCs w:val="32"/>
        </w:rPr>
        <w:t>安全</w:t>
      </w:r>
      <w:r>
        <w:rPr>
          <w:rFonts w:hint="eastAsia"/>
          <w:szCs w:val="32"/>
        </w:rPr>
        <w:t>管理方法。</w:t>
      </w:r>
      <w:r>
        <w:rPr>
          <w:szCs w:val="32"/>
        </w:rPr>
        <w:t>推动建立加氢</w:t>
      </w:r>
      <w:r>
        <w:rPr>
          <w:rFonts w:hint="eastAsia"/>
          <w:szCs w:val="32"/>
        </w:rPr>
        <w:t>系统设备</w:t>
      </w:r>
      <w:r>
        <w:rPr>
          <w:szCs w:val="32"/>
        </w:rPr>
        <w:t>产品质量认证运营商采信制度严格</w:t>
      </w:r>
      <w:r>
        <w:rPr>
          <w:rFonts w:hint="eastAsia"/>
          <w:szCs w:val="32"/>
        </w:rPr>
        <w:t>全过程</w:t>
      </w:r>
      <w:r>
        <w:rPr>
          <w:szCs w:val="32"/>
        </w:rPr>
        <w:t>安全质量把关</w:t>
      </w:r>
      <w:r>
        <w:rPr>
          <w:rFonts w:hint="eastAsia"/>
          <w:szCs w:val="32"/>
        </w:rPr>
        <w:t>，坚持加氢站安全设施与主体工程“三同时”</w:t>
      </w:r>
      <w:r>
        <w:rPr>
          <w:szCs w:val="32"/>
        </w:rPr>
        <w:t>。完善经营企业安全管理制度和</w:t>
      </w:r>
      <w:r>
        <w:rPr>
          <w:rFonts w:hint="eastAsia"/>
          <w:szCs w:val="32"/>
        </w:rPr>
        <w:t>安全</w:t>
      </w:r>
      <w:r>
        <w:rPr>
          <w:szCs w:val="32"/>
        </w:rPr>
        <w:t>操作规程，落实企业安全生产主体责任。</w:t>
      </w:r>
    </w:p>
    <w:p>
      <w:pPr>
        <w:spacing w:line="640" w:lineRule="exact"/>
        <w:ind w:firstLine="630" w:firstLineChars="200"/>
        <w:outlineLvl w:val="9"/>
        <w:rPr>
          <w:szCs w:val="32"/>
        </w:rPr>
      </w:pPr>
      <w:bookmarkStart w:id="99" w:name="_Toc21025"/>
      <w:bookmarkStart w:id="100" w:name="_Toc5882"/>
      <w:bookmarkStart w:id="101" w:name="_Toc19887"/>
      <w:bookmarkStart w:id="102" w:name="_Toc2739"/>
      <w:bookmarkStart w:id="103" w:name="_Toc20211"/>
      <w:bookmarkStart w:id="104" w:name="_Toc13193"/>
      <w:r>
        <w:rPr>
          <w:rFonts w:ascii="Times New Roman" w:hAnsi="Times New Roman" w:eastAsia="楷体_GB2312" w:cs="Times New Roman"/>
          <w:b/>
          <w:bCs/>
          <w:szCs w:val="32"/>
        </w:rPr>
        <w:t>（二）强</w:t>
      </w:r>
      <w:r>
        <w:rPr>
          <w:rFonts w:hint="default" w:ascii="Times New Roman" w:hAnsi="Times New Roman" w:eastAsia="楷体_GB2312" w:cs="Times New Roman"/>
          <w:b/>
          <w:bCs/>
          <w:szCs w:val="32"/>
        </w:rPr>
        <w:t>化</w:t>
      </w:r>
      <w:r>
        <w:rPr>
          <w:rFonts w:ascii="Times New Roman" w:hAnsi="Times New Roman" w:eastAsia="楷体_GB2312" w:cs="Times New Roman"/>
          <w:b/>
          <w:bCs/>
          <w:szCs w:val="32"/>
        </w:rPr>
        <w:t>加氢行业监督</w:t>
      </w:r>
      <w:bookmarkEnd w:id="99"/>
      <w:bookmarkEnd w:id="100"/>
      <w:bookmarkEnd w:id="101"/>
      <w:bookmarkEnd w:id="102"/>
      <w:bookmarkEnd w:id="103"/>
      <w:bookmarkEnd w:id="104"/>
      <w:r>
        <w:rPr>
          <w:rFonts w:hint="default" w:ascii="Times New Roman" w:hAnsi="Times New Roman" w:eastAsia="楷体_GB2312" w:cs="Times New Roman"/>
          <w:b/>
          <w:bCs/>
          <w:szCs w:val="32"/>
        </w:rPr>
        <w:t>。</w:t>
      </w:r>
      <w:r>
        <w:rPr>
          <w:rFonts w:hint="eastAsia"/>
          <w:szCs w:val="32"/>
        </w:rPr>
        <w:t>强化</w:t>
      </w:r>
      <w:r>
        <w:rPr>
          <w:szCs w:val="32"/>
        </w:rPr>
        <w:t>加氢设施运营安全监督管理，建立健全</w:t>
      </w:r>
      <w:r>
        <w:rPr>
          <w:rFonts w:hint="eastAsia"/>
          <w:szCs w:val="32"/>
        </w:rPr>
        <w:t>加氢站</w:t>
      </w:r>
      <w:r>
        <w:rPr>
          <w:szCs w:val="32"/>
        </w:rPr>
        <w:t>氢气安全评估和风险管理体系，</w:t>
      </w:r>
      <w:r>
        <w:rPr>
          <w:rFonts w:hint="eastAsia"/>
          <w:szCs w:val="32"/>
        </w:rPr>
        <w:t>加强氢气</w:t>
      </w:r>
      <w:r>
        <w:rPr>
          <w:rFonts w:hint="eastAsia"/>
          <w:szCs w:val="32"/>
          <w:lang w:eastAsia="zh-CN"/>
        </w:rPr>
        <w:t>泄漏</w:t>
      </w:r>
      <w:r>
        <w:rPr>
          <w:rFonts w:hint="eastAsia"/>
          <w:szCs w:val="32"/>
        </w:rPr>
        <w:t>监测报警及其设置场所的日常消防安全检查和管理，建立加氢站经营单位运行、维护、检验、监控、故障等事项档案。加强</w:t>
      </w:r>
      <w:r>
        <w:rPr>
          <w:szCs w:val="32"/>
        </w:rPr>
        <w:t>对生产许可证获证企业事中事后监管</w:t>
      </w:r>
      <w:r>
        <w:rPr>
          <w:rFonts w:hint="eastAsia"/>
          <w:szCs w:val="32"/>
        </w:rPr>
        <w:t>，定期组织加氢站安全评估，落实</w:t>
      </w:r>
      <w:r>
        <w:rPr>
          <w:szCs w:val="32"/>
        </w:rPr>
        <w:t>部门安全监管责任</w:t>
      </w:r>
      <w:r>
        <w:rPr>
          <w:rFonts w:hint="eastAsia"/>
          <w:szCs w:val="32"/>
        </w:rPr>
        <w:t>。</w:t>
      </w:r>
    </w:p>
    <w:p>
      <w:pPr>
        <w:spacing w:line="579" w:lineRule="exact"/>
        <w:ind w:firstLine="630" w:firstLineChars="200"/>
        <w:outlineLvl w:val="1"/>
        <w:rPr>
          <w:szCs w:val="32"/>
        </w:rPr>
      </w:pPr>
      <w:r>
        <w:rPr>
          <w:rFonts w:ascii="Times New Roman" w:hAnsi="Times New Roman" w:eastAsia="楷体_GB2312" w:cs="Times New Roman"/>
          <w:b/>
          <w:bCs/>
          <w:szCs w:val="32"/>
        </w:rPr>
        <w:t>（三）建立应急预案制度</w:t>
      </w:r>
      <w:r>
        <w:rPr>
          <w:rFonts w:hint="default" w:ascii="Times New Roman" w:hAnsi="Times New Roman" w:eastAsia="楷体_GB2312" w:cs="Times New Roman"/>
          <w:b/>
          <w:bCs/>
          <w:szCs w:val="32"/>
        </w:rPr>
        <w:t>。</w:t>
      </w:r>
      <w:r>
        <w:rPr>
          <w:szCs w:val="32"/>
        </w:rPr>
        <w:t>加强应急能力建设，研究制定</w:t>
      </w:r>
      <w:r>
        <w:rPr>
          <w:rFonts w:hint="eastAsia"/>
          <w:szCs w:val="32"/>
        </w:rPr>
        <w:t>加氢站经营单位</w:t>
      </w:r>
      <w:r>
        <w:rPr>
          <w:szCs w:val="32"/>
        </w:rPr>
        <w:t>突发事件</w:t>
      </w:r>
      <w:r>
        <w:rPr>
          <w:rFonts w:hint="eastAsia"/>
          <w:szCs w:val="32"/>
        </w:rPr>
        <w:t>应急预案</w:t>
      </w:r>
      <w:r>
        <w:rPr>
          <w:szCs w:val="32"/>
        </w:rPr>
        <w:t>和部门应急预案，强化加氢站消防安全，加强</w:t>
      </w:r>
      <w:r>
        <w:rPr>
          <w:rFonts w:hint="eastAsia"/>
          <w:szCs w:val="32"/>
        </w:rPr>
        <w:t>经营人员</w:t>
      </w:r>
      <w:r>
        <w:rPr>
          <w:szCs w:val="32"/>
        </w:rPr>
        <w:t>安全素质培养。</w:t>
      </w:r>
    </w:p>
    <w:p>
      <w:pPr>
        <w:spacing w:line="579" w:lineRule="exact"/>
        <w:ind w:firstLine="630" w:firstLineChars="200"/>
        <w:outlineLvl w:val="1"/>
      </w:pPr>
      <w:bookmarkStart w:id="105" w:name="_Toc22262"/>
      <w:bookmarkStart w:id="106" w:name="_Toc23529"/>
      <w:bookmarkStart w:id="107" w:name="_Toc7670"/>
      <w:bookmarkStart w:id="108" w:name="_Toc23332"/>
      <w:bookmarkStart w:id="109" w:name="_Toc15484"/>
      <w:bookmarkStart w:id="110" w:name="_Toc4976"/>
      <w:r>
        <w:rPr>
          <w:rFonts w:ascii="Times New Roman" w:hAnsi="Times New Roman" w:eastAsia="楷体_GB2312" w:cs="Times New Roman"/>
          <w:b/>
          <w:bCs/>
          <w:szCs w:val="32"/>
        </w:rPr>
        <w:t>（四）实施环境保护措施</w:t>
      </w:r>
      <w:bookmarkEnd w:id="105"/>
      <w:bookmarkEnd w:id="106"/>
      <w:bookmarkEnd w:id="107"/>
      <w:bookmarkEnd w:id="108"/>
      <w:bookmarkEnd w:id="109"/>
      <w:bookmarkEnd w:id="110"/>
      <w:r>
        <w:rPr>
          <w:rFonts w:hint="default" w:ascii="Times New Roman" w:hAnsi="Times New Roman" w:eastAsia="楷体_GB2312" w:cs="Times New Roman"/>
          <w:b/>
          <w:bCs/>
          <w:szCs w:val="32"/>
        </w:rPr>
        <w:t>。</w:t>
      </w:r>
      <w:r>
        <w:rPr>
          <w:szCs w:val="32"/>
        </w:rPr>
        <w:t>加强加氢站项目</w:t>
      </w:r>
      <w:r>
        <w:rPr>
          <w:rFonts w:hint="eastAsia"/>
          <w:szCs w:val="32"/>
        </w:rPr>
        <w:t>环境影响评价工作</w:t>
      </w:r>
      <w:r>
        <w:rPr>
          <w:rFonts w:hint="eastAsia"/>
          <w:szCs w:val="32"/>
          <w:lang w:val="en-US" w:eastAsia="zh-CN"/>
        </w:rPr>
        <w:t>和</w:t>
      </w:r>
      <w:r>
        <w:rPr>
          <w:szCs w:val="32"/>
        </w:rPr>
        <w:t>水土保持方案</w:t>
      </w:r>
      <w:r>
        <w:rPr>
          <w:rFonts w:hint="eastAsia"/>
          <w:szCs w:val="32"/>
        </w:rPr>
        <w:t>管理</w:t>
      </w:r>
      <w:r>
        <w:rPr>
          <w:szCs w:val="32"/>
        </w:rPr>
        <w:t>，</w:t>
      </w:r>
      <w:r>
        <w:rPr>
          <w:rFonts w:hint="eastAsia"/>
          <w:szCs w:val="32"/>
        </w:rPr>
        <w:t>落实环境管理要求</w:t>
      </w:r>
      <w:r>
        <w:rPr>
          <w:rFonts w:hint="eastAsia"/>
          <w:szCs w:val="32"/>
          <w:lang w:eastAsia="zh-CN"/>
        </w:rPr>
        <w:t>，</w:t>
      </w:r>
      <w:r>
        <w:rPr>
          <w:szCs w:val="32"/>
        </w:rPr>
        <w:t>实施水土保持预防和治理措施。加强</w:t>
      </w:r>
      <w:r>
        <w:rPr>
          <w:rFonts w:hint="eastAsia"/>
          <w:szCs w:val="32"/>
        </w:rPr>
        <w:t>用地</w:t>
      </w:r>
      <w:r>
        <w:rPr>
          <w:szCs w:val="32"/>
        </w:rPr>
        <w:t>选址控制，</w:t>
      </w:r>
      <w:r>
        <w:rPr>
          <w:rFonts w:hint="eastAsia"/>
          <w:szCs w:val="32"/>
          <w:lang w:val="en-US" w:eastAsia="zh-CN"/>
        </w:rPr>
        <w:t>确保</w:t>
      </w:r>
      <w:r>
        <w:rPr>
          <w:szCs w:val="32"/>
        </w:rPr>
        <w:t>氢气储运设施</w:t>
      </w:r>
      <w:r>
        <w:rPr>
          <w:rFonts w:hint="eastAsia"/>
          <w:szCs w:val="32"/>
        </w:rPr>
        <w:t>和</w:t>
      </w:r>
      <w:r>
        <w:rPr>
          <w:szCs w:val="32"/>
        </w:rPr>
        <w:t>加氢站选址</w:t>
      </w:r>
      <w:r>
        <w:rPr>
          <w:rFonts w:hint="eastAsia"/>
          <w:szCs w:val="32"/>
        </w:rPr>
        <w:t>满足规范要求</w:t>
      </w:r>
      <w:r>
        <w:rPr>
          <w:szCs w:val="32"/>
        </w:rPr>
        <w:t>。</w:t>
      </w:r>
    </w:p>
    <w:p>
      <w:pPr>
        <w:spacing w:line="579" w:lineRule="exact"/>
        <w:ind w:firstLine="630" w:firstLineChars="200"/>
        <w:outlineLvl w:val="0"/>
        <w:rPr>
          <w:rFonts w:eastAsia="黑体"/>
          <w:bCs/>
          <w:szCs w:val="32"/>
        </w:rPr>
      </w:pPr>
      <w:bookmarkStart w:id="111" w:name="_Toc17774"/>
      <w:bookmarkStart w:id="112" w:name="_Toc30258"/>
      <w:bookmarkStart w:id="113" w:name="_Toc22028"/>
      <w:bookmarkStart w:id="114" w:name="_Toc7211"/>
      <w:bookmarkStart w:id="115" w:name="_Toc13642"/>
      <w:bookmarkStart w:id="116" w:name="_Toc31422"/>
      <w:r>
        <w:rPr>
          <w:rFonts w:eastAsia="黑体"/>
          <w:bCs/>
          <w:szCs w:val="32"/>
        </w:rPr>
        <w:t>六</w:t>
      </w:r>
      <w:r>
        <w:rPr>
          <w:rFonts w:hint="eastAsia" w:eastAsia="黑体"/>
          <w:bCs/>
          <w:szCs w:val="32"/>
        </w:rPr>
        <w:t>、</w:t>
      </w:r>
      <w:r>
        <w:rPr>
          <w:rFonts w:eastAsia="黑体"/>
          <w:bCs/>
          <w:szCs w:val="32"/>
        </w:rPr>
        <w:t>保障措施</w:t>
      </w:r>
      <w:bookmarkEnd w:id="111"/>
      <w:bookmarkEnd w:id="112"/>
      <w:bookmarkEnd w:id="113"/>
      <w:bookmarkEnd w:id="114"/>
      <w:bookmarkEnd w:id="115"/>
      <w:bookmarkEnd w:id="116"/>
    </w:p>
    <w:p>
      <w:pPr>
        <w:spacing w:line="579" w:lineRule="exact"/>
        <w:ind w:firstLine="630" w:firstLineChars="200"/>
        <w:outlineLvl w:val="1"/>
        <w:rPr>
          <w:szCs w:val="32"/>
        </w:rPr>
      </w:pPr>
      <w:bookmarkStart w:id="117" w:name="_Toc28146"/>
      <w:bookmarkStart w:id="118" w:name="_Toc27869"/>
      <w:bookmarkStart w:id="119" w:name="_Toc8616"/>
      <w:bookmarkStart w:id="120" w:name="_Toc8870"/>
      <w:bookmarkStart w:id="121" w:name="_Toc27089"/>
      <w:bookmarkStart w:id="122" w:name="_Toc32068"/>
      <w:r>
        <w:rPr>
          <w:rFonts w:ascii="Times New Roman" w:hAnsi="Times New Roman" w:eastAsia="楷体_GB2312" w:cs="Times New Roman"/>
          <w:b/>
          <w:bCs/>
          <w:szCs w:val="32"/>
        </w:rPr>
        <w:t>（一）加强统筹协调</w:t>
      </w:r>
      <w:bookmarkEnd w:id="117"/>
      <w:bookmarkEnd w:id="118"/>
      <w:bookmarkEnd w:id="119"/>
      <w:bookmarkEnd w:id="120"/>
      <w:bookmarkEnd w:id="121"/>
      <w:bookmarkEnd w:id="122"/>
      <w:r>
        <w:rPr>
          <w:rFonts w:hint="default" w:ascii="Times New Roman" w:hAnsi="Times New Roman" w:eastAsia="楷体_GB2312" w:cs="Times New Roman"/>
          <w:b/>
          <w:bCs/>
          <w:szCs w:val="32"/>
        </w:rPr>
        <w:t>。</w:t>
      </w:r>
      <w:r>
        <w:rPr>
          <w:rFonts w:hint="eastAsia"/>
          <w:szCs w:val="32"/>
        </w:rPr>
        <w:t>加强协同配合</w:t>
      </w:r>
      <w:r>
        <w:rPr>
          <w:szCs w:val="32"/>
        </w:rPr>
        <w:t>，省发展改革委</w:t>
      </w:r>
      <w:r>
        <w:rPr>
          <w:rFonts w:hint="eastAsia"/>
          <w:szCs w:val="32"/>
          <w:lang w:eastAsia="zh-CN"/>
        </w:rPr>
        <w:t>（</w:t>
      </w:r>
      <w:r>
        <w:rPr>
          <w:szCs w:val="32"/>
        </w:rPr>
        <w:t>省能源局</w:t>
      </w:r>
      <w:r>
        <w:rPr>
          <w:rFonts w:hint="eastAsia"/>
          <w:szCs w:val="32"/>
          <w:lang w:eastAsia="zh-CN"/>
        </w:rPr>
        <w:t>）</w:t>
      </w:r>
      <w:r>
        <w:rPr>
          <w:szCs w:val="32"/>
        </w:rPr>
        <w:t>、省自然资源厅、省建设厅、省应急管理厅、省市场监管局、省气象局等部门按照各自职责分工做好加氢站建设审批、运营管理、安全监管、标准制定及氢源保障调度等工作。各市、县（市、区）政府明确部门职责，确保规划落地</w:t>
      </w:r>
      <w:r>
        <w:rPr>
          <w:rFonts w:hint="eastAsia"/>
          <w:szCs w:val="32"/>
          <w:lang w:eastAsia="zh-CN"/>
        </w:rPr>
        <w:t>。</w:t>
      </w:r>
      <w:r>
        <w:rPr>
          <w:szCs w:val="32"/>
        </w:rPr>
        <w:t>充分发挥协会、学会等社会团体促进作用，</w:t>
      </w:r>
      <w:r>
        <w:rPr>
          <w:rFonts w:hint="eastAsia"/>
          <w:szCs w:val="32"/>
        </w:rPr>
        <w:t>推动</w:t>
      </w:r>
      <w:r>
        <w:rPr>
          <w:szCs w:val="32"/>
        </w:rPr>
        <w:t>关</w:t>
      </w:r>
      <w:r>
        <w:rPr>
          <w:spacing w:val="-6"/>
          <w:szCs w:val="32"/>
        </w:rPr>
        <w:t>键共性技术攻关</w:t>
      </w:r>
      <w:r>
        <w:rPr>
          <w:rFonts w:hint="eastAsia"/>
          <w:spacing w:val="-6"/>
          <w:szCs w:val="32"/>
        </w:rPr>
        <w:t>和</w:t>
      </w:r>
      <w:r>
        <w:rPr>
          <w:spacing w:val="-6"/>
          <w:szCs w:val="32"/>
        </w:rPr>
        <w:t>标准规范制定。</w:t>
      </w:r>
    </w:p>
    <w:p>
      <w:pPr>
        <w:spacing w:line="550" w:lineRule="exact"/>
        <w:ind w:firstLine="630" w:firstLineChars="200"/>
        <w:outlineLvl w:val="1"/>
        <w:rPr>
          <w:szCs w:val="32"/>
        </w:rPr>
      </w:pPr>
      <w:bookmarkStart w:id="123" w:name="_Toc3505"/>
      <w:bookmarkStart w:id="124" w:name="_Toc2860"/>
      <w:bookmarkStart w:id="125" w:name="_Toc31229"/>
      <w:bookmarkStart w:id="126" w:name="_Toc9762"/>
      <w:bookmarkStart w:id="127" w:name="_Toc19266"/>
      <w:bookmarkStart w:id="128" w:name="_Toc29203"/>
      <w:r>
        <w:rPr>
          <w:rFonts w:ascii="Times New Roman" w:hAnsi="Times New Roman" w:eastAsia="楷体_GB2312" w:cs="Times New Roman"/>
          <w:b/>
          <w:bCs/>
          <w:szCs w:val="32"/>
        </w:rPr>
        <w:t>（二）加强规划管理</w:t>
      </w:r>
      <w:bookmarkEnd w:id="123"/>
      <w:bookmarkEnd w:id="124"/>
      <w:bookmarkEnd w:id="125"/>
      <w:bookmarkEnd w:id="126"/>
      <w:bookmarkEnd w:id="127"/>
      <w:bookmarkEnd w:id="128"/>
      <w:r>
        <w:rPr>
          <w:rFonts w:hint="default" w:ascii="Times New Roman" w:hAnsi="Times New Roman" w:eastAsia="楷体_GB2312" w:cs="Times New Roman"/>
          <w:b/>
          <w:bCs/>
          <w:szCs w:val="32"/>
        </w:rPr>
        <w:t>。</w:t>
      </w:r>
      <w:r>
        <w:rPr>
          <w:szCs w:val="32"/>
        </w:rPr>
        <w:t>依托省域空间治理等数字化平台，加强布局规划与</w:t>
      </w:r>
      <w:r>
        <w:rPr>
          <w:rFonts w:hint="eastAsia"/>
          <w:szCs w:val="32"/>
        </w:rPr>
        <w:t>国土</w:t>
      </w:r>
      <w:r>
        <w:rPr>
          <w:szCs w:val="32"/>
        </w:rPr>
        <w:t>空间、</w:t>
      </w:r>
      <w:r>
        <w:rPr>
          <w:rFonts w:hint="eastAsia"/>
          <w:szCs w:val="32"/>
          <w:lang w:eastAsia="zh-CN"/>
        </w:rPr>
        <w:t>燃气、</w:t>
      </w:r>
      <w:r>
        <w:rPr>
          <w:szCs w:val="32"/>
        </w:rPr>
        <w:t>交通等专项规划的衔接，将加氢站纳入相关规划，预控和落实加氢站用地需求，配套制定相关政策和管理办法。强化规划实施，各市、县（市、区）要将加氢站纳入当地基础设施规划，建立信息报送制度，确保加氢站及配套储运设施按期完成。加强规划动态管理，开展规划实施情况动态监测和中期评估，</w:t>
      </w:r>
      <w:r>
        <w:rPr>
          <w:sz w:val="32"/>
          <w:szCs w:val="32"/>
        </w:rPr>
        <w:t>根据布点实施情况及交通、建设、土地等相关情况的变化，</w:t>
      </w:r>
      <w:r>
        <w:rPr>
          <w:szCs w:val="32"/>
        </w:rPr>
        <w:t>按</w:t>
      </w:r>
      <w:r>
        <w:rPr>
          <w:rFonts w:hint="eastAsia"/>
          <w:szCs w:val="32"/>
        </w:rPr>
        <w:t>程序</w:t>
      </w:r>
      <w:r>
        <w:rPr>
          <w:szCs w:val="32"/>
        </w:rPr>
        <w:t>适时进行调整。</w:t>
      </w:r>
    </w:p>
    <w:p>
      <w:pPr>
        <w:spacing w:line="550" w:lineRule="exact"/>
        <w:ind w:firstLine="630" w:firstLineChars="200"/>
        <w:outlineLvl w:val="1"/>
        <w:rPr>
          <w:b/>
          <w:bCs/>
          <w:szCs w:val="32"/>
        </w:rPr>
      </w:pPr>
      <w:bookmarkStart w:id="129" w:name="_Toc23696"/>
      <w:bookmarkStart w:id="130" w:name="_Toc20953"/>
      <w:bookmarkStart w:id="131" w:name="_Toc8759"/>
      <w:bookmarkStart w:id="132" w:name="_Toc18226"/>
      <w:bookmarkStart w:id="133" w:name="_Toc24157"/>
      <w:bookmarkStart w:id="134" w:name="_Toc30950"/>
      <w:r>
        <w:rPr>
          <w:rFonts w:ascii="Times New Roman" w:hAnsi="Times New Roman" w:eastAsia="楷体_GB2312" w:cs="Times New Roman"/>
          <w:b/>
          <w:bCs/>
          <w:szCs w:val="32"/>
        </w:rPr>
        <w:t>（三）加强规范建设</w:t>
      </w:r>
      <w:bookmarkEnd w:id="129"/>
      <w:bookmarkEnd w:id="130"/>
      <w:bookmarkEnd w:id="131"/>
      <w:bookmarkEnd w:id="132"/>
      <w:bookmarkEnd w:id="133"/>
      <w:bookmarkEnd w:id="134"/>
      <w:r>
        <w:rPr>
          <w:rFonts w:hint="default" w:ascii="Times New Roman" w:hAnsi="Times New Roman" w:eastAsia="楷体_GB2312" w:cs="Times New Roman"/>
          <w:b/>
          <w:bCs/>
          <w:szCs w:val="32"/>
        </w:rPr>
        <w:t>。</w:t>
      </w:r>
      <w:r>
        <w:rPr>
          <w:szCs w:val="32"/>
        </w:rPr>
        <w:t>加快制定加氢站建设审批、</w:t>
      </w:r>
      <w:r>
        <w:rPr>
          <w:rFonts w:hint="eastAsia"/>
          <w:szCs w:val="32"/>
        </w:rPr>
        <w:t>验收备案、</w:t>
      </w:r>
      <w:r>
        <w:rPr>
          <w:szCs w:val="32"/>
        </w:rPr>
        <w:t>运营管理办法，明确加氢站运营许可制度，建立市场准入和监管机制。支持各地进一步规范加氢站审批</w:t>
      </w:r>
      <w:r>
        <w:rPr>
          <w:rFonts w:hint="eastAsia"/>
          <w:szCs w:val="32"/>
        </w:rPr>
        <w:t>、验收备案、</w:t>
      </w:r>
      <w:r>
        <w:rPr>
          <w:szCs w:val="32"/>
        </w:rPr>
        <w:t>经营证照核发流程。严格执行国际、国家、行业加氢站相关技术标准和设计规范，进一步制定完善建设管理规范、作业安全规范、专用加注装置、储运装置等团体标准。</w:t>
      </w:r>
    </w:p>
    <w:p>
      <w:pPr>
        <w:tabs>
          <w:tab w:val="left" w:pos="6952"/>
        </w:tabs>
        <w:spacing w:line="579" w:lineRule="exact"/>
        <w:ind w:firstLine="630" w:firstLineChars="200"/>
        <w:outlineLvl w:val="1"/>
        <w:rPr>
          <w:szCs w:val="32"/>
        </w:rPr>
        <w:sectPr>
          <w:footerReference r:id="rId5" w:type="default"/>
          <w:pgSz w:w="11906" w:h="16838"/>
          <w:pgMar w:top="2098" w:right="1474" w:bottom="1984" w:left="1587" w:header="851" w:footer="1587" w:gutter="0"/>
          <w:pgNumType w:fmt="decimal" w:start="1"/>
          <w:cols w:space="720" w:num="1"/>
          <w:rtlGutter w:val="0"/>
          <w:docGrid w:type="linesAndChars" w:linePitch="579" w:charSpace="1616"/>
        </w:sectPr>
      </w:pPr>
      <w:bookmarkStart w:id="135" w:name="_Toc10331"/>
      <w:bookmarkStart w:id="136" w:name="_Toc30448"/>
      <w:bookmarkStart w:id="137" w:name="_Toc30385"/>
      <w:bookmarkStart w:id="138" w:name="_Toc3967"/>
      <w:bookmarkStart w:id="139" w:name="_Toc10148"/>
      <w:bookmarkStart w:id="140" w:name="_Toc25448"/>
      <w:bookmarkStart w:id="141" w:name="OLE_LINK1"/>
      <w:r>
        <w:rPr>
          <w:rFonts w:ascii="Times New Roman" w:hAnsi="Times New Roman" w:eastAsia="楷体_GB2312" w:cs="Times New Roman"/>
          <w:b/>
          <w:bCs/>
          <w:szCs w:val="32"/>
        </w:rPr>
        <w:t>（四）创新支持政策</w:t>
      </w:r>
      <w:bookmarkEnd w:id="135"/>
      <w:bookmarkEnd w:id="136"/>
      <w:bookmarkEnd w:id="137"/>
      <w:bookmarkEnd w:id="138"/>
      <w:bookmarkEnd w:id="139"/>
      <w:bookmarkEnd w:id="140"/>
      <w:r>
        <w:rPr>
          <w:rFonts w:hint="default" w:ascii="Times New Roman" w:hAnsi="Times New Roman" w:eastAsia="楷体_GB2312" w:cs="Times New Roman"/>
          <w:b/>
          <w:bCs/>
          <w:szCs w:val="32"/>
        </w:rPr>
        <w:t>。</w:t>
      </w:r>
      <w:bookmarkStart w:id="142" w:name="_Toc10371"/>
      <w:r>
        <w:rPr>
          <w:szCs w:val="32"/>
        </w:rPr>
        <w:t>市县统筹中央和省级既有财政政策和专项资金，建立完善氢能开发利用财政政策，扶持加氢站建设</w:t>
      </w:r>
      <w:bookmarkEnd w:id="141"/>
      <w:r>
        <w:rPr>
          <w:szCs w:val="32"/>
        </w:rPr>
        <w:t>，研究制定氢燃料电池及加氢站成本疏导机制。强化要素保障，探索研究加氢站相关用地政策。发挥省产业基金引导作用，加快建立包括财政出资和社会资本投入的多层次投入体系，鼓励利用社会资本设立加氢站发展专项基金。</w:t>
      </w:r>
      <w:bookmarkEnd w:id="142"/>
      <w:bookmarkStart w:id="143" w:name="_Toc1693"/>
      <w:bookmarkStart w:id="144" w:name="_Toc1288"/>
      <w:r>
        <w:rPr>
          <w:szCs w:val="32"/>
        </w:rPr>
        <w:t>强化金融服务支撑，拓宽加氢站建设运营的融资渠道。</w:t>
      </w:r>
      <w:r>
        <w:rPr>
          <w:szCs w:val="32"/>
        </w:rPr>
        <w:tab/>
      </w:r>
    </w:p>
    <w:p>
      <w:pPr>
        <w:spacing w:line="579" w:lineRule="exact"/>
        <w:outlineLvl w:val="0"/>
        <w:rPr>
          <w:rFonts w:eastAsia="黑体"/>
          <w:bCs/>
          <w:sz w:val="28"/>
          <w:szCs w:val="28"/>
        </w:rPr>
      </w:pPr>
      <w:bookmarkStart w:id="145" w:name="_Toc6989"/>
      <w:bookmarkStart w:id="146" w:name="_Toc16092"/>
      <w:bookmarkStart w:id="147" w:name="_Toc12312"/>
      <w:bookmarkStart w:id="148" w:name="_Toc2273"/>
      <w:r>
        <w:rPr>
          <w:rFonts w:eastAsia="黑体"/>
          <w:bCs/>
          <w:szCs w:val="32"/>
        </w:rPr>
        <w:drawing>
          <wp:anchor distT="0" distB="0" distL="114300" distR="114300" simplePos="0" relativeHeight="251661312" behindDoc="0" locked="0" layoutInCell="1" allowOverlap="1">
            <wp:simplePos x="0" y="0"/>
            <wp:positionH relativeFrom="column">
              <wp:posOffset>-3175</wp:posOffset>
            </wp:positionH>
            <wp:positionV relativeFrom="paragraph">
              <wp:posOffset>607060</wp:posOffset>
            </wp:positionV>
            <wp:extent cx="5654040" cy="4897755"/>
            <wp:effectExtent l="0" t="0" r="3810" b="17145"/>
            <wp:wrapTopAndBottom/>
            <wp:docPr id="3" name="图片 4" descr="98ea4521e3cd54e447771222f9d5e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98ea4521e3cd54e447771222f9d5ec00"/>
                    <pic:cNvPicPr>
                      <a:picLocks noChangeAspect="1"/>
                    </pic:cNvPicPr>
                  </pic:nvPicPr>
                  <pic:blipFill>
                    <a:blip r:embed="rId9"/>
                    <a:stretch>
                      <a:fillRect/>
                    </a:stretch>
                  </pic:blipFill>
                  <pic:spPr>
                    <a:xfrm>
                      <a:off x="0" y="0"/>
                      <a:ext cx="5654040" cy="4897755"/>
                    </a:xfrm>
                    <a:prstGeom prst="rect">
                      <a:avLst/>
                    </a:prstGeom>
                    <a:noFill/>
                    <a:ln>
                      <a:noFill/>
                    </a:ln>
                  </pic:spPr>
                </pic:pic>
              </a:graphicData>
            </a:graphic>
          </wp:anchor>
        </w:drawing>
      </w:r>
      <w:r>
        <w:rPr>
          <w:rFonts w:eastAsia="黑体"/>
          <w:bCs/>
          <w:sz w:val="28"/>
          <w:szCs w:val="28"/>
        </w:rPr>
        <w:t>附图</w:t>
      </w:r>
      <w:r>
        <w:rPr>
          <w:rFonts w:hint="eastAsia" w:eastAsia="黑体"/>
          <w:bCs/>
          <w:sz w:val="28"/>
          <w:szCs w:val="28"/>
        </w:rPr>
        <w:t xml:space="preserve"> </w:t>
      </w:r>
      <w:r>
        <w:rPr>
          <w:rFonts w:eastAsia="黑体"/>
          <w:bCs/>
          <w:sz w:val="28"/>
          <w:szCs w:val="28"/>
        </w:rPr>
        <w:t>站点空间布局图</w:t>
      </w:r>
      <w:bookmarkEnd w:id="143"/>
      <w:bookmarkEnd w:id="144"/>
      <w:bookmarkEnd w:id="145"/>
      <w:bookmarkEnd w:id="146"/>
      <w:bookmarkEnd w:id="147"/>
      <w:bookmarkEnd w:id="148"/>
    </w:p>
    <w:p>
      <w:pPr>
        <w:spacing w:line="579" w:lineRule="exact"/>
      </w:pPr>
    </w:p>
    <w:p>
      <w:pPr>
        <w:pStyle w:val="4"/>
        <w:jc w:val="center"/>
        <w:rPr>
          <w:rFonts w:eastAsia="黑体"/>
          <w:bCs/>
          <w:szCs w:val="32"/>
        </w:rPr>
      </w:pPr>
    </w:p>
    <w:p>
      <w:pPr>
        <w:spacing w:line="580" w:lineRule="exact"/>
        <w:ind w:firstLine="561"/>
        <w:outlineLvl w:val="0"/>
        <w:rPr>
          <w:rFonts w:eastAsia="黑体"/>
          <w:bCs/>
          <w:szCs w:val="32"/>
        </w:rPr>
        <w:sectPr>
          <w:pgSz w:w="11906" w:h="16838"/>
          <w:pgMar w:top="2098" w:right="1474" w:bottom="1984" w:left="1587" w:header="851" w:footer="1587" w:gutter="0"/>
          <w:pgNumType w:fmt="decimal"/>
          <w:cols w:space="720" w:num="1"/>
          <w:rtlGutter w:val="0"/>
          <w:docGrid w:type="linesAndChars" w:linePitch="579" w:charSpace="1616"/>
        </w:sectPr>
      </w:pPr>
      <w:bookmarkStart w:id="149" w:name="_Toc30162"/>
      <w:bookmarkStart w:id="150" w:name="_Toc16895"/>
    </w:p>
    <w:p>
      <w:pPr>
        <w:spacing w:line="579" w:lineRule="exact"/>
      </w:pPr>
      <w:bookmarkStart w:id="151" w:name="_Toc11976"/>
      <w:bookmarkStart w:id="152" w:name="_Toc26795"/>
      <w:bookmarkStart w:id="153" w:name="_Toc15965"/>
      <w:bookmarkStart w:id="154" w:name="_Toc11346"/>
      <w:r>
        <w:rPr>
          <w:rFonts w:eastAsia="黑体"/>
          <w:bCs/>
          <w:szCs w:val="32"/>
        </w:rPr>
        <w:t>附表</w:t>
      </w:r>
      <w:bookmarkEnd w:id="151"/>
      <w:bookmarkEnd w:id="152"/>
      <w:bookmarkEnd w:id="153"/>
      <w:bookmarkEnd w:id="154"/>
    </w:p>
    <w:p>
      <w:pPr>
        <w:spacing w:line="579" w:lineRule="exact"/>
        <w:ind w:firstLine="561"/>
        <w:jc w:val="center"/>
        <w:outlineLvl w:val="0"/>
        <w:rPr>
          <w:rFonts w:hint="eastAsia" w:eastAsia="方正小标宋简体"/>
          <w:bCs/>
          <w:sz w:val="44"/>
          <w:szCs w:val="44"/>
          <w:highlight w:val="none"/>
        </w:rPr>
      </w:pPr>
    </w:p>
    <w:p>
      <w:pPr>
        <w:spacing w:line="579" w:lineRule="exact"/>
        <w:ind w:firstLine="561"/>
        <w:jc w:val="center"/>
        <w:outlineLvl w:val="0"/>
        <w:rPr>
          <w:rFonts w:eastAsia="黑体"/>
          <w:bCs/>
          <w:szCs w:val="32"/>
          <w:highlight w:val="none"/>
        </w:rPr>
      </w:pPr>
      <w:r>
        <w:rPr>
          <w:rFonts w:hint="eastAsia" w:eastAsia="方正小标宋简体"/>
          <w:bCs/>
          <w:sz w:val="44"/>
          <w:szCs w:val="44"/>
          <w:highlight w:val="none"/>
        </w:rPr>
        <w:t>项目</w:t>
      </w:r>
      <w:r>
        <w:rPr>
          <w:rFonts w:eastAsia="方正小标宋简体"/>
          <w:bCs/>
          <w:sz w:val="44"/>
          <w:szCs w:val="44"/>
          <w:highlight w:val="none"/>
        </w:rPr>
        <w:t>实施安排一览表（</w:t>
      </w:r>
      <w:r>
        <w:rPr>
          <w:rFonts w:hint="eastAsia" w:eastAsia="方正小标宋简体"/>
          <w:bCs/>
          <w:sz w:val="44"/>
          <w:szCs w:val="44"/>
          <w:highlight w:val="none"/>
        </w:rPr>
        <w:t>90</w:t>
      </w:r>
      <w:r>
        <w:rPr>
          <w:rFonts w:eastAsia="方正小标宋简体"/>
          <w:bCs/>
          <w:sz w:val="44"/>
          <w:szCs w:val="44"/>
          <w:highlight w:val="none"/>
        </w:rPr>
        <w:t>个详细站点）</w:t>
      </w:r>
      <w:bookmarkEnd w:id="149"/>
      <w:bookmarkEnd w:id="150"/>
    </w:p>
    <w:tbl>
      <w:tblPr>
        <w:tblStyle w:val="9"/>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154"/>
        <w:gridCol w:w="3221"/>
        <w:gridCol w:w="4009"/>
        <w:gridCol w:w="1344"/>
        <w:gridCol w:w="1611"/>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黑体"/>
                <w:sz w:val="24"/>
              </w:rPr>
            </w:pPr>
            <w:r>
              <w:rPr>
                <w:rFonts w:hint="default" w:eastAsia="黑体"/>
                <w:color w:val="000000"/>
                <w:kern w:val="0"/>
                <w:sz w:val="24"/>
                <w:lang w:bidi="ar"/>
              </w:rPr>
              <w:t>序号</w:t>
            </w:r>
          </w:p>
        </w:tc>
        <w:tc>
          <w:tcPr>
            <w:tcW w:w="115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黑体"/>
                <w:sz w:val="24"/>
              </w:rPr>
            </w:pPr>
            <w:r>
              <w:rPr>
                <w:rFonts w:hint="default" w:eastAsia="黑体"/>
                <w:color w:val="000000"/>
                <w:kern w:val="0"/>
                <w:sz w:val="24"/>
                <w:lang w:bidi="ar"/>
              </w:rPr>
              <w:t>地市</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黑体"/>
                <w:sz w:val="24"/>
              </w:rPr>
            </w:pPr>
            <w:r>
              <w:rPr>
                <w:rFonts w:hint="default" w:eastAsia="黑体"/>
                <w:color w:val="000000"/>
                <w:kern w:val="0"/>
                <w:sz w:val="24"/>
                <w:lang w:bidi="ar"/>
              </w:rPr>
              <w:t>站点名称</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黑体"/>
                <w:sz w:val="24"/>
              </w:rPr>
            </w:pPr>
            <w:r>
              <w:rPr>
                <w:rFonts w:hint="default" w:eastAsia="黑体"/>
                <w:color w:val="000000"/>
                <w:kern w:val="0"/>
                <w:sz w:val="24"/>
                <w:lang w:bidi="ar"/>
              </w:rPr>
              <w:t>详细地点</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黑体"/>
                <w:sz w:val="24"/>
              </w:rPr>
            </w:pPr>
            <w:r>
              <w:rPr>
                <w:rFonts w:hint="default" w:eastAsia="黑体"/>
                <w:color w:val="000000"/>
                <w:kern w:val="0"/>
                <w:sz w:val="24"/>
                <w:lang w:bidi="ar"/>
              </w:rPr>
              <w:t>建设时间</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黑体"/>
                <w:sz w:val="24"/>
              </w:rPr>
            </w:pPr>
            <w:r>
              <w:rPr>
                <w:rFonts w:hint="default" w:eastAsia="黑体"/>
                <w:color w:val="000000"/>
                <w:kern w:val="0"/>
                <w:sz w:val="24"/>
                <w:lang w:bidi="ar"/>
              </w:rPr>
              <w:t>布点类型</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黑体"/>
                <w:sz w:val="24"/>
              </w:rPr>
            </w:pPr>
            <w:r>
              <w:rPr>
                <w:rFonts w:hint="default" w:eastAsia="黑体"/>
                <w:color w:val="000000"/>
                <w:kern w:val="0"/>
                <w:sz w:val="24"/>
                <w:lang w:bidi="ar"/>
              </w:rPr>
              <w:t>储气罐容量</w:t>
            </w:r>
            <w:r>
              <w:rPr>
                <w:rFonts w:hint="default" w:eastAsia="黑体"/>
                <w:color w:val="000000"/>
                <w:kern w:val="0"/>
                <w:sz w:val="24"/>
                <w:lang w:bidi="ar"/>
              </w:rPr>
              <w:br w:type="textWrapping"/>
            </w:r>
            <w:r>
              <w:rPr>
                <w:rFonts w:hint="default" w:eastAsia="黑体"/>
                <w:color w:val="000000"/>
                <w:kern w:val="0"/>
                <w:sz w:val="24"/>
                <w:lang w:bidi="ar"/>
              </w:rPr>
              <w:t>（加氢站等级）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0" w:type="dxa"/>
            <w:gridSpan w:val="7"/>
            <w:noWrap w:val="0"/>
            <w:vAlign w:val="center"/>
          </w:tcPr>
          <w:p>
            <w:pPr>
              <w:keepNext w:val="0"/>
              <w:keepLines w:val="0"/>
              <w:suppressLineNumbers w:val="0"/>
              <w:spacing w:before="0" w:beforeAutospacing="0" w:after="0" w:afterAutospacing="0" w:line="320" w:lineRule="exact"/>
              <w:ind w:left="0" w:right="0"/>
              <w:jc w:val="left"/>
              <w:textAlignment w:val="center"/>
              <w:rPr>
                <w:rFonts w:hint="default" w:eastAsia="黑体"/>
                <w:sz w:val="24"/>
              </w:rPr>
            </w:pPr>
            <w:r>
              <w:rPr>
                <w:rFonts w:hint="default" w:eastAsia="黑体"/>
                <w:color w:val="000000"/>
                <w:kern w:val="0"/>
                <w:sz w:val="24"/>
                <w:lang w:bidi="ar"/>
              </w:rPr>
              <w:t>一、实施类（50个）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杭州</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桥北站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杭州市淳安县淳开线浙石油桥北站贺城路800号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县乡道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安阳站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杭州市淳安县X713</w:t>
            </w:r>
            <w:r>
              <w:rPr>
                <w:rFonts w:hint="eastAsia"/>
                <w:color w:val="000000"/>
                <w:kern w:val="0"/>
                <w:sz w:val="24"/>
                <w:lang w:eastAsia="zh-CN" w:bidi="ar"/>
              </w:rPr>
              <w:t>（</w:t>
            </w:r>
            <w:r>
              <w:rPr>
                <w:rFonts w:hint="default"/>
                <w:color w:val="000000"/>
                <w:kern w:val="0"/>
                <w:sz w:val="24"/>
                <w:lang w:bidi="ar"/>
              </w:rPr>
              <w:t>淳杨线</w:t>
            </w:r>
            <w:r>
              <w:rPr>
                <w:rFonts w:hint="eastAsia"/>
                <w:color w:val="000000"/>
                <w:kern w:val="0"/>
                <w:sz w:val="24"/>
                <w:lang w:eastAsia="zh-CN" w:bidi="ar"/>
              </w:rPr>
              <w:t>）</w:t>
            </w:r>
            <w:r>
              <w:rPr>
                <w:rFonts w:hint="default"/>
                <w:color w:val="000000"/>
                <w:kern w:val="0"/>
                <w:sz w:val="24"/>
                <w:lang w:bidi="ar"/>
              </w:rPr>
              <w:t>浙石油安阳站五堡里坞村18号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县乡道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3</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乌石站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杭州市建德市乌石村330国道234号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县乡道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sz w:val="24"/>
                <w:lang w:val="en-US" w:eastAsia="zh-CN"/>
              </w:rPr>
            </w:pPr>
            <w:r>
              <w:rPr>
                <w:rFonts w:hint="eastAsia"/>
                <w:color w:val="000000"/>
                <w:kern w:val="0"/>
                <w:sz w:val="24"/>
                <w:lang w:val="en-US" w:eastAsia="zh-CN" w:bidi="ar"/>
              </w:rPr>
              <w:t>滨文路加气</w:t>
            </w:r>
            <w:r>
              <w:rPr>
                <w:rFonts w:hint="default"/>
                <w:color w:val="000000"/>
                <w:kern w:val="0"/>
                <w:sz w:val="24"/>
                <w:lang w:bidi="ar"/>
              </w:rPr>
              <w:t>加氢</w:t>
            </w:r>
            <w:r>
              <w:rPr>
                <w:rFonts w:hint="eastAsia"/>
                <w:color w:val="000000"/>
                <w:kern w:val="0"/>
                <w:sz w:val="24"/>
                <w:lang w:val="en-US" w:eastAsia="zh-CN" w:bidi="ar"/>
              </w:rPr>
              <w:t>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浙江省杭州市滨江区滨文路6号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202</w:t>
            </w:r>
            <w:r>
              <w:rPr>
                <w:rFonts w:hint="eastAsia"/>
                <w:color w:val="000000"/>
                <w:kern w:val="0"/>
                <w:sz w:val="24"/>
                <w:lang w:val="en-US" w:eastAsia="zh-CN" w:bidi="ar"/>
              </w:rPr>
              <w:t>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eastAsia"/>
                <w:color w:val="000000"/>
                <w:kern w:val="0"/>
                <w:sz w:val="24"/>
                <w:lang w:val="en-US" w:eastAsia="zh-CN"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eastAsia"/>
                <w:color w:val="000000"/>
                <w:kern w:val="0"/>
                <w:sz w:val="24"/>
                <w:highlight w:val="none"/>
                <w:lang w:eastAsia="zh-CN" w:bidi="ar"/>
              </w:rPr>
              <w:t>1</w:t>
            </w:r>
            <w:r>
              <w:rPr>
                <w:rFonts w:hint="eastAsia"/>
                <w:color w:val="000000"/>
                <w:kern w:val="0"/>
                <w:sz w:val="24"/>
                <w:highlight w:val="none"/>
                <w:lang w:val="en-US" w:eastAsia="zh-CN" w:bidi="ar"/>
              </w:rPr>
              <w:t>0</w:t>
            </w:r>
            <w:r>
              <w:rPr>
                <w:rFonts w:hint="default"/>
                <w:color w:val="000000"/>
                <w:kern w:val="0"/>
                <w:sz w:val="24"/>
                <w:highlight w:val="none"/>
                <w:lang w:bidi="ar"/>
              </w:rPr>
              <w:t>00kg</w:t>
            </w:r>
            <w:r>
              <w:rPr>
                <w:rFonts w:hint="eastAsia"/>
                <w:color w:val="000000"/>
                <w:kern w:val="0"/>
                <w:sz w:val="24"/>
                <w:highlight w:val="none"/>
                <w:lang w:eastAsia="zh-CN" w:bidi="ar"/>
              </w:rPr>
              <w:t>（</w:t>
            </w:r>
            <w:r>
              <w:rPr>
                <w:rFonts w:hint="default"/>
                <w:color w:val="000000"/>
                <w:kern w:val="0"/>
                <w:sz w:val="24"/>
                <w:highlight w:val="none"/>
                <w:lang w:bidi="ar"/>
              </w:rPr>
              <w:t>三级</w:t>
            </w:r>
            <w:r>
              <w:rPr>
                <w:rFonts w:hint="eastAsia"/>
                <w:color w:val="000000"/>
                <w:kern w:val="0"/>
                <w:sz w:val="24"/>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5</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杭州钱塘绿色能源服务中心加氢站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浙江省杭州市钱塘区规划道路与新一路交叉口东北340米</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6</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杭钢亚盛加氢站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杭州市拱墅区半山路386号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7</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宁波</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镇海炼化加氢示范站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宁波市镇海区中石化镇海炼化分公司</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8</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象山大目湾巨鹰加氢站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spacing w:val="-17"/>
                <w:kern w:val="0"/>
                <w:sz w:val="24"/>
                <w:lang w:bidi="ar"/>
              </w:rPr>
              <w:t>宁波市象山县巨鹰路浙石油综合供能站</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9</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象山九顷加氢站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宁波市象山县丹西街道会源路与环城西路交叉口</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10</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慈溪经开区加氢站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宁波市慈溪市慈东南大道与镇龙五路交叉路口</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11</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中石化镇海基地加氢示范站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宁波市镇海区镇海炼化厂区东南侧，东北侧为国家应急救援基地</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在建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2000kg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12</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宁波穿山港综合能源站（气氢合建站）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宁波市北仑区穿山港综合能源站</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2000kg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13</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福明加氢站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宁波市高新区福明变空置场地，东侧为清水桥路</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14</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浙江LNG接收站扩建项目（三期）</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宁波市北仑区穿山港区</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2000kg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15</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状元岙站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宁波奉化区溪口镇状元岙村门前畈新建房区188号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国省道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16</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镇海北站（气氢合建站）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宁波市绕城高速镇海服务区北区</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高速</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17</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温州</w:t>
            </w: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双屿客运中心加氢站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鹿城区双屿街道康盛路与康园路交叉口西侧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18</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ascii="Times New Roman" w:hAnsi="Times New Roman" w:cs="Times New Roman"/>
                <w:color w:val="000000"/>
                <w:spacing w:val="-17"/>
                <w:kern w:val="0"/>
                <w:sz w:val="24"/>
                <w:lang w:bidi="ar"/>
              </w:rPr>
              <w:t>温州乐清客运中心综合供能站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温州市乐清市客运中心附近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2024</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val="en-US" w:eastAsia="zh-CN"/>
              </w:rPr>
            </w:pPr>
            <w:r>
              <w:rPr>
                <w:rFonts w:hint="eastAsia"/>
                <w:color w:val="000000"/>
                <w:kern w:val="0"/>
                <w:sz w:val="24"/>
                <w:lang w:val="en-US" w:eastAsia="zh-CN" w:bidi="ar"/>
              </w:rPr>
              <w:t>国省道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19</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马站综合供能站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kern w:val="0"/>
                <w:sz w:val="24"/>
                <w:lang w:bidi="ar"/>
              </w:rPr>
            </w:pPr>
            <w:r>
              <w:rPr>
                <w:rFonts w:hint="default"/>
                <w:color w:val="000000"/>
                <w:kern w:val="0"/>
                <w:sz w:val="24"/>
                <w:lang w:bidi="ar"/>
              </w:rPr>
              <w:t>温州市苍南县马站镇</w:t>
            </w:r>
            <w:r>
              <w:rPr>
                <w:rFonts w:hint="eastAsia" w:ascii="Times New Roman" w:hAnsi="Times New Roman" w:cs="Times New Roman"/>
                <w:color w:val="000000"/>
                <w:kern w:val="0"/>
                <w:sz w:val="24"/>
                <w:szCs w:val="24"/>
                <w:lang w:bidi="ar"/>
              </w:rPr>
              <w:t>顶魁路</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湖州</w:t>
            </w: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陈王路加氢站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ascii="Times New Roman" w:hAnsi="Times New Roman" w:cs="Times New Roman"/>
                <w:color w:val="000000"/>
                <w:spacing w:val="-17"/>
                <w:kern w:val="0"/>
                <w:sz w:val="24"/>
                <w:lang w:bidi="ar"/>
              </w:rPr>
              <w:t>湖州市长兴县图影大道和陈王路交叉口</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21</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煤山加氢站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煤山镇煤白线南侧（金鑫苑对面）</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22</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龙山新区加氢站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龙山街道紫金路与菱山路交叉口</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23</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水口加氢站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水口乡水顾线沿线</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24</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太湖图影加氢站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太湖图影龙之梦东大门附近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25</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w:t>
            </w: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嘉善县中国石化经营有限公司善通加油加氢站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嘉兴市嘉善县白水塘东路909号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26</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嘉善县客运中心东站综合供能服务站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嘉兴市嘉善县姚庄客运站内</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highlight w:val="none"/>
                <w:lang w:eastAsia="zh-CN"/>
              </w:rPr>
            </w:pPr>
            <w:r>
              <w:rPr>
                <w:rFonts w:hint="default"/>
                <w:color w:val="000000"/>
                <w:kern w:val="0"/>
                <w:sz w:val="24"/>
                <w:highlight w:val="none"/>
                <w:lang w:bidi="ar"/>
              </w:rPr>
              <w:t>撬装站</w:t>
            </w:r>
            <w:r>
              <w:rPr>
                <w:rFonts w:hint="eastAsia"/>
                <w:color w:val="000000"/>
                <w:kern w:val="0"/>
                <w:sz w:val="24"/>
                <w:highlight w:val="none"/>
                <w:lang w:eastAsia="zh-CN" w:bidi="ar"/>
              </w:rPr>
              <w:t>（</w:t>
            </w:r>
            <w:r>
              <w:rPr>
                <w:rFonts w:hint="default"/>
                <w:color w:val="000000"/>
                <w:kern w:val="0"/>
                <w:sz w:val="24"/>
                <w:highlight w:val="none"/>
                <w:lang w:bidi="ar"/>
              </w:rPr>
              <w:t>三级</w:t>
            </w:r>
            <w:r>
              <w:rPr>
                <w:rFonts w:hint="eastAsia"/>
                <w:color w:val="000000"/>
                <w:kern w:val="0"/>
                <w:sz w:val="24"/>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27</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嘉锦亭桥北综合供能服务站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嘉兴港区平湖大道500号，乍浦高速出口</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国省道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1000kg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28</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平湖樱花站</w:t>
            </w:r>
          </w:p>
        </w:tc>
        <w:tc>
          <w:tcPr>
            <w:tcW w:w="4009" w:type="dxa"/>
            <w:noWrap w:val="0"/>
            <w:vAlign w:val="center"/>
          </w:tcPr>
          <w:p>
            <w:pPr>
              <w:keepNext w:val="0"/>
              <w:keepLines w:val="0"/>
              <w:suppressLineNumbers w:val="0"/>
              <w:spacing w:before="0" w:beforeAutospacing="0" w:after="0" w:afterAutospacing="0" w:line="340" w:lineRule="exact"/>
              <w:ind w:left="0" w:right="0"/>
              <w:jc w:val="center"/>
              <w:textAlignment w:val="center"/>
              <w:rPr>
                <w:rFonts w:hint="default"/>
                <w:sz w:val="24"/>
              </w:rPr>
            </w:pPr>
            <w:r>
              <w:rPr>
                <w:rFonts w:hint="default"/>
                <w:color w:val="000000"/>
                <w:kern w:val="0"/>
                <w:sz w:val="24"/>
                <w:lang w:bidi="ar"/>
              </w:rPr>
              <w:t>嘉兴市平湖市新兴一路永圆新村西侧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1000kg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29</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嘉善县中国石化经营有限公司站前路加气加氢站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嘉兴市嘉善县罗星街道站前路99号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eastAsia"/>
                <w:color w:val="000000"/>
                <w:kern w:val="0"/>
                <w:sz w:val="24"/>
                <w:lang w:val="en-US" w:eastAsia="zh-CN" w:bidi="ar"/>
              </w:rPr>
              <w:t>已</w:t>
            </w:r>
            <w:r>
              <w:rPr>
                <w:rFonts w:hint="default"/>
                <w:color w:val="000000"/>
                <w:kern w:val="0"/>
                <w:sz w:val="24"/>
                <w:lang w:bidi="ar"/>
              </w:rPr>
              <w:t>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30</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嘉兴港区滨海大道加油加气加氢站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嘉兴市嘉兴港区滨海大道1515号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eastAsia"/>
                <w:color w:val="000000"/>
                <w:kern w:val="0"/>
                <w:sz w:val="24"/>
                <w:lang w:val="en-US" w:eastAsia="zh-CN" w:bidi="ar"/>
              </w:rPr>
              <w:t>已</w:t>
            </w:r>
            <w:r>
              <w:rPr>
                <w:rFonts w:hint="default"/>
                <w:color w:val="000000"/>
                <w:kern w:val="0"/>
                <w:sz w:val="24"/>
                <w:lang w:bidi="ar"/>
              </w:rPr>
              <w:t>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1000kg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2"/>
                <w:sz w:val="24"/>
                <w:szCs w:val="24"/>
                <w:lang w:val="en-US" w:eastAsia="zh-CN" w:bidi="ar-SA"/>
              </w:rPr>
            </w:pPr>
            <w:r>
              <w:rPr>
                <w:rFonts w:hint="default"/>
                <w:color w:val="000000"/>
                <w:kern w:val="0"/>
                <w:sz w:val="24"/>
                <w:lang w:bidi="ar"/>
              </w:rPr>
              <w:t>31</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岗山路加氢站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嘉兴市经开区岗山路272号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val="en-US" w:eastAsia="zh-CN" w:bidi="ar"/>
              </w:rPr>
            </w:pPr>
            <w:r>
              <w:rPr>
                <w:rFonts w:hint="eastAsia"/>
                <w:color w:val="000000"/>
                <w:kern w:val="0"/>
                <w:sz w:val="24"/>
                <w:lang w:val="en-US" w:eastAsia="zh-CN"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eastAsia"/>
                <w:color w:val="000000"/>
                <w:kern w:val="0"/>
                <w:sz w:val="24"/>
                <w:lang w:val="en-US" w:eastAsia="zh-CN" w:bidi="ar"/>
              </w:rPr>
              <w:t>10</w:t>
            </w:r>
            <w:r>
              <w:rPr>
                <w:rFonts w:hint="default"/>
                <w:color w:val="000000"/>
                <w:kern w:val="0"/>
                <w:sz w:val="24"/>
                <w:lang w:bidi="ar"/>
              </w:rPr>
              <w:t>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2"/>
                <w:sz w:val="24"/>
                <w:szCs w:val="24"/>
                <w:lang w:val="en-US" w:eastAsia="zh-CN" w:bidi="ar-SA"/>
              </w:rPr>
            </w:pPr>
            <w:r>
              <w:rPr>
                <w:rFonts w:hint="default"/>
                <w:color w:val="000000"/>
                <w:kern w:val="0"/>
                <w:sz w:val="24"/>
                <w:lang w:bidi="ar"/>
              </w:rPr>
              <w:t>32</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海港大道西公交首末站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嘉兴市海盐县海盐经济开发区海港大道与中乐路交叉口西南侧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color w:val="000000"/>
                <w:kern w:val="0"/>
                <w:sz w:val="24"/>
                <w:lang w:val="en-US" w:eastAsia="zh-CN" w:bidi="ar"/>
              </w:rPr>
            </w:pPr>
            <w:r>
              <w:rPr>
                <w:rFonts w:hint="eastAsia"/>
                <w:color w:val="000000"/>
                <w:kern w:val="0"/>
                <w:sz w:val="24"/>
                <w:lang w:val="en-US" w:eastAsia="zh-CN"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highlight w:val="none"/>
                <w:lang w:val="en-US" w:eastAsia="zh-CN" w:bidi="ar"/>
              </w:rPr>
            </w:pPr>
            <w:r>
              <w:rPr>
                <w:rFonts w:hint="eastAsia"/>
                <w:color w:val="000000"/>
                <w:kern w:val="0"/>
                <w:sz w:val="24"/>
                <w:highlight w:val="none"/>
                <w:lang w:val="en-US" w:eastAsia="zh-CN" w:bidi="ar"/>
              </w:rPr>
              <w:t>撬装站</w:t>
            </w:r>
            <w:r>
              <w:rPr>
                <w:rFonts w:hint="eastAsia"/>
                <w:color w:val="000000"/>
                <w:kern w:val="0"/>
                <w:sz w:val="24"/>
                <w:highlight w:val="none"/>
                <w:lang w:eastAsia="zh-CN" w:bidi="ar"/>
              </w:rPr>
              <w:t>（</w:t>
            </w:r>
            <w:r>
              <w:rPr>
                <w:rFonts w:hint="default"/>
                <w:color w:val="000000"/>
                <w:kern w:val="0"/>
                <w:sz w:val="24"/>
                <w:highlight w:val="none"/>
                <w:lang w:bidi="ar"/>
              </w:rPr>
              <w:t>三级</w:t>
            </w:r>
            <w:r>
              <w:rPr>
                <w:rFonts w:hint="eastAsia"/>
                <w:color w:val="000000"/>
                <w:kern w:val="0"/>
                <w:sz w:val="24"/>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2"/>
                <w:sz w:val="24"/>
                <w:szCs w:val="24"/>
                <w:lang w:val="en-US" w:eastAsia="zh-CN" w:bidi="ar-SA"/>
              </w:rPr>
            </w:pPr>
            <w:r>
              <w:rPr>
                <w:rFonts w:hint="default"/>
                <w:color w:val="000000"/>
                <w:kern w:val="0"/>
                <w:sz w:val="24"/>
                <w:lang w:bidi="ar"/>
              </w:rPr>
              <w:t>33</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ascii="Times New Roman" w:hAnsi="Times New Roman" w:cs="Times New Roman"/>
                <w:color w:val="000000"/>
                <w:spacing w:val="-17"/>
                <w:kern w:val="0"/>
                <w:sz w:val="24"/>
                <w:lang w:bidi="ar"/>
              </w:rPr>
              <w:t>嘉善县南北署综合供能服务站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eastAsia"/>
                <w:color w:val="000000"/>
                <w:kern w:val="0"/>
                <w:sz w:val="24"/>
                <w:lang w:val="en-US" w:eastAsia="zh-CN" w:bidi="ar"/>
              </w:rPr>
              <w:t>嘉兴市</w:t>
            </w:r>
            <w:r>
              <w:rPr>
                <w:rFonts w:hint="default"/>
                <w:color w:val="000000"/>
                <w:kern w:val="0"/>
                <w:sz w:val="24"/>
                <w:lang w:bidi="ar"/>
              </w:rPr>
              <w:t>嘉善县魏塘街道南北暑村张安港东侧、原嘉善公路收费站北侧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color w:val="000000"/>
                <w:kern w:val="0"/>
                <w:sz w:val="24"/>
                <w:lang w:val="en-US" w:eastAsia="zh-CN" w:bidi="ar"/>
              </w:rPr>
            </w:pPr>
            <w:r>
              <w:rPr>
                <w:rFonts w:hint="eastAsia"/>
                <w:color w:val="000000"/>
                <w:kern w:val="0"/>
                <w:sz w:val="24"/>
                <w:lang w:val="en-US" w:eastAsia="zh-CN" w:bidi="ar"/>
              </w:rPr>
              <w:t>在建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val="en-US" w:eastAsia="zh-CN" w:bidi="ar"/>
              </w:rPr>
            </w:pPr>
            <w:r>
              <w:rPr>
                <w:rFonts w:hint="eastAsia"/>
                <w:color w:val="000000"/>
                <w:kern w:val="0"/>
                <w:sz w:val="24"/>
                <w:lang w:val="en-US" w:eastAsia="zh-CN" w:bidi="ar"/>
              </w:rPr>
              <w:t>10</w:t>
            </w:r>
            <w:r>
              <w:rPr>
                <w:rFonts w:hint="default"/>
                <w:color w:val="000000"/>
                <w:kern w:val="0"/>
                <w:sz w:val="24"/>
                <w:lang w:bidi="ar"/>
              </w:rPr>
              <w:t>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2"/>
                <w:sz w:val="24"/>
                <w:szCs w:val="24"/>
                <w:lang w:val="en-US" w:eastAsia="zh-CN" w:bidi="ar-SA"/>
              </w:rPr>
            </w:pPr>
            <w:r>
              <w:rPr>
                <w:rFonts w:hint="default"/>
                <w:color w:val="000000"/>
                <w:kern w:val="0"/>
                <w:sz w:val="24"/>
                <w:lang w:bidi="ar"/>
              </w:rPr>
              <w:t>34</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嘉兴港东恒加氢站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ascii="Times New Roman" w:hAnsi="Times New Roman" w:cs="Times New Roman"/>
                <w:color w:val="000000"/>
                <w:spacing w:val="-17"/>
                <w:kern w:val="0"/>
                <w:sz w:val="24"/>
                <w:lang w:bidi="ar"/>
              </w:rPr>
              <w:t>嘉兴市平湖市嘉兴港区3期码头围堤内</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1000kg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2"/>
                <w:sz w:val="24"/>
                <w:szCs w:val="24"/>
                <w:lang w:val="en-US" w:eastAsia="zh-CN" w:bidi="ar-SA"/>
              </w:rPr>
            </w:pPr>
            <w:r>
              <w:rPr>
                <w:rFonts w:hint="default"/>
                <w:color w:val="000000"/>
                <w:kern w:val="0"/>
                <w:sz w:val="24"/>
                <w:lang w:bidi="ar"/>
              </w:rPr>
              <w:t>35</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长三角（嘉兴）氢能产业园内加氢站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嘉兴港区明君路长三角（嘉兴）氢能产业园内</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2000kg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2"/>
                <w:sz w:val="24"/>
                <w:szCs w:val="24"/>
                <w:lang w:val="en-US" w:eastAsia="zh-CN" w:bidi="ar-SA"/>
              </w:rPr>
            </w:pPr>
            <w:r>
              <w:rPr>
                <w:rFonts w:hint="default"/>
                <w:color w:val="000000"/>
                <w:kern w:val="0"/>
                <w:sz w:val="24"/>
                <w:lang w:bidi="ar"/>
              </w:rPr>
              <w:t>36</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桐乡绿能加氢站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嘉兴市桐乡市环城南路50号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1000kg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2"/>
                <w:sz w:val="24"/>
                <w:szCs w:val="24"/>
                <w:lang w:val="en-US" w:eastAsia="zh-CN" w:bidi="ar-SA"/>
              </w:rPr>
            </w:pPr>
            <w:r>
              <w:rPr>
                <w:rFonts w:hint="default"/>
                <w:color w:val="000000"/>
                <w:kern w:val="0"/>
                <w:sz w:val="24"/>
                <w:lang w:bidi="ar"/>
              </w:rPr>
              <w:t>37</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嘉兴海盐氢能源及配套产业园基地</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嘉兴市海盐县海盐经济开发区</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2000kg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38</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绍兴</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ascii="Times New Roman" w:hAnsi="Times New Roman" w:cs="Times New Roman"/>
                <w:color w:val="000000"/>
                <w:spacing w:val="-17"/>
                <w:kern w:val="0"/>
                <w:sz w:val="24"/>
                <w:lang w:bidi="ar"/>
              </w:rPr>
              <w:t>浙江石油综合供能站（东二区站）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绍兴市上虞区康阳大道与东进河路交叉口</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39</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越城公交停保场站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绍兴市越城镇镜湖新区公交停保场</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40</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金华</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婺城新区加氢站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ascii="Times New Roman" w:hAnsi="Times New Roman" w:cs="Times New Roman"/>
                <w:color w:val="000000"/>
                <w:spacing w:val="-17"/>
                <w:kern w:val="0"/>
                <w:sz w:val="24"/>
                <w:lang w:bidi="ar"/>
              </w:rPr>
              <w:t>金华市婺城区白龙桥镇宾虹路3665号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国省道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41</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桐琴综合供能服务站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金华市武义县明招南路与青年路交叉路口往南约120米</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国省道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42</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婺城区新能源公交车加氢站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金华市婺城区二环西路以西、信息产业园以北</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在建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43</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浙中公铁联运港综合供能服务站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金华市金东区毛竹园村附近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44</w:t>
            </w:r>
          </w:p>
        </w:tc>
        <w:tc>
          <w:tcPr>
            <w:tcW w:w="115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衢州</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巨化新城加氢站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衢州市柯城区沙金大道南侧，中兴路以东，巨化新城加油站以西</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45</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舟山</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六横加氢站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舟山市普陀区六横镇六横科创中心</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eastAsia"/>
                <w:color w:val="000000"/>
                <w:kern w:val="0"/>
                <w:sz w:val="24"/>
                <w:lang w:val="en-US" w:eastAsia="zh-CN" w:bidi="ar"/>
              </w:rPr>
              <w:t>已</w:t>
            </w:r>
            <w:r>
              <w:rPr>
                <w:rFonts w:hint="default"/>
                <w:color w:val="000000"/>
                <w:kern w:val="0"/>
                <w:sz w:val="24"/>
                <w:lang w:bidi="ar"/>
              </w:rPr>
              <w:t>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46</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 xml:space="preserve">普陀天打岩综合供能服务站 </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舟山市普陀区沈家门东海西路7号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47</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定海加氢站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定海区双桥街道紫薇村329国道骆家互通</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202</w:t>
            </w:r>
            <w:r>
              <w:rPr>
                <w:rFonts w:hint="eastAsia"/>
                <w:color w:val="000000"/>
                <w:kern w:val="0"/>
                <w:sz w:val="24"/>
                <w:lang w:val="en-US" w:eastAsia="zh-CN" w:bidi="ar"/>
              </w:rPr>
              <w:t>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48</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台州</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台州聚英综合供能服务站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ascii="Times New Roman" w:hAnsi="Times New Roman" w:cs="Times New Roman"/>
                <w:color w:val="000000"/>
                <w:spacing w:val="-17"/>
                <w:kern w:val="0"/>
                <w:sz w:val="24"/>
                <w:lang w:bidi="ar"/>
              </w:rPr>
              <w:t>台州市台州湾新区东部新区海循路8号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已建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49</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ascii="Times New Roman" w:hAnsi="Times New Roman" w:cs="Times New Roman"/>
                <w:color w:val="000000"/>
                <w:spacing w:val="-17"/>
                <w:kern w:val="0"/>
                <w:sz w:val="24"/>
                <w:lang w:bidi="ar"/>
              </w:rPr>
              <w:t>台州路桥二友综合供能服务站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台州市路桥区京岚线翠云小区西北侧约80米</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eastAsia"/>
                <w:color w:val="000000"/>
                <w:kern w:val="0"/>
                <w:sz w:val="24"/>
                <w:lang w:val="en-US" w:eastAsia="zh-CN" w:bidi="ar"/>
              </w:rPr>
              <w:t>已</w:t>
            </w:r>
            <w:r>
              <w:rPr>
                <w:rFonts w:hint="default"/>
                <w:color w:val="000000"/>
                <w:kern w:val="0"/>
                <w:sz w:val="24"/>
                <w:lang w:bidi="ar"/>
              </w:rPr>
              <w:t>建</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国省道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sz w:val="24"/>
                <w:lang w:eastAsia="zh-CN"/>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50</w:t>
            </w:r>
          </w:p>
        </w:tc>
        <w:tc>
          <w:tcPr>
            <w:tcW w:w="115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丽水</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中石化丽水富岭加油站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丽水南城东十三路与南二陆交叉口东北侧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0" w:type="dxa"/>
            <w:gridSpan w:val="7"/>
            <w:noWrap w:val="0"/>
            <w:vAlign w:val="center"/>
          </w:tcPr>
          <w:p>
            <w:pPr>
              <w:keepNext w:val="0"/>
              <w:keepLines w:val="0"/>
              <w:suppressLineNumbers w:val="0"/>
              <w:spacing w:before="0" w:beforeAutospacing="0" w:after="0" w:afterAutospacing="0" w:line="320" w:lineRule="exact"/>
              <w:ind w:left="0" w:right="0"/>
              <w:jc w:val="left"/>
              <w:textAlignment w:val="center"/>
              <w:rPr>
                <w:rFonts w:hint="default"/>
                <w:kern w:val="0"/>
                <w:sz w:val="24"/>
                <w:lang w:bidi="ar"/>
              </w:rPr>
            </w:pPr>
            <w:r>
              <w:rPr>
                <w:rFonts w:hint="default" w:eastAsia="黑体"/>
                <w:b w:val="0"/>
                <w:bCs w:val="0"/>
                <w:color w:val="000000"/>
                <w:kern w:val="0"/>
                <w:sz w:val="24"/>
                <w:lang w:bidi="ar"/>
              </w:rPr>
              <w:t>二、储备类（</w:t>
            </w:r>
            <w:r>
              <w:rPr>
                <w:rFonts w:hint="eastAsia" w:eastAsia="黑体"/>
                <w:b w:val="0"/>
                <w:bCs w:val="0"/>
                <w:color w:val="000000"/>
                <w:kern w:val="0"/>
                <w:sz w:val="24"/>
                <w:lang w:val="en-US" w:eastAsia="zh-CN" w:bidi="ar"/>
              </w:rPr>
              <w:t>40</w:t>
            </w:r>
            <w:r>
              <w:rPr>
                <w:rFonts w:hint="default" w:eastAsia="黑体"/>
                <w:b w:val="0"/>
                <w:bCs w:val="0"/>
                <w:color w:val="000000"/>
                <w:kern w:val="0"/>
                <w:sz w:val="24"/>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1</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杭州</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临平疏港大道</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ascii="Times New Roman" w:hAnsi="Times New Roman" w:cs="Times New Roman"/>
                <w:color w:val="000000"/>
                <w:spacing w:val="-17"/>
                <w:kern w:val="0"/>
                <w:sz w:val="24"/>
                <w:lang w:bidi="ar"/>
              </w:rPr>
              <w:t>杭州临平崇码线四维金座南侧约40米</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202</w:t>
            </w:r>
            <w:r>
              <w:rPr>
                <w:rFonts w:hint="eastAsia"/>
                <w:color w:val="000000"/>
                <w:kern w:val="0"/>
                <w:sz w:val="24"/>
                <w:lang w:val="en-US" w:eastAsia="zh-CN" w:bidi="ar"/>
              </w:rPr>
              <w:t>4</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eastAsia"/>
                <w:color w:val="000000"/>
                <w:kern w:val="0"/>
                <w:sz w:val="24"/>
                <w:lang w:val="en-US" w:eastAsia="zh-CN"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富阳春南站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杭州市富阳区富春湾新城春江街道浙江省大桥南路627号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202</w:t>
            </w:r>
            <w:r>
              <w:rPr>
                <w:rFonts w:hint="eastAsia"/>
                <w:color w:val="000000"/>
                <w:kern w:val="0"/>
                <w:sz w:val="24"/>
                <w:lang w:val="en-US" w:eastAsia="zh-CN" w:bidi="ar"/>
              </w:rPr>
              <w:t>4</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eastAsia"/>
                <w:color w:val="000000"/>
                <w:kern w:val="0"/>
                <w:sz w:val="24"/>
                <w:lang w:val="en-US" w:eastAsia="zh-CN"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3</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kern w:val="0"/>
                <w:sz w:val="24"/>
                <w:lang w:val="en-US" w:eastAsia="zh-CN" w:bidi="ar"/>
              </w:rPr>
            </w:pPr>
            <w:r>
              <w:rPr>
                <w:rFonts w:hint="default"/>
                <w:color w:val="000000"/>
                <w:kern w:val="0"/>
                <w:sz w:val="24"/>
                <w:lang w:bidi="ar"/>
              </w:rPr>
              <w:t>富阳</w:t>
            </w:r>
            <w:r>
              <w:rPr>
                <w:rFonts w:hint="eastAsia"/>
                <w:color w:val="000000"/>
                <w:kern w:val="0"/>
                <w:sz w:val="24"/>
                <w:lang w:val="en-US" w:eastAsia="zh-CN" w:bidi="ar"/>
              </w:rPr>
              <w:t>银湖站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杭州富阳</w:t>
            </w:r>
            <w:r>
              <w:rPr>
                <w:rFonts w:hint="eastAsia"/>
                <w:color w:val="000000"/>
                <w:kern w:val="0"/>
                <w:sz w:val="24"/>
                <w:lang w:val="en-US" w:eastAsia="zh-CN" w:bidi="ar"/>
              </w:rPr>
              <w:t>区</w:t>
            </w:r>
            <w:r>
              <w:rPr>
                <w:rFonts w:hint="default"/>
                <w:color w:val="000000"/>
                <w:kern w:val="0"/>
                <w:sz w:val="24"/>
                <w:lang w:bidi="ar"/>
              </w:rPr>
              <w:t>受降镇银湖320国道旁</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202</w:t>
            </w:r>
            <w:r>
              <w:rPr>
                <w:rFonts w:hint="eastAsia"/>
                <w:color w:val="000000"/>
                <w:kern w:val="0"/>
                <w:sz w:val="24"/>
                <w:lang w:val="en-US" w:eastAsia="zh-CN" w:bidi="ar"/>
              </w:rPr>
              <w:t>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eastAsia"/>
                <w:color w:val="000000"/>
                <w:kern w:val="0"/>
                <w:sz w:val="24"/>
                <w:lang w:val="en-US" w:eastAsia="zh-CN"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4</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转塘加气站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杭州市西湖区象山路杭新路交叉口</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1000kg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5</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文海北路加气加氢站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ascii="Times New Roman" w:hAnsi="Times New Roman" w:cs="Times New Roman"/>
                <w:color w:val="000000"/>
                <w:spacing w:val="-17"/>
                <w:kern w:val="0"/>
                <w:sz w:val="24"/>
                <w:lang w:bidi="ar"/>
              </w:rPr>
              <w:t>杭州经济技术开发区文海北路1号7幢</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1000kg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6</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桐庐求是路加气加氢站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浙江省杭州市桐庐县求是路108号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kern w:val="0"/>
                <w:sz w:val="24"/>
                <w:lang w:val="en-US" w:eastAsia="zh-CN" w:bidi="ar"/>
              </w:rPr>
            </w:pPr>
            <w:r>
              <w:rPr>
                <w:rFonts w:hint="eastAsia"/>
                <w:color w:val="000000"/>
                <w:kern w:val="0"/>
                <w:sz w:val="24"/>
                <w:lang w:val="en-US" w:eastAsia="zh-CN" w:bidi="ar"/>
              </w:rPr>
              <w:t>县乡道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1000kg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val="en-US" w:eastAsia="zh-CN" w:bidi="ar"/>
              </w:rPr>
            </w:pPr>
            <w:r>
              <w:rPr>
                <w:rFonts w:hint="eastAsia"/>
                <w:color w:val="000000"/>
                <w:kern w:val="0"/>
                <w:sz w:val="24"/>
                <w:lang w:val="en-US" w:eastAsia="zh-CN" w:bidi="ar"/>
              </w:rPr>
              <w:t>7</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淳安燕山站</w:t>
            </w:r>
          </w:p>
        </w:tc>
        <w:tc>
          <w:tcPr>
            <w:tcW w:w="4009"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ascii="Times New Roman" w:hAnsi="Times New Roman" w:cs="Times New Roman"/>
                <w:color w:val="000000"/>
                <w:spacing w:val="-17"/>
                <w:kern w:val="0"/>
                <w:sz w:val="24"/>
                <w:lang w:bidi="ar"/>
              </w:rPr>
              <w:t>杭州淳安千岛湖镇斋上村S302省道旁</w:t>
            </w:r>
          </w:p>
        </w:tc>
        <w:tc>
          <w:tcPr>
            <w:tcW w:w="1344"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202</w:t>
            </w:r>
            <w:r>
              <w:rPr>
                <w:rFonts w:hint="eastAsia"/>
                <w:color w:val="000000"/>
                <w:kern w:val="0"/>
                <w:sz w:val="24"/>
                <w:lang w:val="en-US" w:eastAsia="zh-CN" w:bidi="ar"/>
              </w:rPr>
              <w:t>5</w:t>
            </w:r>
          </w:p>
        </w:tc>
        <w:tc>
          <w:tcPr>
            <w:tcW w:w="161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color w:val="000000"/>
                <w:kern w:val="0"/>
                <w:sz w:val="24"/>
                <w:szCs w:val="24"/>
                <w:lang w:val="en-US"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val="en-US" w:eastAsia="zh-CN" w:bidi="ar"/>
              </w:rPr>
            </w:pPr>
            <w:r>
              <w:rPr>
                <w:rFonts w:hint="eastAsia"/>
                <w:color w:val="000000"/>
                <w:kern w:val="0"/>
                <w:sz w:val="24"/>
                <w:lang w:val="en-US" w:eastAsia="zh-CN" w:bidi="ar"/>
              </w:rPr>
              <w:t>8</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三墩加气加氢站</w:t>
            </w:r>
          </w:p>
        </w:tc>
        <w:tc>
          <w:tcPr>
            <w:tcW w:w="4009"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杭州市西湖区孙家坝90号5幢一层</w:t>
            </w:r>
          </w:p>
        </w:tc>
        <w:tc>
          <w:tcPr>
            <w:tcW w:w="1344"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202</w:t>
            </w:r>
            <w:r>
              <w:rPr>
                <w:rFonts w:hint="eastAsia"/>
                <w:color w:val="000000"/>
                <w:kern w:val="0"/>
                <w:sz w:val="24"/>
                <w:lang w:val="en-US" w:eastAsia="zh-CN" w:bidi="ar"/>
              </w:rPr>
              <w:t>5</w:t>
            </w:r>
          </w:p>
        </w:tc>
        <w:tc>
          <w:tcPr>
            <w:tcW w:w="161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color w:val="000000"/>
                <w:kern w:val="0"/>
                <w:sz w:val="24"/>
                <w:szCs w:val="24"/>
                <w:lang w:val="en-US"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kern w:val="0"/>
                <w:sz w:val="24"/>
                <w:szCs w:val="24"/>
                <w:lang w:val="en-US" w:eastAsia="zh-CN" w:bidi="ar"/>
              </w:rPr>
            </w:pPr>
            <w:r>
              <w:rPr>
                <w:rFonts w:hint="default"/>
                <w:color w:val="000000"/>
                <w:kern w:val="0"/>
                <w:sz w:val="24"/>
                <w:lang w:bidi="ar"/>
              </w:rPr>
              <w:t>9</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color w:val="000000"/>
                <w:kern w:val="0"/>
                <w:sz w:val="24"/>
                <w:lang w:bidi="ar"/>
              </w:rPr>
            </w:pPr>
            <w:r>
              <w:rPr>
                <w:rFonts w:hint="default"/>
                <w:color w:val="000000"/>
                <w:kern w:val="0"/>
                <w:sz w:val="24"/>
                <w:lang w:bidi="ar"/>
              </w:rPr>
              <w:t>建德寿昌加气加氢站</w:t>
            </w:r>
          </w:p>
        </w:tc>
        <w:tc>
          <w:tcPr>
            <w:tcW w:w="4009"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color w:val="000000"/>
                <w:kern w:val="0"/>
                <w:sz w:val="24"/>
                <w:lang w:bidi="ar"/>
              </w:rPr>
            </w:pPr>
            <w:r>
              <w:rPr>
                <w:rFonts w:hint="default"/>
                <w:color w:val="000000"/>
                <w:kern w:val="0"/>
                <w:sz w:val="24"/>
                <w:lang w:bidi="ar"/>
              </w:rPr>
              <w:t>建德市寿昌镇寿昌大道386号</w:t>
            </w:r>
          </w:p>
        </w:tc>
        <w:tc>
          <w:tcPr>
            <w:tcW w:w="1344"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2025</w:t>
            </w:r>
          </w:p>
        </w:tc>
        <w:tc>
          <w:tcPr>
            <w:tcW w:w="161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color w:val="000000"/>
                <w:kern w:val="0"/>
                <w:sz w:val="24"/>
                <w:lang w:bidi="ar"/>
              </w:rPr>
            </w:pPr>
            <w:r>
              <w:rPr>
                <w:rFonts w:hint="eastAsia"/>
                <w:color w:val="000000"/>
                <w:kern w:val="0"/>
                <w:sz w:val="24"/>
                <w:lang w:val="en-US" w:eastAsia="zh-CN" w:bidi="ar"/>
              </w:rPr>
              <w:t>县乡道</w:t>
            </w:r>
          </w:p>
        </w:tc>
        <w:tc>
          <w:tcPr>
            <w:tcW w:w="244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eastAsia" w:eastAsia="仿宋_GB2312"/>
                <w:color w:val="000000"/>
                <w:kern w:val="0"/>
                <w:sz w:val="24"/>
                <w:highlight w:val="none"/>
                <w:lang w:eastAsia="zh-CN" w:bidi="ar"/>
              </w:rPr>
            </w:pPr>
            <w:r>
              <w:rPr>
                <w:rFonts w:hint="eastAsia"/>
                <w:color w:val="000000"/>
                <w:kern w:val="0"/>
                <w:sz w:val="24"/>
                <w:highlight w:val="none"/>
                <w:lang w:eastAsia="zh-CN" w:bidi="ar"/>
              </w:rPr>
              <w:t>1</w:t>
            </w:r>
            <w:r>
              <w:rPr>
                <w:rFonts w:hint="eastAsia"/>
                <w:color w:val="000000"/>
                <w:kern w:val="0"/>
                <w:sz w:val="24"/>
                <w:highlight w:val="none"/>
                <w:lang w:val="en-US" w:eastAsia="zh-CN" w:bidi="ar"/>
              </w:rPr>
              <w:t>0</w:t>
            </w:r>
            <w:r>
              <w:rPr>
                <w:rFonts w:hint="default"/>
                <w:color w:val="000000"/>
                <w:kern w:val="0"/>
                <w:sz w:val="24"/>
                <w:highlight w:val="none"/>
                <w:lang w:bidi="ar"/>
              </w:rPr>
              <w:t>00kg</w:t>
            </w:r>
            <w:r>
              <w:rPr>
                <w:rFonts w:hint="eastAsia"/>
                <w:color w:val="000000"/>
                <w:kern w:val="0"/>
                <w:sz w:val="24"/>
                <w:highlight w:val="none"/>
                <w:lang w:eastAsia="zh-CN" w:bidi="ar"/>
              </w:rPr>
              <w:t>（</w:t>
            </w:r>
            <w:r>
              <w:rPr>
                <w:rFonts w:hint="default"/>
                <w:color w:val="000000"/>
                <w:kern w:val="0"/>
                <w:sz w:val="24"/>
                <w:highlight w:val="none"/>
                <w:lang w:bidi="ar"/>
              </w:rPr>
              <w:t>三级</w:t>
            </w:r>
            <w:r>
              <w:rPr>
                <w:rFonts w:hint="eastAsia"/>
                <w:color w:val="000000"/>
                <w:kern w:val="0"/>
                <w:sz w:val="24"/>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kern w:val="0"/>
                <w:sz w:val="24"/>
                <w:szCs w:val="24"/>
                <w:lang w:val="en-US" w:eastAsia="zh-CN" w:bidi="ar"/>
              </w:rPr>
            </w:pPr>
            <w:r>
              <w:rPr>
                <w:rFonts w:hint="default"/>
                <w:color w:val="000000"/>
                <w:kern w:val="0"/>
                <w:sz w:val="24"/>
                <w:lang w:bidi="ar"/>
              </w:rPr>
              <w:t>10</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color w:val="000000"/>
                <w:kern w:val="0"/>
                <w:sz w:val="24"/>
                <w:lang w:bidi="ar"/>
              </w:rPr>
            </w:pPr>
            <w:r>
              <w:rPr>
                <w:rFonts w:hint="default"/>
                <w:color w:val="000000"/>
                <w:kern w:val="0"/>
                <w:sz w:val="24"/>
                <w:lang w:bidi="ar"/>
              </w:rPr>
              <w:t>临安青山加气加氢站</w:t>
            </w:r>
          </w:p>
        </w:tc>
        <w:tc>
          <w:tcPr>
            <w:tcW w:w="4009"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color w:val="000000"/>
                <w:kern w:val="0"/>
                <w:sz w:val="24"/>
                <w:lang w:bidi="ar"/>
              </w:rPr>
            </w:pPr>
            <w:r>
              <w:rPr>
                <w:rFonts w:hint="default"/>
                <w:color w:val="000000"/>
                <w:kern w:val="0"/>
                <w:sz w:val="24"/>
                <w:lang w:bidi="ar"/>
              </w:rPr>
              <w:t>浙江省杭州市临安区青山湖街道相府路66号</w:t>
            </w:r>
          </w:p>
        </w:tc>
        <w:tc>
          <w:tcPr>
            <w:tcW w:w="1344"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2025</w:t>
            </w:r>
          </w:p>
        </w:tc>
        <w:tc>
          <w:tcPr>
            <w:tcW w:w="161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color w:val="000000"/>
                <w:kern w:val="0"/>
                <w:sz w:val="24"/>
                <w:lang w:bidi="ar"/>
              </w:rPr>
            </w:pPr>
            <w:r>
              <w:rPr>
                <w:rFonts w:hint="eastAsia"/>
                <w:color w:val="000000"/>
                <w:kern w:val="0"/>
                <w:sz w:val="24"/>
                <w:lang w:val="en-US" w:eastAsia="zh-CN" w:bidi="ar"/>
              </w:rPr>
              <w:t>县乡道</w:t>
            </w:r>
          </w:p>
        </w:tc>
        <w:tc>
          <w:tcPr>
            <w:tcW w:w="2441"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eastAsia" w:eastAsia="仿宋_GB2312"/>
                <w:color w:val="000000"/>
                <w:kern w:val="0"/>
                <w:sz w:val="24"/>
                <w:highlight w:val="none"/>
                <w:lang w:eastAsia="zh-CN" w:bidi="ar"/>
              </w:rPr>
            </w:pPr>
            <w:r>
              <w:rPr>
                <w:rFonts w:hint="eastAsia"/>
                <w:color w:val="000000"/>
                <w:kern w:val="0"/>
                <w:sz w:val="24"/>
                <w:highlight w:val="none"/>
                <w:lang w:val="en-US" w:eastAsia="zh-CN" w:bidi="ar"/>
              </w:rPr>
              <w:t>10</w:t>
            </w:r>
            <w:r>
              <w:rPr>
                <w:rFonts w:hint="default"/>
                <w:color w:val="000000"/>
                <w:kern w:val="0"/>
                <w:sz w:val="24"/>
                <w:highlight w:val="none"/>
                <w:lang w:bidi="ar"/>
              </w:rPr>
              <w:t>00kg</w:t>
            </w:r>
            <w:r>
              <w:rPr>
                <w:rFonts w:hint="eastAsia"/>
                <w:color w:val="000000"/>
                <w:kern w:val="0"/>
                <w:sz w:val="24"/>
                <w:highlight w:val="none"/>
                <w:lang w:eastAsia="zh-CN" w:bidi="ar"/>
              </w:rPr>
              <w:t>（</w:t>
            </w:r>
            <w:r>
              <w:rPr>
                <w:rFonts w:hint="default"/>
                <w:color w:val="000000"/>
                <w:kern w:val="0"/>
                <w:sz w:val="24"/>
                <w:highlight w:val="none"/>
                <w:lang w:bidi="ar"/>
              </w:rPr>
              <w:t>三级</w:t>
            </w:r>
            <w:r>
              <w:rPr>
                <w:rFonts w:hint="eastAsia"/>
                <w:color w:val="000000"/>
                <w:kern w:val="0"/>
                <w:sz w:val="24"/>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0"/>
                <w:sz w:val="24"/>
                <w:szCs w:val="24"/>
                <w:lang w:val="en-US" w:eastAsia="zh-CN" w:bidi="ar"/>
              </w:rPr>
            </w:pPr>
            <w:r>
              <w:rPr>
                <w:rFonts w:hint="default"/>
                <w:color w:val="000000"/>
                <w:kern w:val="0"/>
                <w:sz w:val="24"/>
                <w:lang w:bidi="ar"/>
              </w:rPr>
              <w:t>11</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宁波</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G92 高速加氢站 中国石化加油站</w:t>
            </w:r>
            <w:r>
              <w:rPr>
                <w:rFonts w:hint="eastAsia"/>
                <w:color w:val="000000"/>
                <w:kern w:val="0"/>
                <w:sz w:val="24"/>
                <w:lang w:bidi="ar"/>
              </w:rPr>
              <w:t>（</w:t>
            </w:r>
            <w:r>
              <w:rPr>
                <w:rFonts w:hint="default"/>
                <w:color w:val="000000"/>
                <w:kern w:val="0"/>
                <w:sz w:val="24"/>
                <w:lang w:bidi="ar"/>
              </w:rPr>
              <w:t>余姚服务区站</w:t>
            </w:r>
            <w:r>
              <w:rPr>
                <w:rFonts w:hint="eastAsia"/>
                <w:color w:val="000000"/>
                <w:kern w:val="0"/>
                <w:sz w:val="24"/>
                <w:lang w:bidi="ar"/>
              </w:rPr>
              <w:t>）</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宁波市余姚市石婆桥杭甬高速余姚服务区</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高速</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5000kg</w:t>
            </w:r>
            <w:r>
              <w:rPr>
                <w:rFonts w:hint="eastAsia"/>
                <w:color w:val="000000"/>
                <w:kern w:val="0"/>
                <w:sz w:val="24"/>
                <w:lang w:eastAsia="zh-CN" w:bidi="ar"/>
              </w:rPr>
              <w:t>（</w:t>
            </w:r>
            <w:r>
              <w:rPr>
                <w:rFonts w:hint="default"/>
                <w:color w:val="000000"/>
                <w:kern w:val="0"/>
                <w:sz w:val="24"/>
                <w:lang w:bidi="ar"/>
              </w:rPr>
              <w:t>一级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0"/>
                <w:sz w:val="24"/>
                <w:szCs w:val="24"/>
                <w:lang w:val="en-US" w:eastAsia="zh-CN" w:bidi="ar"/>
              </w:rPr>
            </w:pPr>
            <w:r>
              <w:rPr>
                <w:rFonts w:hint="default"/>
                <w:color w:val="000000"/>
                <w:kern w:val="0"/>
                <w:sz w:val="24"/>
                <w:lang w:bidi="ar"/>
              </w:rPr>
              <w:t>12</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G1523高速加氢站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宁波市宁海县甬莞高速平岩匝道附近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高速</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2000kg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0"/>
                <w:sz w:val="24"/>
                <w:szCs w:val="24"/>
                <w:lang w:val="en-US" w:eastAsia="zh-CN" w:bidi="ar"/>
              </w:rPr>
            </w:pPr>
            <w:r>
              <w:rPr>
                <w:rFonts w:hint="default"/>
                <w:color w:val="000000"/>
                <w:kern w:val="0"/>
                <w:sz w:val="24"/>
                <w:lang w:bidi="ar"/>
              </w:rPr>
              <w:t>13</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中石化慈溪滨海加油站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慈溪市方淞线727号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0"/>
                <w:sz w:val="24"/>
                <w:szCs w:val="24"/>
                <w:lang w:val="en-US" w:eastAsia="zh-CN" w:bidi="ar"/>
              </w:rPr>
            </w:pPr>
            <w:r>
              <w:rPr>
                <w:rFonts w:hint="default"/>
                <w:color w:val="000000"/>
                <w:kern w:val="0"/>
                <w:sz w:val="24"/>
                <w:lang w:bidi="ar"/>
              </w:rPr>
              <w:t>14</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中石化北仑保税西区加油站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北仑区保税区港西大道108号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0"/>
                <w:sz w:val="24"/>
                <w:szCs w:val="24"/>
                <w:lang w:val="en-US" w:eastAsia="zh-CN" w:bidi="ar"/>
              </w:rPr>
            </w:pPr>
            <w:r>
              <w:rPr>
                <w:rFonts w:hint="default"/>
                <w:color w:val="000000"/>
                <w:kern w:val="0"/>
                <w:sz w:val="24"/>
                <w:lang w:bidi="ar"/>
              </w:rPr>
              <w:t>15</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宁波永安公交CNG加气站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宁波市江北区风华路72号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 xml:space="preserve">产业园区 </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kern w:val="0"/>
                <w:sz w:val="24"/>
                <w:szCs w:val="24"/>
                <w:lang w:val="en-US" w:eastAsia="zh-CN" w:bidi="ar"/>
              </w:rPr>
            </w:pPr>
            <w:r>
              <w:rPr>
                <w:rFonts w:hint="default"/>
                <w:color w:val="000000"/>
                <w:kern w:val="0"/>
                <w:sz w:val="24"/>
                <w:lang w:bidi="ar"/>
              </w:rPr>
              <w:t>16</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r>
              <w:rPr>
                <w:rFonts w:hint="default"/>
                <w:color w:val="000000"/>
                <w:kern w:val="0"/>
                <w:sz w:val="24"/>
                <w:lang w:bidi="ar"/>
              </w:rPr>
              <w:t>温州</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金海加油加氢站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ascii="Times New Roman" w:hAnsi="Times New Roman" w:cs="Times New Roman"/>
                <w:color w:val="000000"/>
                <w:spacing w:val="-17"/>
                <w:kern w:val="0"/>
                <w:sz w:val="24"/>
                <w:lang w:bidi="ar"/>
              </w:rPr>
              <w:t>温州市经济技术开发区滨海五道258号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eastAsia"/>
                <w:color w:val="000000"/>
                <w:kern w:val="0"/>
                <w:sz w:val="24"/>
                <w:lang w:val="en-US" w:eastAsia="zh-CN" w:bidi="ar"/>
              </w:rPr>
              <w:t>10</w:t>
            </w:r>
            <w:r>
              <w:rPr>
                <w:rFonts w:hint="default"/>
                <w:color w:val="000000"/>
                <w:kern w:val="0"/>
                <w:sz w:val="24"/>
                <w:lang w:bidi="ar"/>
              </w:rPr>
              <w:t>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17</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sz w:val="24"/>
              </w:rPr>
            </w:pPr>
          </w:p>
        </w:tc>
        <w:tc>
          <w:tcPr>
            <w:tcW w:w="3221" w:type="dxa"/>
            <w:noWrap w:val="0"/>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eastAsia" w:ascii="Times New Roman" w:hAnsi="Times New Roman" w:cs="Times New Roman"/>
                <w:color w:val="000000"/>
                <w:kern w:val="0"/>
                <w:sz w:val="24"/>
                <w:szCs w:val="24"/>
                <w:lang w:bidi="ar"/>
              </w:rPr>
              <w:t>霞关镇南关岛北侧港口处</w:t>
            </w:r>
          </w:p>
        </w:tc>
        <w:tc>
          <w:tcPr>
            <w:tcW w:w="4009" w:type="dxa"/>
            <w:noWrap w:val="0"/>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eastAsia" w:ascii="Times New Roman" w:hAnsi="Times New Roman" w:cs="Times New Roman"/>
                <w:color w:val="000000"/>
                <w:kern w:val="0"/>
                <w:sz w:val="24"/>
                <w:szCs w:val="24"/>
                <w:lang w:bidi="ar"/>
              </w:rPr>
              <w:t>温州市苍南县霞关镇南关岛</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船舶</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2000kg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18</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sz w:val="24"/>
              </w:rPr>
            </w:pPr>
            <w:r>
              <w:rPr>
                <w:rFonts w:hint="default"/>
                <w:color w:val="000000"/>
                <w:kern w:val="0"/>
                <w:sz w:val="24"/>
                <w:lang w:bidi="ar"/>
              </w:rPr>
              <w:t>嘉兴</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场前站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嘉兴市海盐县东西大道碧桂园海湾1号旁</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2024</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19</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湘湖大道站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嘉兴市南湖区三环东路与湘湖大道交叉口西北侧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20</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524国道服务区加氢站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嘉兴市秀洲区G524国道秀洲新塍至王店公路服务区（X102嘉湖公路与G524国道交叉口）</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2024</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国省道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2000kg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21</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 xml:space="preserve">嘉善朱枫路综合服务站 </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嘉兴市嘉善县朱枫公路中石油加油站附近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2024</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国省道</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3500kg</w:t>
            </w:r>
            <w:r>
              <w:rPr>
                <w:rFonts w:hint="eastAsia"/>
                <w:color w:val="000000"/>
                <w:kern w:val="0"/>
                <w:sz w:val="24"/>
                <w:lang w:eastAsia="zh-CN" w:bidi="ar"/>
              </w:rPr>
              <w:t>（</w:t>
            </w:r>
            <w:r>
              <w:rPr>
                <w:rFonts w:hint="default"/>
                <w:color w:val="000000"/>
                <w:kern w:val="0"/>
                <w:sz w:val="24"/>
                <w:lang w:bidi="ar"/>
              </w:rPr>
              <w:t>二级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22</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S12申嘉湖高速嘉善服务区</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嘉兴市嘉善县S12申嘉湖高速服务区沿线嘉善服务区（北侧）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高速</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5000kg</w:t>
            </w:r>
            <w:r>
              <w:rPr>
                <w:rFonts w:hint="eastAsia"/>
                <w:color w:val="000000"/>
                <w:kern w:val="0"/>
                <w:sz w:val="24"/>
                <w:lang w:eastAsia="zh-CN" w:bidi="ar"/>
              </w:rPr>
              <w:t>（</w:t>
            </w:r>
            <w:r>
              <w:rPr>
                <w:rFonts w:hint="default"/>
                <w:color w:val="000000"/>
                <w:kern w:val="0"/>
                <w:sz w:val="24"/>
                <w:lang w:bidi="ar"/>
              </w:rPr>
              <w:t>一级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23</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S12申嘉湖高速嘉善服务区</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嘉兴市嘉善县S12申嘉湖高速服务区沿线嘉善服务区（南侧）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高速</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5000kg</w:t>
            </w:r>
            <w:r>
              <w:rPr>
                <w:rFonts w:hint="eastAsia"/>
                <w:color w:val="000000"/>
                <w:kern w:val="0"/>
                <w:sz w:val="24"/>
                <w:lang w:eastAsia="zh-CN" w:bidi="ar"/>
              </w:rPr>
              <w:t>（</w:t>
            </w:r>
            <w:r>
              <w:rPr>
                <w:rFonts w:hint="default"/>
                <w:color w:val="000000"/>
                <w:kern w:val="0"/>
                <w:sz w:val="24"/>
                <w:lang w:bidi="ar"/>
              </w:rPr>
              <w:t>一级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24</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沪平城际铁路港区站附近综合功能站（预留）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嘉兴港区沪平城际铁路港区站附近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2000kg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25</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氢能船舶加氢站（预留）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嘉兴港区乍浦塘内河码头附近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1000kg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26</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绍兴</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G1512高速加氢站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绍兴市嵊州市甬金高速服务区（东侧）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高速</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5000kg</w:t>
            </w:r>
            <w:r>
              <w:rPr>
                <w:rFonts w:hint="eastAsia"/>
                <w:color w:val="000000"/>
                <w:kern w:val="0"/>
                <w:sz w:val="24"/>
                <w:lang w:eastAsia="zh-CN" w:bidi="ar"/>
              </w:rPr>
              <w:t>（</w:t>
            </w:r>
            <w:r>
              <w:rPr>
                <w:rFonts w:hint="default"/>
                <w:color w:val="000000"/>
                <w:kern w:val="0"/>
                <w:sz w:val="24"/>
                <w:lang w:bidi="ar"/>
              </w:rPr>
              <w:t>一级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27</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G1512高速加氢站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绍兴市嵊州市甬金高速服务区（西侧）</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高速</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5000kg</w:t>
            </w:r>
            <w:r>
              <w:rPr>
                <w:rFonts w:hint="eastAsia"/>
                <w:color w:val="000000"/>
                <w:kern w:val="0"/>
                <w:sz w:val="24"/>
                <w:lang w:eastAsia="zh-CN" w:bidi="ar"/>
              </w:rPr>
              <w:t>（</w:t>
            </w:r>
            <w:r>
              <w:rPr>
                <w:rFonts w:hint="default"/>
                <w:color w:val="000000"/>
                <w:kern w:val="0"/>
                <w:sz w:val="24"/>
                <w:lang w:bidi="ar"/>
              </w:rPr>
              <w:t>一级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28</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嵊州市客运中心加氢站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绍兴市嵊州市嵊州大道397号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default"/>
                <w:color w:val="000000"/>
                <w:kern w:val="0"/>
                <w:sz w:val="24"/>
                <w:lang w:bidi="ar"/>
              </w:rPr>
              <w:t>29</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中石化世纪大道站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ascii="Times New Roman" w:hAnsi="Times New Roman" w:cs="Times New Roman"/>
                <w:color w:val="000000"/>
                <w:spacing w:val="-17"/>
                <w:kern w:val="0"/>
                <w:sz w:val="24"/>
                <w:lang w:bidi="ar"/>
              </w:rPr>
              <w:t>绍兴市滨海新区沥海镇世纪大道南桥村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000000"/>
                <w:kern w:val="0"/>
                <w:sz w:val="24"/>
                <w:szCs w:val="24"/>
                <w:lang w:val="en-US" w:eastAsia="zh-CN" w:bidi="ar"/>
              </w:rPr>
            </w:pPr>
            <w:r>
              <w:rPr>
                <w:rFonts w:hint="eastAsia"/>
                <w:color w:val="000000"/>
                <w:kern w:val="0"/>
                <w:sz w:val="24"/>
                <w:lang w:val="en-US" w:eastAsia="zh-CN" w:bidi="ar"/>
              </w:rPr>
              <w:t>30</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中石化上虞光明站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绍兴市上虞区曹娥街道腾达路</w:t>
            </w:r>
            <w:r>
              <w:rPr>
                <w:rFonts w:hint="eastAsia"/>
                <w:color w:val="000000"/>
                <w:kern w:val="0"/>
                <w:sz w:val="24"/>
                <w:lang w:val="en-US" w:eastAsia="zh-CN" w:bidi="ar"/>
              </w:rPr>
              <w:t>1</w:t>
            </w:r>
            <w:r>
              <w:rPr>
                <w:rFonts w:hint="default"/>
                <w:color w:val="000000"/>
                <w:kern w:val="0"/>
                <w:sz w:val="24"/>
                <w:lang w:bidi="ar"/>
              </w:rPr>
              <w:t>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31</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中石化天车罗村站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绍兴市诸暨市暨阳街道天车罗村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3</w:t>
            </w:r>
            <w:r>
              <w:rPr>
                <w:rFonts w:hint="eastAsia"/>
                <w:color w:val="000000"/>
                <w:kern w:val="0"/>
                <w:sz w:val="24"/>
                <w:lang w:val="en-US" w:eastAsia="zh-CN" w:bidi="ar"/>
              </w:rPr>
              <w:t>2</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金华</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黄宅车站加氢站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金华市浦江县兴业路42号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3</w:t>
            </w:r>
            <w:r>
              <w:rPr>
                <w:rFonts w:hint="eastAsia"/>
                <w:color w:val="000000"/>
                <w:kern w:val="0"/>
                <w:sz w:val="24"/>
                <w:lang w:val="en-US" w:eastAsia="zh-CN" w:bidi="ar"/>
              </w:rPr>
              <w:t>3</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永康市客运中心附近加氢站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金华市永康市江南街道溪心路与五金大道交叉口附近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34</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浙江凤登绿能环保股份有限公司</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兰溪市兰江街道上园路7777号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val="en-US" w:eastAsia="zh-CN" w:bidi="ar"/>
              </w:rPr>
            </w:pPr>
            <w:r>
              <w:rPr>
                <w:rFonts w:hint="eastAsia"/>
                <w:color w:val="000000"/>
                <w:kern w:val="0"/>
                <w:sz w:val="24"/>
                <w:lang w:val="en-US" w:eastAsia="zh-CN" w:bidi="ar"/>
              </w:rPr>
              <w:t>35</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东阳汽车东站加氢站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ascii="Times New Roman" w:hAnsi="Times New Roman" w:cs="Times New Roman"/>
                <w:color w:val="000000"/>
                <w:spacing w:val="-17"/>
                <w:kern w:val="0"/>
                <w:sz w:val="24"/>
                <w:lang w:bidi="ar"/>
              </w:rPr>
              <w:t>金华市东阳市吴宁街道吴宁东路176号</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color w:val="000000"/>
                <w:kern w:val="0"/>
                <w:sz w:val="24"/>
                <w:lang w:val="en-US" w:eastAsia="zh-CN" w:bidi="ar"/>
              </w:rPr>
            </w:pPr>
            <w:r>
              <w:rPr>
                <w:rFonts w:hint="eastAsia"/>
                <w:color w:val="000000"/>
                <w:kern w:val="0"/>
                <w:sz w:val="24"/>
                <w:lang w:val="en-US" w:eastAsia="zh-CN"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36</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义乌青口物流加氢站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金华市义乌市东</w:t>
            </w:r>
            <w:r>
              <w:rPr>
                <w:rFonts w:hint="eastAsia"/>
                <w:color w:val="000000"/>
                <w:kern w:val="0"/>
                <w:sz w:val="24"/>
                <w:lang w:val="en-US" w:eastAsia="zh-CN" w:bidi="ar"/>
              </w:rPr>
              <w:t>义</w:t>
            </w:r>
            <w:r>
              <w:rPr>
                <w:rFonts w:hint="default"/>
                <w:color w:val="000000"/>
                <w:kern w:val="0"/>
                <w:sz w:val="24"/>
                <w:lang w:bidi="ar"/>
              </w:rPr>
              <w:t>路</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eastAsia"/>
                <w:color w:val="000000"/>
                <w:kern w:val="0"/>
                <w:sz w:val="24"/>
                <w:lang w:val="en-US" w:eastAsia="zh-CN"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37</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val="en-US" w:eastAsia="zh-CN" w:bidi="ar"/>
              </w:rPr>
            </w:pPr>
            <w:r>
              <w:rPr>
                <w:rFonts w:hint="eastAsia"/>
                <w:color w:val="000000"/>
                <w:kern w:val="0"/>
                <w:sz w:val="24"/>
                <w:lang w:val="en-US" w:eastAsia="zh-CN" w:bidi="ar"/>
              </w:rPr>
              <w:t>义乌公路港加氢站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金华市义乌市四海大道祥贝糖厂附近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eastAsia"/>
                <w:color w:val="000000"/>
                <w:kern w:val="0"/>
                <w:sz w:val="24"/>
                <w:lang w:val="en-US" w:eastAsia="zh-CN"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38</w:t>
            </w:r>
          </w:p>
        </w:tc>
        <w:tc>
          <w:tcPr>
            <w:tcW w:w="1154" w:type="dxa"/>
            <w:vMerge w:val="restart"/>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舟山</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 xml:space="preserve">新城加氢站 </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舟山市新城千岛街道或临城街道</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2023</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39</w:t>
            </w:r>
          </w:p>
        </w:tc>
        <w:tc>
          <w:tcPr>
            <w:tcW w:w="1154"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color w:val="000000"/>
                <w:kern w:val="0"/>
                <w:sz w:val="24"/>
                <w:lang w:bidi="ar"/>
              </w:rPr>
            </w:pP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岱山加氢站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舟山市岱山县岱西镇青黑村</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2024</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城镇</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eastAsia="仿宋_GB2312"/>
                <w:color w:val="000000"/>
                <w:kern w:val="0"/>
                <w:sz w:val="24"/>
                <w:lang w:val="en-US" w:eastAsia="zh-CN" w:bidi="ar"/>
              </w:rPr>
            </w:pPr>
            <w:r>
              <w:rPr>
                <w:rFonts w:hint="eastAsia"/>
                <w:color w:val="000000"/>
                <w:kern w:val="0"/>
                <w:sz w:val="24"/>
                <w:lang w:val="en-US" w:eastAsia="zh-CN" w:bidi="ar"/>
              </w:rPr>
              <w:t>40</w:t>
            </w:r>
          </w:p>
        </w:tc>
        <w:tc>
          <w:tcPr>
            <w:tcW w:w="115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丽水</w:t>
            </w:r>
          </w:p>
        </w:tc>
        <w:tc>
          <w:tcPr>
            <w:tcW w:w="322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丽水开发区余庄前综合供能服务站</w:t>
            </w:r>
          </w:p>
        </w:tc>
        <w:tc>
          <w:tcPr>
            <w:tcW w:w="4009"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丽水开发区机场大道与枫岭街东北角</w:t>
            </w:r>
          </w:p>
        </w:tc>
        <w:tc>
          <w:tcPr>
            <w:tcW w:w="1344"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2025</w:t>
            </w:r>
          </w:p>
        </w:tc>
        <w:tc>
          <w:tcPr>
            <w:tcW w:w="161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default"/>
                <w:color w:val="000000"/>
                <w:kern w:val="0"/>
                <w:sz w:val="24"/>
                <w:lang w:bidi="ar"/>
              </w:rPr>
            </w:pPr>
            <w:r>
              <w:rPr>
                <w:rFonts w:hint="default"/>
                <w:color w:val="000000"/>
                <w:kern w:val="0"/>
                <w:sz w:val="24"/>
                <w:lang w:bidi="ar"/>
              </w:rPr>
              <w:t>产业园区</w:t>
            </w:r>
          </w:p>
        </w:tc>
        <w:tc>
          <w:tcPr>
            <w:tcW w:w="2441" w:type="dxa"/>
            <w:noWrap w:val="0"/>
            <w:vAlign w:val="center"/>
          </w:tcPr>
          <w:p>
            <w:pPr>
              <w:keepNext w:val="0"/>
              <w:keepLines w:val="0"/>
              <w:suppressLineNumbers w:val="0"/>
              <w:spacing w:before="0" w:beforeAutospacing="0" w:after="0" w:afterAutospacing="0" w:line="320" w:lineRule="exact"/>
              <w:ind w:left="0" w:right="0"/>
              <w:jc w:val="center"/>
              <w:textAlignment w:val="center"/>
              <w:rPr>
                <w:rFonts w:hint="eastAsia" w:eastAsia="仿宋_GB2312"/>
                <w:color w:val="000000"/>
                <w:kern w:val="0"/>
                <w:sz w:val="24"/>
                <w:lang w:eastAsia="zh-CN" w:bidi="ar"/>
              </w:rPr>
            </w:pPr>
            <w:r>
              <w:rPr>
                <w:rFonts w:hint="default"/>
                <w:color w:val="000000"/>
                <w:kern w:val="0"/>
                <w:sz w:val="24"/>
                <w:lang w:bidi="ar"/>
              </w:rPr>
              <w:t>500kg</w:t>
            </w:r>
            <w:r>
              <w:rPr>
                <w:rFonts w:hint="eastAsia"/>
                <w:color w:val="000000"/>
                <w:kern w:val="0"/>
                <w:sz w:val="24"/>
                <w:lang w:eastAsia="zh-CN" w:bidi="ar"/>
              </w:rPr>
              <w:t>（</w:t>
            </w:r>
            <w:r>
              <w:rPr>
                <w:rFonts w:hint="default"/>
                <w:color w:val="000000"/>
                <w:kern w:val="0"/>
                <w:sz w:val="24"/>
                <w:lang w:bidi="ar"/>
              </w:rPr>
              <w:t>三级</w:t>
            </w:r>
            <w:r>
              <w:rPr>
                <w:rFonts w:hint="eastAsia"/>
                <w:color w:val="000000"/>
                <w:kern w:val="0"/>
                <w:sz w:val="24"/>
                <w:lang w:eastAsia="zh-CN" w:bidi="ar"/>
              </w:rPr>
              <w:t>）</w:t>
            </w:r>
          </w:p>
        </w:tc>
      </w:tr>
    </w:tbl>
    <w:p>
      <w:pPr>
        <w:spacing w:line="20" w:lineRule="exact"/>
      </w:pPr>
    </w:p>
    <w:p>
      <w:pPr>
        <w:keepNext w:val="0"/>
        <w:keepLines w:val="0"/>
        <w:pageBreakBefore w:val="0"/>
        <w:widowControl w:val="0"/>
        <w:kinsoku/>
        <w:wordWrap/>
        <w:overflowPunct/>
        <w:topLinePunct w:val="0"/>
        <w:autoSpaceDE/>
        <w:autoSpaceDN/>
        <w:bidi w:val="0"/>
        <w:adjustRightInd/>
        <w:snapToGrid/>
        <w:spacing w:line="579" w:lineRule="exact"/>
        <w:ind w:right="0" w:rightChars="0"/>
        <w:jc w:val="left"/>
        <w:textAlignment w:val="auto"/>
        <w:outlineLvl w:val="9"/>
        <w:rPr>
          <w:rFonts w:hint="default" w:ascii="Times New Roman" w:hAnsi="Times New Roman" w:cs="Times New Roman"/>
          <w:spacing w:val="0"/>
          <w:kern w:val="2"/>
        </w:rPr>
      </w:pPr>
    </w:p>
    <w:p>
      <w:pPr>
        <w:keepNext w:val="0"/>
        <w:keepLines w:val="0"/>
        <w:pageBreakBefore w:val="0"/>
        <w:widowControl w:val="0"/>
        <w:kinsoku/>
        <w:wordWrap/>
        <w:overflowPunct/>
        <w:topLinePunct w:val="0"/>
        <w:autoSpaceDE/>
        <w:autoSpaceDN/>
        <w:bidi w:val="0"/>
        <w:adjustRightInd/>
        <w:snapToGrid/>
        <w:spacing w:line="579" w:lineRule="exact"/>
        <w:ind w:right="0" w:rightChars="0"/>
        <w:jc w:val="left"/>
        <w:textAlignment w:val="auto"/>
        <w:outlineLvl w:val="9"/>
        <w:rPr>
          <w:rFonts w:hint="default" w:ascii="Times New Roman" w:hAnsi="Times New Roman" w:cs="Times New Roman"/>
          <w:spacing w:val="0"/>
          <w:kern w:val="2"/>
        </w:rPr>
      </w:pPr>
    </w:p>
    <w:p>
      <w:pPr>
        <w:keepNext w:val="0"/>
        <w:keepLines w:val="0"/>
        <w:pageBreakBefore w:val="0"/>
        <w:widowControl w:val="0"/>
        <w:kinsoku/>
        <w:wordWrap/>
        <w:overflowPunct/>
        <w:topLinePunct w:val="0"/>
        <w:autoSpaceDE/>
        <w:autoSpaceDN/>
        <w:bidi w:val="0"/>
        <w:adjustRightInd/>
        <w:snapToGrid/>
        <w:spacing w:line="579" w:lineRule="exact"/>
        <w:ind w:right="0" w:rightChars="0"/>
        <w:jc w:val="left"/>
        <w:textAlignment w:val="auto"/>
        <w:outlineLvl w:val="9"/>
        <w:rPr>
          <w:rFonts w:hint="default" w:ascii="Times New Roman" w:hAnsi="Times New Roman" w:cs="Times New Roman"/>
          <w:spacing w:val="0"/>
          <w:kern w:val="2"/>
        </w:rPr>
      </w:pPr>
    </w:p>
    <w:p>
      <w:pPr>
        <w:keepNext w:val="0"/>
        <w:keepLines w:val="0"/>
        <w:pageBreakBefore w:val="0"/>
        <w:widowControl w:val="0"/>
        <w:kinsoku/>
        <w:wordWrap/>
        <w:overflowPunct/>
        <w:topLinePunct w:val="0"/>
        <w:autoSpaceDE/>
        <w:autoSpaceDN/>
        <w:bidi w:val="0"/>
        <w:adjustRightInd/>
        <w:snapToGrid/>
        <w:spacing w:line="579" w:lineRule="exact"/>
        <w:ind w:right="0" w:rightChars="0"/>
        <w:jc w:val="left"/>
        <w:textAlignment w:val="auto"/>
        <w:outlineLvl w:val="9"/>
        <w:rPr>
          <w:rFonts w:hint="default" w:ascii="Times New Roman" w:hAnsi="Times New Roman" w:cs="Times New Roman"/>
          <w:spacing w:val="0"/>
          <w:kern w:val="2"/>
        </w:rPr>
      </w:pPr>
    </w:p>
    <w:p>
      <w:pPr>
        <w:keepNext w:val="0"/>
        <w:keepLines w:val="0"/>
        <w:pageBreakBefore w:val="0"/>
        <w:widowControl w:val="0"/>
        <w:kinsoku/>
        <w:wordWrap/>
        <w:overflowPunct/>
        <w:topLinePunct w:val="0"/>
        <w:autoSpaceDE/>
        <w:autoSpaceDN/>
        <w:bidi w:val="0"/>
        <w:adjustRightInd/>
        <w:snapToGrid/>
        <w:spacing w:line="579" w:lineRule="exact"/>
        <w:ind w:right="0" w:rightChars="0"/>
        <w:jc w:val="left"/>
        <w:textAlignment w:val="auto"/>
        <w:outlineLvl w:val="9"/>
        <w:rPr>
          <w:rFonts w:hint="default" w:ascii="Times New Roman" w:hAnsi="Times New Roman" w:cs="Times New Roman"/>
          <w:spacing w:val="0"/>
          <w:kern w:val="2"/>
        </w:rPr>
      </w:pPr>
    </w:p>
    <w:p>
      <w:pPr>
        <w:keepNext w:val="0"/>
        <w:keepLines w:val="0"/>
        <w:pageBreakBefore w:val="0"/>
        <w:widowControl w:val="0"/>
        <w:kinsoku/>
        <w:wordWrap/>
        <w:overflowPunct/>
        <w:topLinePunct w:val="0"/>
        <w:autoSpaceDE/>
        <w:autoSpaceDN/>
        <w:bidi w:val="0"/>
        <w:adjustRightInd/>
        <w:snapToGrid/>
        <w:spacing w:line="579" w:lineRule="exact"/>
        <w:ind w:right="0" w:rightChars="0"/>
        <w:jc w:val="left"/>
        <w:textAlignment w:val="auto"/>
        <w:outlineLvl w:val="9"/>
        <w:rPr>
          <w:rFonts w:hint="default" w:ascii="Times New Roman" w:hAnsi="Times New Roman" w:cs="Times New Roman"/>
          <w:spacing w:val="0"/>
          <w:kern w:val="2"/>
        </w:rPr>
      </w:pPr>
    </w:p>
    <w:p>
      <w:pPr>
        <w:keepNext w:val="0"/>
        <w:keepLines w:val="0"/>
        <w:pageBreakBefore w:val="0"/>
        <w:widowControl w:val="0"/>
        <w:kinsoku/>
        <w:wordWrap/>
        <w:overflowPunct/>
        <w:topLinePunct w:val="0"/>
        <w:autoSpaceDE/>
        <w:autoSpaceDN/>
        <w:bidi w:val="0"/>
        <w:adjustRightInd/>
        <w:snapToGrid/>
        <w:spacing w:line="579" w:lineRule="exact"/>
        <w:ind w:right="0" w:rightChars="0"/>
        <w:jc w:val="left"/>
        <w:textAlignment w:val="auto"/>
        <w:outlineLvl w:val="9"/>
        <w:rPr>
          <w:rFonts w:hint="default" w:ascii="Times New Roman" w:hAnsi="Times New Roman" w:cs="Times New Roman"/>
          <w:spacing w:val="0"/>
          <w:kern w:val="2"/>
        </w:rPr>
      </w:pPr>
    </w:p>
    <w:p>
      <w:pPr>
        <w:keepNext w:val="0"/>
        <w:keepLines w:val="0"/>
        <w:pageBreakBefore w:val="0"/>
        <w:widowControl w:val="0"/>
        <w:kinsoku/>
        <w:wordWrap/>
        <w:overflowPunct/>
        <w:topLinePunct w:val="0"/>
        <w:autoSpaceDE/>
        <w:autoSpaceDN/>
        <w:bidi w:val="0"/>
        <w:adjustRightInd/>
        <w:snapToGrid/>
        <w:spacing w:line="579" w:lineRule="exact"/>
        <w:ind w:right="0" w:rightChars="0"/>
        <w:jc w:val="left"/>
        <w:textAlignment w:val="auto"/>
        <w:outlineLvl w:val="9"/>
        <w:rPr>
          <w:rFonts w:hint="default" w:ascii="Times New Roman" w:hAnsi="Times New Roman" w:cs="Times New Roman"/>
          <w:spacing w:val="0"/>
          <w:kern w:val="2"/>
        </w:rPr>
      </w:pPr>
    </w:p>
    <w:p>
      <w:pPr>
        <w:keepNext w:val="0"/>
        <w:keepLines w:val="0"/>
        <w:pageBreakBefore w:val="0"/>
        <w:widowControl w:val="0"/>
        <w:kinsoku/>
        <w:wordWrap/>
        <w:overflowPunct/>
        <w:topLinePunct w:val="0"/>
        <w:autoSpaceDE/>
        <w:autoSpaceDN/>
        <w:bidi w:val="0"/>
        <w:adjustRightInd/>
        <w:snapToGrid/>
        <w:spacing w:line="579" w:lineRule="exact"/>
        <w:ind w:right="0" w:rightChars="0"/>
        <w:jc w:val="left"/>
        <w:textAlignment w:val="auto"/>
        <w:outlineLvl w:val="9"/>
        <w:rPr>
          <w:rFonts w:hint="default" w:ascii="Times New Roman" w:hAnsi="Times New Roman" w:cs="Times New Roman"/>
          <w:spacing w:val="0"/>
          <w:kern w:val="2"/>
        </w:rPr>
        <w:sectPr>
          <w:footerReference r:id="rId6" w:type="default"/>
          <w:footerReference r:id="rId7" w:type="even"/>
          <w:pgSz w:w="16838" w:h="11906" w:orient="landscape"/>
          <w:pgMar w:top="1134" w:right="1134" w:bottom="1134" w:left="1134" w:header="851" w:footer="1020" w:gutter="0"/>
          <w:pgNumType w:fmt="decimal"/>
          <w:cols w:space="720" w:num="1"/>
          <w:rtlGutter w:val="0"/>
          <w:docGrid w:type="linesAndChars" w:linePitch="602" w:charSpace="1616"/>
        </w:sectPr>
      </w:pPr>
    </w:p>
    <w:p>
      <w:bookmarkStart w:id="155" w:name="_GoBack"/>
      <w:bookmarkEnd w:id="155"/>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_HKSCS">
    <w:altName w:val="PMingLiU-ExtB"/>
    <w:panose1 w:val="02020500000000000000"/>
    <w:charset w:val="88"/>
    <w:family w:val="roman"/>
    <w:pitch w:val="default"/>
    <w:sig w:usb0="00000000" w:usb1="00000000" w:usb2="00000016" w:usb3="00000000" w:csb0="00100001"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jc w:val="center"/>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0kBJ9tIBAACiAwAADgAAAAAAAAABACAAAAAfAQAA&#10;ZHJzL2Uyb0RvYy54bWxQSwUGAAAAAAYABgBZAQAAYwUAAAAA&#10;">
              <v:path/>
              <v:fill on="f" focussize="0,0"/>
              <v:stroke on="f" weight="0.5pt"/>
              <v:imagedata o:title=""/>
              <o:lock v:ext="edit" aspectratio="f"/>
              <v:textbox inset="0mm,0mm,0mm,0mm" style="mso-fit-shape-to-text:t;">
                <w:txbxContent>
                  <w:p>
                    <w:pPr>
                      <w:pStyle w:val="6"/>
                      <w:jc w:val="center"/>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val="0"/>
      <w:overflowPunct w:val="0"/>
      <w:topLinePunct w:val="0"/>
      <w:autoSpaceDE w:val="0"/>
      <w:autoSpaceDN w:val="0"/>
      <w:bidi w:val="0"/>
      <w:adjustRightInd w:val="0"/>
      <w:snapToGrid/>
      <w:spacing w:line="400" w:lineRule="exact"/>
      <w:ind w:left="0" w:leftChars="0" w:right="308" w:rightChars="100" w:firstLine="0" w:firstLineChars="0"/>
      <w:jc w:val="right"/>
      <w:textAlignment w:val="baseline"/>
      <w:outlineLvl w:val="9"/>
      <w:rPr>
        <w:rFonts w:hint="default" w:ascii="Times New Roman" w:hAnsi="Times New Roman" w:eastAsia="宋体" w:cs="Times New Roman"/>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6"/>
                            <w:keepNext w:val="0"/>
                            <w:keepLines w:val="0"/>
                            <w:pageBreakBefore w:val="0"/>
                            <w:widowControl w:val="0"/>
                            <w:kinsoku/>
                            <w:wordWrap w:val="0"/>
                            <w:overflowPunct w:val="0"/>
                            <w:topLinePunct w:val="0"/>
                            <w:autoSpaceDE w:val="0"/>
                            <w:autoSpaceDN w:val="0"/>
                            <w:bidi w:val="0"/>
                            <w:adjustRightInd w:val="0"/>
                            <w:snapToGrid/>
                            <w:spacing w:line="400" w:lineRule="exact"/>
                            <w:ind w:left="0" w:leftChars="0" w:right="0" w:rightChars="0" w:firstLine="0" w:firstLineChars="0"/>
                            <w:jc w:val="right"/>
                            <w:textAlignment w:val="baseline"/>
                            <w:outlineLvl w:val="9"/>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fldChar w:fldCharType="begin"/>
                          </w:r>
                          <w:r>
                            <w:rPr>
                              <w:rFonts w:hint="default" w:ascii="Times New Roman" w:hAnsi="Times New Roman" w:eastAsia="宋体" w:cs="Times New Roman"/>
                              <w:sz w:val="18"/>
                              <w:szCs w:val="18"/>
                              <w:lang w:eastAsia="zh-CN"/>
                            </w:rPr>
                            <w:instrText xml:space="preserve"> PAGE  \* MERGEFORMAT </w:instrText>
                          </w:r>
                          <w:r>
                            <w:rPr>
                              <w:rFonts w:hint="default" w:ascii="Times New Roman" w:hAnsi="Times New Roman" w:eastAsia="宋体" w:cs="Times New Roman"/>
                              <w:sz w:val="18"/>
                              <w:szCs w:val="18"/>
                              <w:lang w:eastAsia="zh-CN"/>
                            </w:rPr>
                            <w:fldChar w:fldCharType="separate"/>
                          </w:r>
                          <w:r>
                            <w:rPr>
                              <w:rFonts w:hint="default" w:ascii="Times New Roman" w:hAnsi="Times New Roman" w:eastAsia="宋体" w:cs="Times New Roman"/>
                              <w:sz w:val="18"/>
                              <w:szCs w:val="18"/>
                              <w:lang w:eastAsia="zh-CN"/>
                            </w:rPr>
                            <w:t>1</w:t>
                          </w:r>
                          <w:r>
                            <w:rPr>
                              <w:rFonts w:hint="default" w:ascii="Times New Roman" w:hAnsi="Times New Roman" w:eastAsia="宋体" w:cs="Times New Roman"/>
                              <w:sz w:val="18"/>
                              <w:szCs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path/>
              <v:fill on="f" focussize="0,0"/>
              <v:stroke on="f" weight="1.25pt"/>
              <v:imagedata o:title=""/>
              <o:lock v:ext="edit" aspectratio="f"/>
              <v:textbox inset="0mm,0mm,0mm,0mm" style="mso-fit-shape-to-text:t;">
                <w:txbxContent>
                  <w:p>
                    <w:pPr>
                      <w:pStyle w:val="6"/>
                      <w:keepNext w:val="0"/>
                      <w:keepLines w:val="0"/>
                      <w:pageBreakBefore w:val="0"/>
                      <w:widowControl w:val="0"/>
                      <w:kinsoku/>
                      <w:wordWrap w:val="0"/>
                      <w:overflowPunct w:val="0"/>
                      <w:topLinePunct w:val="0"/>
                      <w:autoSpaceDE w:val="0"/>
                      <w:autoSpaceDN w:val="0"/>
                      <w:bidi w:val="0"/>
                      <w:adjustRightInd w:val="0"/>
                      <w:snapToGrid/>
                      <w:spacing w:line="400" w:lineRule="exact"/>
                      <w:ind w:left="0" w:leftChars="0" w:right="0" w:rightChars="0" w:firstLine="0" w:firstLineChars="0"/>
                      <w:jc w:val="right"/>
                      <w:textAlignment w:val="baseline"/>
                      <w:outlineLvl w:val="9"/>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fldChar w:fldCharType="begin"/>
                    </w:r>
                    <w:r>
                      <w:rPr>
                        <w:rFonts w:hint="default" w:ascii="Times New Roman" w:hAnsi="Times New Roman" w:eastAsia="宋体" w:cs="Times New Roman"/>
                        <w:sz w:val="18"/>
                        <w:szCs w:val="18"/>
                        <w:lang w:eastAsia="zh-CN"/>
                      </w:rPr>
                      <w:instrText xml:space="preserve"> PAGE  \* MERGEFORMAT </w:instrText>
                    </w:r>
                    <w:r>
                      <w:rPr>
                        <w:rFonts w:hint="default" w:ascii="Times New Roman" w:hAnsi="Times New Roman" w:eastAsia="宋体" w:cs="Times New Roman"/>
                        <w:sz w:val="18"/>
                        <w:szCs w:val="18"/>
                        <w:lang w:eastAsia="zh-CN"/>
                      </w:rPr>
                      <w:fldChar w:fldCharType="separate"/>
                    </w:r>
                    <w:r>
                      <w:rPr>
                        <w:rFonts w:hint="default" w:ascii="Times New Roman" w:hAnsi="Times New Roman" w:eastAsia="宋体" w:cs="Times New Roman"/>
                        <w:sz w:val="18"/>
                        <w:szCs w:val="18"/>
                        <w:lang w:eastAsia="zh-CN"/>
                      </w:rPr>
                      <w:t>1</w:t>
                    </w:r>
                    <w:r>
                      <w:rPr>
                        <w:rFonts w:hint="default" w:ascii="Times New Roman" w:hAnsi="Times New Roman" w:eastAsia="宋体" w:cs="Times New Roman"/>
                        <w:sz w:val="18"/>
                        <w:szCs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val="0"/>
      <w:topLinePunct w:val="0"/>
      <w:autoSpaceDE w:val="0"/>
      <w:autoSpaceDN w:val="0"/>
      <w:bidi w:val="0"/>
      <w:adjustRightInd w:val="0"/>
      <w:snapToGrid/>
      <w:spacing w:line="400" w:lineRule="exact"/>
      <w:ind w:left="0" w:leftChars="0" w:right="0" w:rightChars="0" w:firstLine="0" w:firstLineChars="0"/>
      <w:jc w:val="right"/>
      <w:textAlignment w:val="baseline"/>
      <w:outlineLvl w:val="9"/>
      <w:rPr>
        <w:rStyle w:val="11"/>
        <w:rFonts w:hint="eastAsia" w:ascii="宋体" w:hAnsi="宋体" w:eastAsia="宋体"/>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line="240" w:lineRule="auto"/>
      </w:pPr>
      <w:r>
        <w:separator/>
      </w:r>
    </w:p>
  </w:footnote>
  <w:footnote w:type="continuationSeparator" w:id="7">
    <w:p>
      <w:pPr>
        <w:spacing w:line="240" w:lineRule="auto"/>
      </w:pPr>
      <w:r>
        <w:continuationSeparator/>
      </w:r>
    </w:p>
  </w:footnote>
  <w:footnote w:id="0">
    <w:p>
      <w:pPr>
        <w:pStyle w:val="7"/>
        <w:snapToGrid w:val="0"/>
        <w:rPr>
          <w:rFonts w:eastAsia="宋体"/>
          <w:lang w:eastAsia="zh-CN"/>
        </w:rPr>
      </w:pPr>
      <w:r>
        <w:rPr>
          <w:rStyle w:val="12"/>
          <w:rFonts w:ascii="Times New Roman" w:hAnsi="Times New Roman" w:cs="Times New Roman"/>
        </w:rPr>
        <w:footnoteRef/>
      </w:r>
      <w:r>
        <w:t xml:space="preserve"> </w:t>
      </w:r>
      <w:r>
        <w:rPr>
          <w:rFonts w:hint="eastAsia"/>
          <w:lang w:eastAsia="zh-CN"/>
        </w:rPr>
        <w:t>纯氢站是指</w:t>
      </w:r>
      <w:r>
        <w:rPr>
          <w:rFonts w:hint="eastAsia"/>
        </w:rPr>
        <w:t>单独建设的加氢站</w:t>
      </w:r>
      <w:r>
        <w:rPr>
          <w:rFonts w:hint="eastAsia"/>
          <w:lang w:eastAsia="zh-CN"/>
        </w:rPr>
        <w:t>。</w:t>
      </w:r>
    </w:p>
  </w:footnote>
  <w:footnote w:id="1">
    <w:p>
      <w:pPr>
        <w:pStyle w:val="7"/>
        <w:snapToGrid w:val="0"/>
        <w:rPr>
          <w:rFonts w:ascii="Times New Roman" w:hAnsi="Times New Roman" w:eastAsia="宋体" w:cs="Times New Roman"/>
          <w:lang w:eastAsia="zh-CN"/>
        </w:rPr>
      </w:pPr>
      <w:r>
        <w:rPr>
          <w:rStyle w:val="12"/>
          <w:rFonts w:ascii="Times New Roman" w:hAnsi="Times New Roman" w:cs="Times New Roman"/>
        </w:rPr>
        <w:footnoteRef/>
      </w:r>
      <w:r>
        <w:rPr>
          <w:rFonts w:ascii="Times New Roman" w:hAnsi="Times New Roman" w:cs="Times New Roman"/>
        </w:rPr>
        <w:t xml:space="preserve"> 合建站</w:t>
      </w:r>
      <w:r>
        <w:rPr>
          <w:rFonts w:hint="eastAsia" w:ascii="Times New Roman" w:hAnsi="Times New Roman" w:cs="Times New Roman"/>
          <w:lang w:eastAsia="zh-CN"/>
        </w:rPr>
        <w:t>是指加氢与</w:t>
      </w:r>
      <w:r>
        <w:rPr>
          <w:rFonts w:ascii="Times New Roman" w:hAnsi="Times New Roman" w:cs="Times New Roman"/>
        </w:rPr>
        <w:t>加油</w:t>
      </w:r>
      <w:r>
        <w:rPr>
          <w:rFonts w:hint="eastAsia" w:ascii="Times New Roman" w:hAnsi="Times New Roman" w:cs="Times New Roman"/>
          <w:lang w:eastAsia="zh-CN"/>
        </w:rPr>
        <w:t>、</w:t>
      </w:r>
      <w:r>
        <w:rPr>
          <w:rFonts w:ascii="Times New Roman" w:hAnsi="Times New Roman" w:cs="Times New Roman"/>
        </w:rPr>
        <w:t>加气</w:t>
      </w:r>
      <w:r>
        <w:rPr>
          <w:rFonts w:hint="eastAsia" w:ascii="Times New Roman" w:hAnsi="Times New Roman" w:cs="Times New Roman"/>
          <w:lang w:eastAsia="zh-CN"/>
        </w:rPr>
        <w:t>、</w:t>
      </w:r>
      <w:r>
        <w:rPr>
          <w:rFonts w:ascii="Times New Roman" w:hAnsi="Times New Roman" w:cs="Times New Roman"/>
          <w:lang w:eastAsia="zh-CN"/>
        </w:rPr>
        <w:t>充电</w:t>
      </w:r>
      <w:r>
        <w:rPr>
          <w:rFonts w:hint="eastAsia" w:ascii="Times New Roman" w:hAnsi="Times New Roman" w:cs="Times New Roman"/>
          <w:lang w:eastAsia="zh-CN"/>
        </w:rPr>
        <w:t>等</w:t>
      </w:r>
      <w:r>
        <w:rPr>
          <w:rFonts w:ascii="Times New Roman" w:hAnsi="Times New Roman" w:cs="Times New Roman"/>
          <w:lang w:eastAsia="zh-CN"/>
        </w:rPr>
        <w:t>多种</w:t>
      </w:r>
      <w:r>
        <w:rPr>
          <w:rFonts w:hint="eastAsia" w:ascii="Times New Roman" w:hAnsi="Times New Roman" w:cs="Times New Roman"/>
          <w:lang w:eastAsia="zh-CN"/>
        </w:rPr>
        <w:t>合建的加氢站</w:t>
      </w:r>
      <w:r>
        <w:rPr>
          <w:rFonts w:ascii="Times New Roman" w:hAnsi="Times New Roman" w:cs="Times New Roman"/>
          <w:lang w:eastAsia="zh-CN"/>
        </w:rPr>
        <w:t>。</w:t>
      </w:r>
    </w:p>
  </w:footnote>
  <w:footnote w:id="2">
    <w:p>
      <w:pPr>
        <w:pStyle w:val="7"/>
        <w:snapToGrid w:val="0"/>
      </w:pPr>
      <w:r>
        <w:rPr>
          <w:rStyle w:val="12"/>
          <w:rFonts w:ascii="Times New Roman" w:hAnsi="Times New Roman" w:cs="Times New Roman"/>
        </w:rPr>
        <w:footnoteRef/>
      </w:r>
      <w:r>
        <w:t xml:space="preserve"> </w:t>
      </w:r>
      <w:r>
        <w:rPr>
          <w:rFonts w:hint="eastAsia"/>
          <w:lang w:eastAsia="zh-CN"/>
        </w:rPr>
        <w:t>“</w:t>
      </w:r>
      <w:r>
        <w:rPr>
          <w:rFonts w:hint="eastAsia"/>
          <w:lang w:val="en-US" w:eastAsia="zh-CN"/>
        </w:rPr>
        <w:t>实施类</w:t>
      </w:r>
      <w:r>
        <w:rPr>
          <w:rFonts w:hint="eastAsia"/>
          <w:lang w:eastAsia="zh-CN"/>
        </w:rPr>
        <w:t>”</w:t>
      </w:r>
      <w:r>
        <w:rPr>
          <w:rFonts w:hint="eastAsia"/>
          <w:lang w:val="en-US" w:eastAsia="zh-CN"/>
        </w:rPr>
        <w:t>站点是“十四五”期间前期工作成熟，近期可建设的站点（含已建），</w:t>
      </w:r>
      <w:r>
        <w:rPr>
          <w:rFonts w:hint="eastAsia"/>
          <w:lang w:eastAsia="zh-CN"/>
        </w:rPr>
        <w:t>“</w:t>
      </w:r>
      <w:r>
        <w:rPr>
          <w:rFonts w:hint="eastAsia"/>
          <w:lang w:val="en-US" w:eastAsia="zh-CN"/>
        </w:rPr>
        <w:t>储备类</w:t>
      </w:r>
      <w:r>
        <w:rPr>
          <w:rFonts w:hint="eastAsia"/>
          <w:lang w:eastAsia="zh-CN"/>
        </w:rPr>
        <w:t>”</w:t>
      </w:r>
      <w:r>
        <w:rPr>
          <w:rFonts w:hint="eastAsia"/>
          <w:lang w:val="en-US" w:eastAsia="zh-CN"/>
        </w:rPr>
        <w:t>站点可由地方视条件成熟度，</w:t>
      </w:r>
      <w:r>
        <w:rPr>
          <w:rFonts w:hint="eastAsia"/>
          <w:sz w:val="20"/>
          <w:szCs w:val="20"/>
          <w:lang w:eastAsia="zh-CN"/>
        </w:rPr>
        <w:t>根据交通、建设、土地等相关情况的变化，</w:t>
      </w:r>
      <w:r>
        <w:rPr>
          <w:rFonts w:hint="eastAsia"/>
          <w:szCs w:val="20"/>
          <w:lang w:eastAsia="zh-CN"/>
        </w:rPr>
        <w:t>按程序适时进行调整</w:t>
      </w:r>
      <w:r>
        <w:rPr>
          <w:rFonts w:hint="eastAsia"/>
          <w:lang w:val="en-US" w:eastAsia="zh-CN"/>
        </w:rPr>
        <w:t>转为“实施类”。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8EAA1"/>
    <w:multiLevelType w:val="multilevel"/>
    <w:tmpl w:val="A318EAA1"/>
    <w:lvl w:ilvl="0" w:tentative="0">
      <w:start w:val="1"/>
      <w:numFmt w:val="decimal"/>
      <w:pStyle w:val="2"/>
      <w:lvlText w:val="%1"/>
      <w:lvlJc w:val="left"/>
      <w:pPr>
        <w:ind w:left="431" w:hanging="431"/>
      </w:pPr>
      <w:rPr>
        <w:rFonts w:hint="eastAsia"/>
      </w:rPr>
    </w:lvl>
    <w:lvl w:ilvl="1" w:tentative="0">
      <w:start w:val="1"/>
      <w:numFmt w:val="decimal"/>
      <w:lvlText w:val="%1.%2"/>
      <w:lvlJc w:val="left"/>
      <w:pPr>
        <w:ind w:left="578" w:hanging="17"/>
      </w:pPr>
      <w:rPr>
        <w:rFonts w:hint="eastAsia"/>
      </w:rPr>
    </w:lvl>
    <w:lvl w:ilvl="2" w:tentative="0">
      <w:start w:val="1"/>
      <w:numFmt w:val="decimal"/>
      <w:lvlText w:val="%1.%2.%3"/>
      <w:lvlJc w:val="left"/>
      <w:pPr>
        <w:ind w:left="29" w:hanging="29"/>
      </w:pPr>
      <w:rPr>
        <w:rFonts w:hint="eastAsia"/>
      </w:rPr>
    </w:lvl>
    <w:lvl w:ilvl="3" w:tentative="0">
      <w:start w:val="1"/>
      <w:numFmt w:val="decimal"/>
      <w:lvlText w:val="%1.%2.%3.%4"/>
      <w:lvlJc w:val="left"/>
      <w:pPr>
        <w:ind w:left="390" w:hanging="390"/>
      </w:pPr>
      <w:rPr>
        <w:rFonts w:hint="eastAsia"/>
        <w:lang w:val="en-US"/>
      </w:rPr>
    </w:lvl>
    <w:lvl w:ilvl="4" w:tentative="0">
      <w:start w:val="1"/>
      <w:numFmt w:val="decimal"/>
      <w:lvlText w:val="%1.%2.%3.%4.%5"/>
      <w:lvlJc w:val="left"/>
      <w:pPr>
        <w:ind w:left="520" w:hanging="520"/>
      </w:pPr>
      <w:rPr>
        <w:rFonts w:hint="eastAsia"/>
        <w:b/>
        <w:sz w:val="28"/>
      </w:rPr>
    </w:lvl>
    <w:lvl w:ilvl="5" w:tentative="0">
      <w:start w:val="1"/>
      <w:numFmt w:val="decimal"/>
      <w:lvlText w:val="%1.%2.%3.%4.%5.%6"/>
      <w:lvlJc w:val="left"/>
      <w:pPr>
        <w:ind w:left="650" w:firstLine="431"/>
      </w:pPr>
      <w:rPr>
        <w:rFonts w:hint="eastAsia"/>
      </w:rPr>
    </w:lvl>
    <w:lvl w:ilvl="6" w:tentative="0">
      <w:start w:val="1"/>
      <w:numFmt w:val="decimal"/>
      <w:lvlText w:val="%1.%2.%3.%4.%5.%6.%7"/>
      <w:lvlJc w:val="left"/>
      <w:pPr>
        <w:ind w:left="780" w:firstLine="431"/>
      </w:pPr>
      <w:rPr>
        <w:rFonts w:hint="eastAsia"/>
      </w:rPr>
    </w:lvl>
    <w:lvl w:ilvl="7" w:tentative="0">
      <w:start w:val="1"/>
      <w:numFmt w:val="decimal"/>
      <w:lvlText w:val="%1.%2.%3.%4.%5.%6.%7.%8"/>
      <w:lvlJc w:val="left"/>
      <w:pPr>
        <w:ind w:left="910" w:firstLine="431"/>
      </w:pPr>
      <w:rPr>
        <w:rFonts w:hint="eastAsia"/>
      </w:rPr>
    </w:lvl>
    <w:lvl w:ilvl="8" w:tentative="0">
      <w:start w:val="1"/>
      <w:numFmt w:val="decimal"/>
      <w:lvlText w:val="%1.%2.%3.%4.%5.%6.%7.%8.%9"/>
      <w:lvlJc w:val="left"/>
      <w:pPr>
        <w:ind w:left="1040" w:firstLine="431"/>
      </w:pPr>
      <w:rPr>
        <w:rFonts w:hint="eastAsia"/>
      </w:rPr>
    </w:lvl>
  </w:abstractNum>
  <w:abstractNum w:abstractNumId="1">
    <w:nsid w:val="AF2BDF5B"/>
    <w:multiLevelType w:val="singleLevel"/>
    <w:tmpl w:val="AF2BDF5B"/>
    <w:lvl w:ilvl="0" w:tentative="0">
      <w:start w:val="1"/>
      <w:numFmt w:val="decimal"/>
      <w:suff w:val="space"/>
      <w:lvlText w:val="%1."/>
      <w:lvlJc w:val="left"/>
    </w:lvl>
  </w:abstractNum>
  <w:abstractNum w:abstractNumId="2">
    <w:nsid w:val="DD7D1D02"/>
    <w:multiLevelType w:val="singleLevel"/>
    <w:tmpl w:val="DD7D1D02"/>
    <w:lvl w:ilvl="0" w:tentative="0">
      <w:start w:val="1"/>
      <w:numFmt w:val="decimal"/>
      <w:suff w:val="space"/>
      <w:lvlText w:val="%1."/>
      <w:lvlJc w:val="left"/>
    </w:lvl>
  </w:abstractNum>
  <w:abstractNum w:abstractNumId="3">
    <w:nsid w:val="5EDEC3ED"/>
    <w:multiLevelType w:val="singleLevel"/>
    <w:tmpl w:val="5EDEC3ED"/>
    <w:lvl w:ilvl="0" w:tentative="0">
      <w:start w:val="1"/>
      <w:numFmt w:val="decimal"/>
      <w:suff w:val="space"/>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6"/>
    <w:footnote w:id="7"/>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hMDk1ODExMDBiOGYwNTkzM2IwODE0NTRhNzhjMjcifQ=="/>
  </w:docVars>
  <w:rsids>
    <w:rsidRoot w:val="57230B35"/>
    <w:rsid w:val="57230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tLeast"/>
      <w:jc w:val="both"/>
    </w:pPr>
    <w:rPr>
      <w:rFonts w:ascii="Times New Roman" w:hAnsi="Times New Roman" w:eastAsia="仿宋_GB2312" w:cs="Times New Roman"/>
      <w:spacing w:val="-6"/>
      <w:kern w:val="2"/>
      <w:sz w:val="32"/>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1" w:hanging="431"/>
      <w:outlineLvl w:val="0"/>
    </w:pPr>
    <w:rPr>
      <w:rFonts w:ascii="Calibri" w:hAnsi="Calibri" w:eastAsia="宋体" w:cs="Times New Roman"/>
      <w:b/>
      <w:spacing w:val="0"/>
      <w:kern w:val="44"/>
      <w:sz w:val="44"/>
      <w:szCs w:val="24"/>
    </w:rPr>
  </w:style>
  <w:style w:type="character" w:default="1" w:styleId="10">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Body Text"/>
    <w:basedOn w:val="1"/>
    <w:next w:val="5"/>
    <w:unhideWhenUsed/>
    <w:qFormat/>
    <w:uiPriority w:val="99"/>
    <w:pPr>
      <w:spacing w:after="120"/>
    </w:pPr>
  </w:style>
  <w:style w:type="paragraph" w:styleId="5">
    <w:name w:val="Body Text First Indent"/>
    <w:basedOn w:val="4"/>
    <w:qFormat/>
    <w:uiPriority w:val="0"/>
    <w:pPr>
      <w:ind w:firstLine="420" w:firstLineChars="100"/>
    </w:pPr>
    <w:rPr>
      <w:rFonts w:ascii="Calibri" w:hAnsi="Calibri" w:eastAsia="宋体"/>
      <w:sz w:val="21"/>
    </w:rPr>
  </w:style>
  <w:style w:type="paragraph" w:styleId="6">
    <w:name w:val="footer"/>
    <w:basedOn w:val="1"/>
    <w:uiPriority w:val="0"/>
    <w:pPr>
      <w:tabs>
        <w:tab w:val="center" w:pos="4153"/>
        <w:tab w:val="right" w:pos="8306"/>
      </w:tabs>
      <w:overflowPunct w:val="0"/>
      <w:autoSpaceDE w:val="0"/>
      <w:autoSpaceDN w:val="0"/>
      <w:adjustRightInd w:val="0"/>
      <w:spacing w:line="240" w:lineRule="atLeast"/>
      <w:jc w:val="both"/>
      <w:textAlignment w:val="baseline"/>
    </w:pPr>
    <w:rPr>
      <w:sz w:val="20"/>
    </w:rPr>
  </w:style>
  <w:style w:type="paragraph" w:styleId="7">
    <w:name w:val="footnote text"/>
    <w:basedOn w:val="1"/>
    <w:unhideWhenUsed/>
    <w:qFormat/>
    <w:uiPriority w:val="99"/>
    <w:pPr>
      <w:widowControl/>
      <w:jc w:val="left"/>
    </w:pPr>
    <w:rPr>
      <w:rFonts w:ascii="Calibri" w:hAnsi="Calibri" w:cs="Calibri"/>
      <w:kern w:val="0"/>
      <w:sz w:val="20"/>
      <w:szCs w:val="20"/>
      <w:lang w:eastAsia="zh-TW"/>
    </w:rPr>
  </w:style>
  <w:style w:type="paragraph" w:styleId="8">
    <w:name w:val="Normal (Web)"/>
    <w:basedOn w:val="1"/>
    <w:qFormat/>
    <w:uiPriority w:val="0"/>
    <w:pPr>
      <w:spacing w:beforeAutospacing="1" w:afterAutospacing="1"/>
      <w:jc w:val="left"/>
    </w:pPr>
    <w:rPr>
      <w:kern w:val="0"/>
      <w:sz w:val="24"/>
    </w:rPr>
  </w:style>
  <w:style w:type="character" w:styleId="11">
    <w:name w:val="page number"/>
    <w:basedOn w:val="10"/>
    <w:uiPriority w:val="0"/>
  </w:style>
  <w:style w:type="character" w:styleId="12">
    <w:name w:val="footnote reference"/>
    <w:basedOn w:val="10"/>
    <w:unhideWhenUsed/>
    <w:qFormat/>
    <w:uiPriority w:val="99"/>
    <w:rPr>
      <w:vertAlign w:val="superscript"/>
    </w:rPr>
  </w:style>
  <w:style w:type="paragraph" w:customStyle="1" w:styleId="13">
    <w:name w:val="0 正文三号"/>
    <w:basedOn w:val="1"/>
    <w:qFormat/>
    <w:uiPriority w:val="0"/>
    <w:pPr>
      <w:ind w:firstLine="560" w:firstLineChars="200"/>
    </w:pPr>
    <w:rPr>
      <w:rFonts w:ascii="仿宋_GB2312" w:hAnsi="楷体" w:cs="MingLiU_HKSCS"/>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2023-08-28T08:45:00Z</dcterms:created>
  <dc:creator>*</dc:creator>
  <cp:lastModifiedBy>*</cp:lastModifiedBy>
  <dcterms:modified xsi:type="dcterms:W3CDTF">2023-08-28T08:45:31Z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FAD3933C193146D0AD3BAC3F99144F84_11</vt:lpwstr>
  </property>
</Properties>
</file>