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topLinePunct w:val="0"/>
        <w:autoSpaceDE/>
        <w:autoSpaceDN/>
        <w:bidi w:val="0"/>
        <w:adjustRightInd/>
        <w:snapToGrid/>
        <w:spacing w:line="550" w:lineRule="exact"/>
        <w:jc w:val="left"/>
        <w:textAlignment w:val="auto"/>
        <w:outlineLvl w:val="0"/>
        <w:rPr>
          <w:rFonts w:hint="default" w:ascii="Times New Roman" w:hAnsi="Times New Roman" w:eastAsia="黑体" w:cs="Times New Roman"/>
          <w:snapToGrid/>
          <w:spacing w:val="0"/>
          <w:kern w:val="2"/>
          <w:sz w:val="32"/>
          <w:szCs w:val="32"/>
          <w:lang w:val="en-US" w:eastAsia="zh-CN"/>
        </w:rPr>
      </w:pPr>
      <w:r>
        <w:rPr>
          <w:rFonts w:hint="default" w:ascii="Times New Roman" w:hAnsi="Times New Roman" w:eastAsia="黑体" w:cs="Times New Roman"/>
          <w:snapToGrid/>
          <w:spacing w:val="0"/>
          <w:kern w:val="2"/>
          <w:sz w:val="32"/>
          <w:szCs w:val="32"/>
          <w:lang w:val="en-US" w:eastAsia="zh-CN"/>
        </w:rPr>
        <w:t>附件2</w:t>
      </w:r>
    </w:p>
    <w:p>
      <w:pPr>
        <w:pStyle w:val="2"/>
        <w:spacing w:line="550" w:lineRule="exact"/>
        <w:rPr>
          <w:rFonts w:hint="default" w:ascii="Times New Roman" w:hAnsi="Times New Roman" w:cs="Times New Roman"/>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50" w:lineRule="exact"/>
        <w:jc w:val="center"/>
        <w:textAlignment w:val="auto"/>
        <w:outlineLvl w:val="0"/>
        <w:rPr>
          <w:rFonts w:hint="default" w:ascii="Times New Roman" w:hAnsi="Times New Roman" w:eastAsia="方正小标宋简体" w:cs="Times New Roman"/>
          <w:b w:val="0"/>
          <w:bCs w:val="0"/>
          <w:color w:val="000000"/>
          <w:sz w:val="44"/>
          <w:szCs w:val="44"/>
          <w:highlight w:val="none"/>
          <w:lang w:eastAsia="zh-CN"/>
        </w:rPr>
      </w:pPr>
      <w:r>
        <w:rPr>
          <w:rFonts w:hint="default" w:ascii="Times New Roman" w:hAnsi="Times New Roman" w:eastAsia="方正小标宋简体" w:cs="Times New Roman"/>
          <w:b w:val="0"/>
          <w:bCs w:val="0"/>
          <w:color w:val="000000"/>
          <w:sz w:val="44"/>
          <w:szCs w:val="44"/>
          <w:highlight w:val="none"/>
          <w:lang w:eastAsia="zh-CN"/>
        </w:rPr>
        <w:t>浙江省售电公司信用评价与风险防范管理办法</w:t>
      </w:r>
    </w:p>
    <w:p>
      <w:pPr>
        <w:pStyle w:val="3"/>
        <w:spacing w:before="0" w:after="0" w:line="550" w:lineRule="exact"/>
        <w:jc w:val="center"/>
        <w:rPr>
          <w:rFonts w:hint="default" w:ascii="Times New Roman" w:hAnsi="Times New Roman" w:eastAsia="楷体_GB2312" w:cs="Times New Roman"/>
          <w:b w:val="0"/>
          <w:sz w:val="32"/>
          <w:szCs w:val="32"/>
          <w:lang w:val="de-DE"/>
        </w:rPr>
      </w:pPr>
      <w:r>
        <w:rPr>
          <w:rFonts w:hint="default" w:ascii="Times New Roman" w:hAnsi="Times New Roman" w:eastAsia="楷体_GB2312" w:cs="Times New Roman"/>
          <w:b w:val="0"/>
          <w:sz w:val="32"/>
          <w:szCs w:val="32"/>
          <w:lang w:val="de-DE"/>
        </w:rPr>
        <w:t>（征求意见稿）</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ind w:left="0" w:leftChars="0" w:firstLine="0" w:firstLineChars="0"/>
        <w:jc w:val="center"/>
        <w:textAlignment w:val="auto"/>
        <w:rPr>
          <w:rFonts w:hint="default" w:ascii="Times New Roman" w:hAnsi="Times New Roman" w:eastAsia="楷体_GB2312" w:cs="Times New Roman"/>
          <w:sz w:val="32"/>
          <w:szCs w:val="32"/>
          <w:highlight w:val="none"/>
          <w:lang w:val="en-US" w:eastAsia="zh-CN"/>
        </w:rPr>
      </w:pPr>
    </w:p>
    <w:p>
      <w:pPr>
        <w:keepNext w:val="0"/>
        <w:keepLines w:val="0"/>
        <w:pageBreakBefore w:val="0"/>
        <w:widowControl w:val="0"/>
        <w:numPr>
          <w:ilvl w:val="0"/>
          <w:numId w:val="0"/>
        </w:numPr>
        <w:shd w:val="clear" w:color="auto" w:fill="auto"/>
        <w:kinsoku/>
        <w:wordWrap/>
        <w:topLinePunct w:val="0"/>
        <w:autoSpaceDE/>
        <w:autoSpaceDN/>
        <w:bidi w:val="0"/>
        <w:adjustRightInd/>
        <w:snapToGrid/>
        <w:spacing w:line="550" w:lineRule="exact"/>
        <w:jc w:val="center"/>
        <w:textAlignment w:val="auto"/>
        <w:outlineLvl w:val="0"/>
        <w:rPr>
          <w:rFonts w:hint="default" w:ascii="Times New Roman" w:hAnsi="Times New Roman" w:eastAsia="黑体" w:cs="Times New Roman"/>
          <w:b w:val="0"/>
          <w:bCs w:val="0"/>
          <w:color w:val="000000"/>
          <w:sz w:val="32"/>
          <w:szCs w:val="32"/>
          <w:highlight w:val="none"/>
        </w:rPr>
      </w:pPr>
      <w:r>
        <w:rPr>
          <w:rFonts w:hint="default" w:ascii="Times New Roman" w:hAnsi="Times New Roman" w:eastAsia="黑体" w:cs="Times New Roman"/>
          <w:b w:val="0"/>
          <w:bCs w:val="0"/>
          <w:color w:val="000000"/>
          <w:sz w:val="32"/>
          <w:szCs w:val="32"/>
          <w:highlight w:val="none"/>
          <w:lang w:eastAsia="zh-CN"/>
        </w:rPr>
        <w:t>第一章</w:t>
      </w:r>
      <w:r>
        <w:rPr>
          <w:rFonts w:hint="default" w:ascii="Times New Roman" w:hAnsi="Times New Roman" w:eastAsia="黑体" w:cs="Times New Roman"/>
          <w:b w:val="0"/>
          <w:bCs w:val="0"/>
          <w:color w:val="000000"/>
          <w:sz w:val="32"/>
          <w:szCs w:val="32"/>
          <w:highlight w:val="none"/>
          <w:lang w:val="en-US" w:eastAsia="zh-CN"/>
        </w:rPr>
        <w:t xml:space="preserve"> </w:t>
      </w:r>
      <w:r>
        <w:rPr>
          <w:rFonts w:hint="default" w:ascii="Times New Roman" w:hAnsi="Times New Roman" w:eastAsia="黑体" w:cs="Times New Roman"/>
          <w:b w:val="0"/>
          <w:bCs w:val="0"/>
          <w:color w:val="000000"/>
          <w:sz w:val="32"/>
          <w:szCs w:val="32"/>
          <w:highlight w:val="none"/>
        </w:rPr>
        <w:t>总  则</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snapToGrid/>
        <w:spacing w:line="550" w:lineRule="exact"/>
        <w:ind w:firstLine="616" w:firstLineChars="200"/>
        <w:textAlignment w:val="auto"/>
        <w:outlineLvl w:val="9"/>
        <w:rPr>
          <w:rFonts w:hint="default" w:ascii="Times New Roman" w:hAnsi="Times New Roman" w:eastAsia="仿宋_GB2312" w:cs="Times New Roman"/>
          <w:bCs/>
          <w:color w:val="000000"/>
          <w:sz w:val="32"/>
          <w:szCs w:val="32"/>
          <w:highlight w:val="none"/>
          <w:lang w:val="en-US" w:eastAsia="zh-CN"/>
        </w:rPr>
      </w:pPr>
      <w:r>
        <w:rPr>
          <w:rFonts w:hint="default" w:ascii="Times New Roman" w:hAnsi="Times New Roman" w:eastAsia="黑体" w:cs="Times New Roman"/>
          <w:b w:val="0"/>
          <w:bCs/>
          <w:color w:val="000000"/>
          <w:sz w:val="32"/>
          <w:szCs w:val="32"/>
          <w:highlight w:val="none"/>
          <w:lang w:eastAsia="zh-CN"/>
        </w:rPr>
        <w:t>第一条</w:t>
      </w:r>
      <w:r>
        <w:rPr>
          <w:rFonts w:hint="default" w:ascii="Times New Roman" w:hAnsi="Times New Roman" w:eastAsia="仿宋_GB2312" w:cs="Times New Roman"/>
          <w:bCs/>
          <w:color w:val="000000"/>
          <w:sz w:val="32"/>
          <w:szCs w:val="32"/>
          <w:highlight w:val="none"/>
          <w:lang w:val="en-US" w:eastAsia="zh-CN"/>
        </w:rPr>
        <w:t>[</w:t>
      </w:r>
      <w:r>
        <w:rPr>
          <w:rFonts w:hint="default" w:ascii="Times New Roman" w:hAnsi="Times New Roman" w:eastAsia="仿宋_GB2312" w:cs="Times New Roman"/>
          <w:bCs/>
          <w:color w:val="000000"/>
          <w:sz w:val="32"/>
          <w:szCs w:val="32"/>
          <w:highlight w:val="none"/>
        </w:rPr>
        <w:t>目的依据</w:t>
      </w:r>
      <w:r>
        <w:rPr>
          <w:rFonts w:hint="default" w:ascii="Times New Roman" w:hAnsi="Times New Roman" w:eastAsia="仿宋_GB2312" w:cs="Times New Roman"/>
          <w:bCs/>
          <w:color w:val="000000"/>
          <w:sz w:val="32"/>
          <w:szCs w:val="32"/>
          <w:highlight w:val="none"/>
          <w:lang w:val="en-US" w:eastAsia="zh-CN"/>
        </w:rPr>
        <w:t>] 为规范浙江电力市场运营管理，提升市场风险控制能力，维护市场成员合法权益，根据《售电公司管理办法》（发改经体〔2021〕1595号）、《关于加强和规范涉电力领域失信联合惩戒对象名单管理工作的实施意见》（发改运行规〔2018〕233号）、《关于对电力行业严重违法失信市场主体及其有关人员实施联合惩戒的合作备忘录》（发改运行〔2017〕946号）、《浙江省电力中长期交易规则（2021年修订版）》（浙发改能源〔2021〕427号）、《浙江电力市场监管实施办法（试行）》（浙监能市场〔2019〕17号）等文件精神，结合浙江电力市场实际，制定本办法。</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ind w:left="0" w:leftChars="0" w:firstLine="616" w:firstLineChars="200"/>
        <w:textAlignment w:val="auto"/>
        <w:outlineLvl w:val="9"/>
        <w:rPr>
          <w:rFonts w:hint="default" w:ascii="Times New Roman" w:hAnsi="Times New Roman" w:eastAsia="仿宋_GB2312" w:cs="Times New Roman"/>
          <w:b/>
          <w:bCs w:val="0"/>
          <w:color w:val="000000"/>
          <w:sz w:val="32"/>
          <w:szCs w:val="32"/>
          <w:highlight w:val="none"/>
          <w:lang w:eastAsia="zh-CN"/>
        </w:rPr>
      </w:pPr>
      <w:r>
        <w:rPr>
          <w:rFonts w:hint="default" w:ascii="Times New Roman" w:hAnsi="Times New Roman" w:eastAsia="黑体" w:cs="Times New Roman"/>
          <w:b w:val="0"/>
          <w:bCs/>
          <w:color w:val="000000"/>
          <w:sz w:val="32"/>
          <w:szCs w:val="32"/>
          <w:highlight w:val="none"/>
          <w:lang w:eastAsia="zh-CN"/>
        </w:rPr>
        <w:t>第二条</w:t>
      </w:r>
      <w:r>
        <w:rPr>
          <w:rFonts w:hint="default" w:ascii="Times New Roman" w:hAnsi="Times New Roman" w:eastAsia="仿宋_GB2312" w:cs="Times New Roman"/>
          <w:bCs/>
          <w:color w:val="000000"/>
          <w:sz w:val="32"/>
          <w:szCs w:val="32"/>
          <w:highlight w:val="none"/>
          <w:lang w:val="en-US" w:eastAsia="zh-CN"/>
        </w:rPr>
        <w:t>[</w:t>
      </w:r>
      <w:r>
        <w:rPr>
          <w:rFonts w:hint="default" w:ascii="Times New Roman" w:hAnsi="Times New Roman" w:eastAsia="仿宋_GB2312" w:cs="Times New Roman"/>
          <w:bCs/>
          <w:color w:val="000000"/>
          <w:sz w:val="32"/>
          <w:szCs w:val="32"/>
          <w:highlight w:val="none"/>
          <w:lang w:eastAsia="zh-CN"/>
        </w:rPr>
        <w:t>实施路径</w:t>
      </w:r>
      <w:r>
        <w:rPr>
          <w:rFonts w:hint="default" w:ascii="Times New Roman" w:hAnsi="Times New Roman" w:eastAsia="仿宋_GB2312" w:cs="Times New Roman"/>
          <w:bCs/>
          <w:color w:val="000000"/>
          <w:sz w:val="32"/>
          <w:szCs w:val="32"/>
          <w:highlight w:val="none"/>
          <w:lang w:val="en-US" w:eastAsia="zh-CN"/>
        </w:rPr>
        <w:t>] 构建浙江省售电公司信用管理</w:t>
      </w:r>
      <w:r>
        <w:rPr>
          <w:rFonts w:hint="default" w:ascii="Times New Roman" w:hAnsi="Times New Roman" w:eastAsia="仿宋_GB2312" w:cs="Times New Roman"/>
          <w:bCs/>
          <w:color w:val="000000"/>
          <w:sz w:val="32"/>
          <w:szCs w:val="32"/>
          <w:highlight w:val="none"/>
        </w:rPr>
        <w:t>体系</w:t>
      </w:r>
      <w:r>
        <w:rPr>
          <w:rFonts w:hint="default" w:ascii="Times New Roman" w:hAnsi="Times New Roman" w:eastAsia="仿宋_GB2312" w:cs="Times New Roman"/>
          <w:bCs/>
          <w:color w:val="000000"/>
          <w:sz w:val="32"/>
          <w:szCs w:val="32"/>
          <w:highlight w:val="none"/>
          <w:lang w:eastAsia="zh-CN"/>
        </w:rPr>
        <w:t>，</w:t>
      </w:r>
      <w:r>
        <w:rPr>
          <w:rFonts w:hint="default" w:ascii="Times New Roman" w:hAnsi="Times New Roman" w:eastAsia="仿宋_GB2312" w:cs="Times New Roman"/>
          <w:bCs/>
          <w:color w:val="000000"/>
          <w:sz w:val="32"/>
          <w:szCs w:val="32"/>
          <w:highlight w:val="none"/>
          <w:lang w:val="en-US" w:eastAsia="zh-CN"/>
        </w:rPr>
        <w:t>包括信用评价机制、信用档案机制、风险分级机制和风险防控机制。通过信用评级和信用档案加强售电公司信用管理；将信用评级作为风险防范的决策、监管依据，对应风险级别，采取相应管控措施，形成售电公司风险防控联动机制。引导售电公司规范交易行为、提升服务水平，维护社会公共利益和市场主体合法权益，保障浙江电力市场交易的规范运作和良好发展。</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50" w:lineRule="exact"/>
        <w:ind w:firstLine="616" w:firstLineChars="200"/>
        <w:textAlignment w:val="auto"/>
        <w:outlineLvl w:val="9"/>
        <w:rPr>
          <w:rFonts w:hint="default" w:ascii="Times New Roman" w:hAnsi="Times New Roman" w:eastAsia="仿宋_GB2312" w:cs="Times New Roman"/>
          <w:bCs/>
          <w:color w:val="000000"/>
          <w:sz w:val="32"/>
          <w:szCs w:val="32"/>
          <w:highlight w:val="none"/>
          <w:lang w:val="en-US" w:eastAsia="zh-CN"/>
        </w:rPr>
      </w:pPr>
      <w:r>
        <w:rPr>
          <w:rFonts w:hint="default" w:ascii="Times New Roman" w:hAnsi="Times New Roman" w:eastAsia="黑体" w:cs="Times New Roman"/>
          <w:b w:val="0"/>
          <w:bCs/>
          <w:color w:val="000000"/>
          <w:sz w:val="32"/>
          <w:szCs w:val="32"/>
          <w:highlight w:val="none"/>
          <w:lang w:eastAsia="zh-CN"/>
        </w:rPr>
        <w:t>第三条</w:t>
      </w:r>
      <w:r>
        <w:rPr>
          <w:rFonts w:hint="default" w:ascii="Times New Roman" w:hAnsi="Times New Roman" w:eastAsia="仿宋_GB2312" w:cs="Times New Roman"/>
          <w:bCs/>
          <w:color w:val="000000"/>
          <w:sz w:val="32"/>
          <w:szCs w:val="32"/>
          <w:highlight w:val="none"/>
          <w:lang w:val="en-US" w:eastAsia="zh-CN"/>
        </w:rPr>
        <w:t>[</w:t>
      </w:r>
      <w:r>
        <w:rPr>
          <w:rFonts w:hint="default" w:ascii="Times New Roman" w:hAnsi="Times New Roman" w:eastAsia="仿宋_GB2312" w:cs="Times New Roman"/>
          <w:bCs/>
          <w:color w:val="000000"/>
          <w:sz w:val="32"/>
          <w:szCs w:val="32"/>
          <w:highlight w:val="none"/>
          <w:lang w:eastAsia="zh-CN"/>
        </w:rPr>
        <w:t>职责分工</w:t>
      </w:r>
      <w:r>
        <w:rPr>
          <w:rFonts w:hint="default" w:ascii="Times New Roman" w:hAnsi="Times New Roman" w:eastAsia="仿宋_GB2312" w:cs="Times New Roman"/>
          <w:bCs/>
          <w:color w:val="000000"/>
          <w:sz w:val="32"/>
          <w:szCs w:val="32"/>
          <w:highlight w:val="none"/>
          <w:lang w:val="en-US" w:eastAsia="zh-CN"/>
        </w:rPr>
        <w:t>] 浙江省能源局、浙江能源监管办按职责开展监管。浙江省能源局负责建立完善浙江省售电公司信用管理体系，浙江电力交易中心有限公司（以下简称交易中心）依据本办法履行相应管理职责。</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ind w:left="0" w:leftChars="0" w:firstLine="616" w:firstLineChars="200"/>
        <w:textAlignment w:val="auto"/>
        <w:outlineLvl w:val="9"/>
        <w:rPr>
          <w:rFonts w:hint="default" w:ascii="Times New Roman" w:hAnsi="Times New Roman" w:eastAsia="仿宋_GB2312" w:cs="Times New Roman"/>
          <w:bCs/>
          <w:color w:val="000000"/>
          <w:sz w:val="32"/>
          <w:szCs w:val="32"/>
          <w:highlight w:val="none"/>
          <w:lang w:val="en-US" w:eastAsia="zh-CN"/>
        </w:rPr>
      </w:pPr>
      <w:r>
        <w:rPr>
          <w:rFonts w:hint="default" w:ascii="Times New Roman" w:hAnsi="Times New Roman" w:eastAsia="黑体" w:cs="Times New Roman"/>
          <w:b w:val="0"/>
          <w:bCs/>
          <w:color w:val="000000"/>
          <w:sz w:val="32"/>
          <w:szCs w:val="32"/>
          <w:highlight w:val="none"/>
          <w:lang w:eastAsia="zh-CN"/>
        </w:rPr>
        <w:t>第四条</w:t>
      </w:r>
      <w:r>
        <w:rPr>
          <w:rFonts w:hint="default" w:ascii="Times New Roman" w:hAnsi="Times New Roman" w:eastAsia="仿宋_GB2312" w:cs="Times New Roman"/>
          <w:bCs/>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适用范围</w:t>
      </w:r>
      <w:r>
        <w:rPr>
          <w:rFonts w:hint="default" w:ascii="Times New Roman" w:hAnsi="Times New Roman" w:eastAsia="仿宋_GB2312" w:cs="Times New Roman"/>
          <w:bCs/>
          <w:color w:val="000000"/>
          <w:sz w:val="32"/>
          <w:szCs w:val="32"/>
          <w:highlight w:val="none"/>
          <w:lang w:val="en-US" w:eastAsia="zh-CN"/>
        </w:rPr>
        <w:t>] 本办法适用于参与浙江电力市场交易的售电公司。</w:t>
      </w:r>
    </w:p>
    <w:p>
      <w:pPr>
        <w:numPr>
          <w:ilvl w:val="0"/>
          <w:numId w:val="1"/>
        </w:numPr>
        <w:shd w:val="clear" w:color="auto" w:fill="auto"/>
        <w:spacing w:line="550" w:lineRule="exact"/>
        <w:jc w:val="center"/>
        <w:rPr>
          <w:rFonts w:hint="default" w:ascii="Times New Roman" w:hAnsi="Times New Roman" w:cs="Times New Roman"/>
          <w:lang w:eastAsia="zh-CN"/>
        </w:rPr>
      </w:pPr>
      <w:r>
        <w:rPr>
          <w:rFonts w:hint="default" w:ascii="Times New Roman" w:hAnsi="Times New Roman" w:eastAsia="黑体" w:cs="Times New Roman"/>
          <w:b w:val="0"/>
          <w:bCs w:val="0"/>
          <w:color w:val="000000"/>
          <w:sz w:val="32"/>
          <w:szCs w:val="32"/>
          <w:highlight w:val="none"/>
          <w:lang w:val="en-US" w:eastAsia="zh-CN"/>
        </w:rPr>
        <w:t>信用</w:t>
      </w:r>
      <w:r>
        <w:rPr>
          <w:rFonts w:hint="default" w:ascii="Times New Roman" w:hAnsi="Times New Roman" w:eastAsia="黑体" w:cs="Times New Roman"/>
          <w:b w:val="0"/>
          <w:bCs w:val="0"/>
          <w:color w:val="000000"/>
          <w:sz w:val="32"/>
          <w:szCs w:val="32"/>
          <w:highlight w:val="none"/>
          <w:lang w:eastAsia="zh-CN"/>
        </w:rPr>
        <w:t>评价机制</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bCs/>
          <w:color w:val="000000"/>
          <w:sz w:val="32"/>
          <w:szCs w:val="32"/>
          <w:highlight w:val="none"/>
          <w:lang w:val="en-US" w:eastAsia="zh-CN"/>
        </w:rPr>
      </w:pPr>
      <w:r>
        <w:rPr>
          <w:rFonts w:hint="default" w:ascii="Times New Roman" w:hAnsi="Times New Roman" w:eastAsia="黑体" w:cs="Times New Roman"/>
          <w:b w:val="0"/>
          <w:bCs w:val="0"/>
          <w:color w:val="000000"/>
          <w:sz w:val="32"/>
          <w:szCs w:val="32"/>
          <w:highlight w:val="none"/>
          <w:lang w:eastAsia="zh-CN"/>
        </w:rPr>
        <w:t>第五条</w:t>
      </w:r>
      <w:r>
        <w:rPr>
          <w:rFonts w:hint="default" w:ascii="Times New Roman" w:hAnsi="Times New Roman" w:eastAsia="仿宋_GB2312" w:cs="Times New Roman"/>
          <w:bCs/>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eastAsia="zh-CN"/>
        </w:rPr>
        <w:t>评价机制</w:t>
      </w:r>
      <w:r>
        <w:rPr>
          <w:rFonts w:hint="default" w:ascii="Times New Roman" w:hAnsi="Times New Roman" w:eastAsia="仿宋_GB2312" w:cs="Times New Roman"/>
          <w:bCs/>
          <w:color w:val="000000"/>
          <w:sz w:val="32"/>
          <w:szCs w:val="32"/>
          <w:highlight w:val="none"/>
          <w:lang w:val="en-US" w:eastAsia="zh-CN"/>
        </w:rPr>
        <w:t xml:space="preserve">] </w:t>
      </w:r>
      <w:r>
        <w:rPr>
          <w:rFonts w:hint="default" w:ascii="Times New Roman" w:hAnsi="Times New Roman" w:eastAsia="仿宋_GB2312" w:cs="Times New Roman"/>
          <w:b w:val="0"/>
          <w:bCs/>
          <w:color w:val="000000"/>
          <w:sz w:val="32"/>
          <w:szCs w:val="32"/>
          <w:highlight w:val="none"/>
          <w:lang w:val="en-US" w:eastAsia="zh-CN"/>
        </w:rPr>
        <w:t>实行售电公司全周期信用管理，建立售电公司信用评价机制，</w:t>
      </w:r>
      <w:r>
        <w:rPr>
          <w:rFonts w:hint="default" w:ascii="Times New Roman" w:hAnsi="Times New Roman" w:eastAsia="仿宋_GB2312" w:cs="Times New Roman"/>
          <w:bCs/>
          <w:color w:val="000000"/>
          <w:sz w:val="32"/>
          <w:szCs w:val="32"/>
          <w:highlight w:val="none"/>
          <w:lang w:val="en-US" w:eastAsia="zh-CN"/>
        </w:rPr>
        <w:t>对</w:t>
      </w:r>
      <w:r>
        <w:rPr>
          <w:rFonts w:hint="default" w:ascii="Times New Roman" w:hAnsi="Times New Roman" w:eastAsia="仿宋_GB2312" w:cs="Times New Roman"/>
          <w:color w:val="000000"/>
          <w:sz w:val="32"/>
          <w:szCs w:val="32"/>
          <w:highlight w:val="none"/>
        </w:rPr>
        <w:t>已获得电力市场准入、</w:t>
      </w:r>
      <w:r>
        <w:rPr>
          <w:rFonts w:hint="default" w:ascii="Times New Roman" w:hAnsi="Times New Roman" w:eastAsia="仿宋_GB2312" w:cs="Times New Roman"/>
          <w:bCs/>
          <w:color w:val="000000"/>
          <w:sz w:val="32"/>
          <w:szCs w:val="32"/>
          <w:highlight w:val="none"/>
          <w:lang w:val="en-US" w:eastAsia="zh-CN"/>
        </w:rPr>
        <w:t>在浙江电力市场注册生效并参与浙江电力市场交易的售电公司开展信用评价。</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bCs/>
          <w:color w:val="000000"/>
          <w:sz w:val="32"/>
          <w:szCs w:val="32"/>
          <w:highlight w:val="none"/>
          <w:lang w:val="en-US" w:eastAsia="zh-CN"/>
        </w:rPr>
      </w:pPr>
      <w:r>
        <w:rPr>
          <w:rFonts w:hint="default" w:ascii="Times New Roman" w:hAnsi="Times New Roman" w:eastAsia="黑体" w:cs="Times New Roman"/>
          <w:b w:val="0"/>
          <w:bCs w:val="0"/>
          <w:color w:val="000000"/>
          <w:sz w:val="32"/>
          <w:szCs w:val="32"/>
          <w:highlight w:val="none"/>
          <w:lang w:eastAsia="zh-CN"/>
        </w:rPr>
        <w:t>第六条</w:t>
      </w:r>
      <w:r>
        <w:rPr>
          <w:rFonts w:hint="default" w:ascii="Times New Roman" w:hAnsi="Times New Roman" w:eastAsia="仿宋_GB2312" w:cs="Times New Roman"/>
          <w:bCs/>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eastAsia="zh-CN"/>
        </w:rPr>
        <w:t>评价机构</w:t>
      </w:r>
      <w:r>
        <w:rPr>
          <w:rFonts w:hint="default" w:ascii="Times New Roman" w:hAnsi="Times New Roman" w:eastAsia="仿宋_GB2312" w:cs="Times New Roman"/>
          <w:bCs/>
          <w:color w:val="000000"/>
          <w:sz w:val="32"/>
          <w:szCs w:val="32"/>
          <w:highlight w:val="none"/>
          <w:lang w:val="en-US" w:eastAsia="zh-CN"/>
        </w:rPr>
        <w:t>] 评价机构为交易中心。根据售电公司信用评价体系统一的评价标准，交易中心应认真履行工作职责，公开、规范、透明开展售电公司信用评价工作。</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黑体" w:cs="Times New Roman"/>
          <w:b w:val="0"/>
          <w:bCs w:val="0"/>
          <w:color w:val="000000"/>
          <w:sz w:val="32"/>
          <w:szCs w:val="32"/>
          <w:highlight w:val="none"/>
          <w:lang w:eastAsia="zh-CN"/>
        </w:rPr>
        <w:t>第七条</w:t>
      </w:r>
      <w:r>
        <w:rPr>
          <w:rFonts w:hint="default" w:ascii="Times New Roman" w:hAnsi="Times New Roman" w:eastAsia="仿宋_GB2312" w:cs="Times New Roman"/>
          <w:bCs/>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eastAsia="zh-CN"/>
        </w:rPr>
        <w:t>评价</w:t>
      </w:r>
      <w:r>
        <w:rPr>
          <w:rFonts w:hint="default" w:ascii="Times New Roman" w:hAnsi="Times New Roman" w:eastAsia="仿宋_GB2312" w:cs="Times New Roman"/>
          <w:bCs/>
          <w:color w:val="000000"/>
          <w:sz w:val="32"/>
          <w:szCs w:val="32"/>
          <w:highlight w:val="none"/>
          <w:lang w:val="en-US" w:eastAsia="zh-CN"/>
        </w:rPr>
        <w:t>标准]</w:t>
      </w:r>
      <w:r>
        <w:rPr>
          <w:rFonts w:hint="default" w:ascii="Times New Roman" w:hAnsi="Times New Roman" w:eastAsia="仿宋_GB2312" w:cs="Times New Roman"/>
          <w:b/>
          <w:bCs/>
          <w:color w:val="000000"/>
          <w:sz w:val="32"/>
          <w:szCs w:val="32"/>
          <w:highlight w:val="none"/>
          <w:lang w:eastAsia="zh-CN"/>
        </w:rPr>
        <w:t xml:space="preserve"> </w:t>
      </w:r>
      <w:r>
        <w:rPr>
          <w:rFonts w:hint="default" w:ascii="Times New Roman" w:hAnsi="Times New Roman" w:eastAsia="仿宋_GB2312" w:cs="Times New Roman"/>
          <w:bCs/>
          <w:color w:val="000000"/>
          <w:sz w:val="32"/>
          <w:szCs w:val="32"/>
          <w:highlight w:val="none"/>
          <w:lang w:val="en-US" w:eastAsia="zh-CN"/>
        </w:rPr>
        <w:t>评价标准为《浙江电力市场售电公司信用评价指标体系》（以下简称“信用评价指标体系”）（详见附件）。信用评价指标体系总分为100分。</w:t>
      </w:r>
      <w:r>
        <w:rPr>
          <w:rFonts w:hint="default" w:ascii="Times New Roman" w:hAnsi="Times New Roman" w:eastAsia="仿宋_GB2312" w:cs="Times New Roman"/>
          <w:color w:val="000000"/>
          <w:sz w:val="32"/>
          <w:szCs w:val="32"/>
          <w:highlight w:val="none"/>
        </w:rPr>
        <w:t>其中，场外评价指标权重20分</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场内评价指标权重80分。</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50" w:lineRule="exact"/>
        <w:ind w:firstLine="616" w:firstLineChars="200"/>
        <w:textAlignment w:val="auto"/>
        <w:outlineLvl w:val="9"/>
        <w:rPr>
          <w:rFonts w:hint="default" w:ascii="Times New Roman" w:hAnsi="Times New Roman" w:eastAsia="仿宋_GB2312" w:cs="Times New Roman"/>
          <w:color w:val="000000"/>
          <w:sz w:val="32"/>
          <w:szCs w:val="32"/>
          <w:highlight w:val="none"/>
          <w:lang w:val="en-US"/>
        </w:rPr>
      </w:pPr>
      <w:r>
        <w:rPr>
          <w:rFonts w:hint="default" w:ascii="Times New Roman" w:hAnsi="Times New Roman" w:eastAsia="黑体" w:cs="Times New Roman"/>
          <w:b w:val="0"/>
          <w:bCs/>
          <w:color w:val="000000"/>
          <w:sz w:val="32"/>
          <w:szCs w:val="32"/>
          <w:highlight w:val="none"/>
          <w:lang w:eastAsia="zh-CN"/>
        </w:rPr>
        <w:t>第八条</w:t>
      </w:r>
      <w:r>
        <w:rPr>
          <w:rFonts w:hint="default" w:ascii="Times New Roman" w:hAnsi="Times New Roman" w:eastAsia="仿宋_GB2312" w:cs="Times New Roman"/>
          <w:bCs/>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评价等级</w:t>
      </w:r>
      <w:r>
        <w:rPr>
          <w:rFonts w:hint="default" w:ascii="Times New Roman" w:hAnsi="Times New Roman" w:eastAsia="仿宋_GB2312" w:cs="Times New Roman"/>
          <w:bCs/>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依据信用评价得分情况，信用评价等级设置为</w:t>
      </w:r>
      <w:r>
        <w:rPr>
          <w:rFonts w:hint="default" w:ascii="Times New Roman" w:hAnsi="Times New Roman" w:eastAsia="仿宋_GB2312" w:cs="Times New Roman"/>
          <w:color w:val="000000"/>
          <w:sz w:val="32"/>
          <w:szCs w:val="32"/>
          <w:highlight w:val="none"/>
          <w:lang w:val="en-US" w:eastAsia="zh-CN"/>
        </w:rPr>
        <w:t>AAA、AA、A、B、C、D六个等级。其中：</w:t>
      </w:r>
      <w:r>
        <w:rPr>
          <w:rFonts w:hint="default" w:ascii="Times New Roman" w:hAnsi="Times New Roman" w:eastAsia="仿宋_GB2312" w:cs="Times New Roman"/>
          <w:color w:val="000000"/>
          <w:sz w:val="32"/>
          <w:szCs w:val="32"/>
          <w:highlight w:val="none"/>
        </w:rPr>
        <w:t>AAA级表示信用表现</w:t>
      </w:r>
      <w:r>
        <w:rPr>
          <w:rFonts w:hint="default" w:ascii="Times New Roman" w:hAnsi="Times New Roman" w:eastAsia="仿宋_GB2312" w:cs="Times New Roman"/>
          <w:color w:val="000000"/>
          <w:sz w:val="32"/>
          <w:szCs w:val="32"/>
          <w:highlight w:val="none"/>
          <w:lang w:eastAsia="zh-CN"/>
        </w:rPr>
        <w:t>优秀</w:t>
      </w:r>
      <w:r>
        <w:rPr>
          <w:rFonts w:hint="default" w:ascii="Times New Roman" w:hAnsi="Times New Roman" w:eastAsia="仿宋_GB2312" w:cs="Times New Roman"/>
          <w:color w:val="000000"/>
          <w:sz w:val="32"/>
          <w:szCs w:val="32"/>
          <w:highlight w:val="none"/>
        </w:rPr>
        <w:t>。履约能力很强，履约表现很好，经营状况很好，在维护电力市场秩序、促进社会信用体系建设等方面贡献突出</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AA级表示信用表现</w:t>
      </w:r>
      <w:r>
        <w:rPr>
          <w:rFonts w:hint="default" w:ascii="Times New Roman" w:hAnsi="Times New Roman" w:eastAsia="仿宋_GB2312" w:cs="Times New Roman"/>
          <w:color w:val="000000"/>
          <w:sz w:val="32"/>
          <w:szCs w:val="32"/>
          <w:highlight w:val="none"/>
          <w:lang w:eastAsia="zh-CN"/>
        </w:rPr>
        <w:t>良好</w:t>
      </w:r>
      <w:r>
        <w:rPr>
          <w:rFonts w:hint="default" w:ascii="Times New Roman" w:hAnsi="Times New Roman" w:eastAsia="仿宋_GB2312" w:cs="Times New Roman"/>
          <w:color w:val="000000"/>
          <w:sz w:val="32"/>
          <w:szCs w:val="32"/>
          <w:highlight w:val="none"/>
        </w:rPr>
        <w:t>。履约能力强，履约表现好，经营状况好，能够积极维护电力市场秩序、促进社会信用体系建设</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A级表示信用表现较好。履约能力较强，履约表现较好，经营状况稳定，能够维护电力市场秩序、促进社会信用体系建设</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B级表示信用表现一般。履约能力弱，履约表现一般，经营状况一般，不能有效维护电力市场秩序、促进社会信用体系建设</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C级表示信用表现差。履约能力很弱，履约表现差，经营状况差，对维护电力市场秩序、促进社会信用体系建设产生负面影响</w:t>
      </w:r>
      <w:r>
        <w:rPr>
          <w:rFonts w:hint="default" w:ascii="Times New Roman" w:hAnsi="Times New Roman" w:eastAsia="仿宋_GB2312" w:cs="Times New Roman"/>
          <w:color w:val="000000"/>
          <w:sz w:val="32"/>
          <w:szCs w:val="32"/>
          <w:highlight w:val="none"/>
          <w:lang w:val="en-US" w:eastAsia="zh-CN"/>
        </w:rPr>
        <w:t>。D级</w:t>
      </w:r>
      <w:r>
        <w:rPr>
          <w:rFonts w:hint="default" w:ascii="Times New Roman" w:hAnsi="Times New Roman" w:eastAsia="仿宋_GB2312" w:cs="Times New Roman"/>
          <w:color w:val="000000"/>
          <w:sz w:val="32"/>
          <w:szCs w:val="32"/>
          <w:highlight w:val="none"/>
        </w:rPr>
        <w:t>表示信用表现</w:t>
      </w:r>
      <w:r>
        <w:rPr>
          <w:rFonts w:hint="default" w:ascii="Times New Roman" w:hAnsi="Times New Roman" w:eastAsia="仿宋_GB2312" w:cs="Times New Roman"/>
          <w:color w:val="000000"/>
          <w:sz w:val="32"/>
          <w:szCs w:val="32"/>
          <w:highlight w:val="none"/>
          <w:lang w:eastAsia="zh-CN"/>
        </w:rPr>
        <w:t>极</w:t>
      </w:r>
      <w:r>
        <w:rPr>
          <w:rFonts w:hint="default" w:ascii="Times New Roman" w:hAnsi="Times New Roman" w:eastAsia="仿宋_GB2312" w:cs="Times New Roman"/>
          <w:color w:val="000000"/>
          <w:sz w:val="32"/>
          <w:szCs w:val="32"/>
          <w:highlight w:val="none"/>
        </w:rPr>
        <w:t>差。无基本履约能力，履约表现</w:t>
      </w:r>
      <w:r>
        <w:rPr>
          <w:rFonts w:hint="default" w:ascii="Times New Roman" w:hAnsi="Times New Roman" w:eastAsia="仿宋_GB2312" w:cs="Times New Roman"/>
          <w:color w:val="000000"/>
          <w:sz w:val="32"/>
          <w:szCs w:val="32"/>
          <w:highlight w:val="none"/>
          <w:lang w:eastAsia="zh-CN"/>
        </w:rPr>
        <w:t>极</w:t>
      </w:r>
      <w:r>
        <w:rPr>
          <w:rFonts w:hint="default" w:ascii="Times New Roman" w:hAnsi="Times New Roman" w:eastAsia="仿宋_GB2312" w:cs="Times New Roman"/>
          <w:color w:val="000000"/>
          <w:sz w:val="32"/>
          <w:szCs w:val="32"/>
          <w:highlight w:val="none"/>
        </w:rPr>
        <w:t>差，经营状况</w:t>
      </w:r>
      <w:r>
        <w:rPr>
          <w:rFonts w:hint="default" w:ascii="Times New Roman" w:hAnsi="Times New Roman" w:eastAsia="仿宋_GB2312" w:cs="Times New Roman"/>
          <w:color w:val="000000"/>
          <w:sz w:val="32"/>
          <w:szCs w:val="32"/>
          <w:highlight w:val="none"/>
          <w:lang w:eastAsia="zh-CN"/>
        </w:rPr>
        <w:t>极</w:t>
      </w:r>
      <w:r>
        <w:rPr>
          <w:rFonts w:hint="default" w:ascii="Times New Roman" w:hAnsi="Times New Roman" w:eastAsia="仿宋_GB2312" w:cs="Times New Roman"/>
          <w:color w:val="000000"/>
          <w:sz w:val="32"/>
          <w:szCs w:val="32"/>
          <w:highlight w:val="none"/>
        </w:rPr>
        <w:t>差，对维护电力市场秩序、促进社会信用体系建设产生</w:t>
      </w:r>
      <w:r>
        <w:rPr>
          <w:rFonts w:hint="default" w:ascii="Times New Roman" w:hAnsi="Times New Roman" w:eastAsia="仿宋_GB2312" w:cs="Times New Roman"/>
          <w:color w:val="000000"/>
          <w:sz w:val="32"/>
          <w:szCs w:val="32"/>
          <w:highlight w:val="none"/>
          <w:lang w:eastAsia="zh-CN"/>
        </w:rPr>
        <w:t>极大的</w:t>
      </w:r>
      <w:r>
        <w:rPr>
          <w:rFonts w:hint="default" w:ascii="Times New Roman" w:hAnsi="Times New Roman" w:eastAsia="仿宋_GB2312" w:cs="Times New Roman"/>
          <w:color w:val="000000"/>
          <w:sz w:val="32"/>
          <w:szCs w:val="32"/>
          <w:highlight w:val="none"/>
        </w:rPr>
        <w:t>负面影响</w:t>
      </w:r>
      <w:r>
        <w:rPr>
          <w:rFonts w:hint="default" w:ascii="Times New Roman" w:hAnsi="Times New Roman" w:eastAsia="仿宋_GB2312" w:cs="Times New Roman"/>
          <w:color w:val="000000"/>
          <w:sz w:val="32"/>
          <w:szCs w:val="32"/>
          <w:highlight w:val="none"/>
          <w:lang w:val="en-US" w:eastAsia="zh-CN"/>
        </w:rPr>
        <w:t>。</w:t>
      </w:r>
    </w:p>
    <w:tbl>
      <w:tblPr>
        <w:tblStyle w:val="6"/>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40"/>
        <w:gridCol w:w="2840"/>
        <w:gridCol w:w="2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jc w:val="center"/>
        </w:trPr>
        <w:tc>
          <w:tcPr>
            <w:tcW w:w="284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50" w:lineRule="exact"/>
              <w:jc w:val="center"/>
              <w:textAlignment w:val="auto"/>
              <w:rPr>
                <w:rFonts w:hint="default" w:ascii="Times New Roman" w:hAnsi="Times New Roman" w:eastAsia="黑体" w:cs="Times New Roman"/>
                <w:b w:val="0"/>
                <w:bCs w:val="0"/>
                <w:color w:val="000000"/>
                <w:sz w:val="24"/>
                <w:szCs w:val="24"/>
                <w:highlight w:val="none"/>
                <w:vertAlign w:val="baseline"/>
                <w:lang w:val="en-US" w:eastAsia="zh-CN"/>
              </w:rPr>
            </w:pPr>
            <w:r>
              <w:rPr>
                <w:rFonts w:hint="default" w:ascii="Times New Roman" w:hAnsi="Times New Roman" w:eastAsia="黑体" w:cs="Times New Roman"/>
                <w:b w:val="0"/>
                <w:bCs w:val="0"/>
                <w:color w:val="000000"/>
                <w:sz w:val="24"/>
                <w:szCs w:val="24"/>
                <w:highlight w:val="none"/>
                <w:vertAlign w:val="baseline"/>
                <w:lang w:val="en-US" w:eastAsia="zh-CN"/>
              </w:rPr>
              <w:t>信用评价等级</w:t>
            </w:r>
          </w:p>
        </w:tc>
        <w:tc>
          <w:tcPr>
            <w:tcW w:w="284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50" w:lineRule="exact"/>
              <w:jc w:val="center"/>
              <w:textAlignment w:val="auto"/>
              <w:rPr>
                <w:rFonts w:hint="default" w:ascii="Times New Roman" w:hAnsi="Times New Roman" w:eastAsia="黑体" w:cs="Times New Roman"/>
                <w:b w:val="0"/>
                <w:bCs w:val="0"/>
                <w:color w:val="000000"/>
                <w:sz w:val="24"/>
                <w:szCs w:val="24"/>
                <w:highlight w:val="none"/>
                <w:vertAlign w:val="baseline"/>
                <w:lang w:val="en-US" w:eastAsia="zh-CN"/>
              </w:rPr>
            </w:pPr>
            <w:r>
              <w:rPr>
                <w:rFonts w:hint="default" w:ascii="Times New Roman" w:hAnsi="Times New Roman" w:eastAsia="黑体" w:cs="Times New Roman"/>
                <w:b w:val="0"/>
                <w:bCs w:val="0"/>
                <w:color w:val="000000"/>
                <w:sz w:val="24"/>
                <w:szCs w:val="24"/>
                <w:highlight w:val="none"/>
                <w:vertAlign w:val="baseline"/>
                <w:lang w:val="en-US" w:eastAsia="zh-CN"/>
              </w:rPr>
              <w:t>信用评价分数区间</w:t>
            </w:r>
          </w:p>
        </w:tc>
        <w:tc>
          <w:tcPr>
            <w:tcW w:w="2842"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50" w:lineRule="exact"/>
              <w:jc w:val="center"/>
              <w:textAlignment w:val="auto"/>
              <w:rPr>
                <w:rFonts w:hint="default" w:ascii="Times New Roman" w:hAnsi="Times New Roman" w:eastAsia="黑体" w:cs="Times New Roman"/>
                <w:b w:val="0"/>
                <w:bCs w:val="0"/>
                <w:color w:val="000000"/>
                <w:sz w:val="24"/>
                <w:szCs w:val="24"/>
                <w:highlight w:val="none"/>
                <w:vertAlign w:val="baseline"/>
                <w:lang w:val="en-US" w:eastAsia="zh-CN"/>
              </w:rPr>
            </w:pPr>
            <w:r>
              <w:rPr>
                <w:rFonts w:hint="default" w:ascii="Times New Roman" w:hAnsi="Times New Roman" w:eastAsia="黑体" w:cs="Times New Roman"/>
                <w:b w:val="0"/>
                <w:bCs w:val="0"/>
                <w:color w:val="000000"/>
                <w:sz w:val="24"/>
                <w:szCs w:val="24"/>
                <w:highlight w:val="none"/>
                <w:vertAlign w:val="baseline"/>
                <w:lang w:val="en-US" w:eastAsia="zh-CN"/>
              </w:rPr>
              <w:t>信用评价情况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jc w:val="center"/>
        </w:trPr>
        <w:tc>
          <w:tcPr>
            <w:tcW w:w="284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b w:val="0"/>
                <w:bCs w:val="0"/>
                <w:color w:val="000000"/>
                <w:sz w:val="24"/>
                <w:szCs w:val="24"/>
                <w:highlight w:val="none"/>
                <w:vertAlign w:val="baseline"/>
                <w:lang w:val="en-US" w:eastAsia="zh-CN"/>
              </w:rPr>
            </w:pPr>
            <w:r>
              <w:rPr>
                <w:rFonts w:hint="default" w:ascii="Times New Roman" w:hAnsi="Times New Roman" w:eastAsia="仿宋_GB2312" w:cs="Times New Roman"/>
                <w:b w:val="0"/>
                <w:bCs w:val="0"/>
                <w:color w:val="000000"/>
                <w:sz w:val="24"/>
                <w:szCs w:val="24"/>
                <w:highlight w:val="none"/>
                <w:vertAlign w:val="baseline"/>
                <w:lang w:val="en-US" w:eastAsia="zh-CN"/>
              </w:rPr>
              <w:t>AAA</w:t>
            </w:r>
          </w:p>
        </w:tc>
        <w:tc>
          <w:tcPr>
            <w:tcW w:w="284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b w:val="0"/>
                <w:bCs w:val="0"/>
                <w:color w:val="000000"/>
                <w:sz w:val="24"/>
                <w:szCs w:val="24"/>
                <w:highlight w:val="none"/>
                <w:vertAlign w:val="baseline"/>
                <w:lang w:val="en-US" w:eastAsia="zh-CN"/>
              </w:rPr>
            </w:pPr>
            <w:r>
              <w:rPr>
                <w:rFonts w:hint="default" w:ascii="Times New Roman" w:hAnsi="Times New Roman" w:eastAsia="仿宋_GB2312" w:cs="Times New Roman"/>
                <w:b w:val="0"/>
                <w:bCs w:val="0"/>
                <w:color w:val="000000"/>
                <w:sz w:val="24"/>
                <w:szCs w:val="24"/>
                <w:highlight w:val="none"/>
                <w:vertAlign w:val="baseline"/>
                <w:lang w:val="en-US" w:eastAsia="zh-CN"/>
              </w:rPr>
              <w:t>90分及以上</w:t>
            </w:r>
          </w:p>
        </w:tc>
        <w:tc>
          <w:tcPr>
            <w:tcW w:w="2842"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b w:val="0"/>
                <w:bCs w:val="0"/>
                <w:color w:val="000000"/>
                <w:sz w:val="24"/>
                <w:szCs w:val="24"/>
                <w:highlight w:val="none"/>
                <w:vertAlign w:val="baseline"/>
                <w:lang w:val="en-US" w:eastAsia="zh-CN"/>
              </w:rPr>
            </w:pPr>
            <w:r>
              <w:rPr>
                <w:rFonts w:hint="default" w:ascii="Times New Roman" w:hAnsi="Times New Roman" w:eastAsia="仿宋_GB2312" w:cs="Times New Roman"/>
                <w:b w:val="0"/>
                <w:bCs w:val="0"/>
                <w:color w:val="000000"/>
                <w:sz w:val="24"/>
                <w:szCs w:val="24"/>
                <w:highlight w:val="none"/>
                <w:vertAlign w:val="baseline"/>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jc w:val="center"/>
        </w:trPr>
        <w:tc>
          <w:tcPr>
            <w:tcW w:w="284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b w:val="0"/>
                <w:bCs w:val="0"/>
                <w:color w:val="000000"/>
                <w:sz w:val="24"/>
                <w:szCs w:val="24"/>
                <w:highlight w:val="none"/>
                <w:vertAlign w:val="baseline"/>
                <w:lang w:val="en-US" w:eastAsia="zh-CN"/>
              </w:rPr>
            </w:pPr>
            <w:r>
              <w:rPr>
                <w:rFonts w:hint="default" w:ascii="Times New Roman" w:hAnsi="Times New Roman" w:eastAsia="仿宋_GB2312" w:cs="Times New Roman"/>
                <w:b w:val="0"/>
                <w:bCs w:val="0"/>
                <w:color w:val="000000"/>
                <w:sz w:val="24"/>
                <w:szCs w:val="24"/>
                <w:highlight w:val="none"/>
                <w:vertAlign w:val="baseline"/>
                <w:lang w:val="en-US" w:eastAsia="zh-CN"/>
              </w:rPr>
              <w:t>AA</w:t>
            </w:r>
          </w:p>
        </w:tc>
        <w:tc>
          <w:tcPr>
            <w:tcW w:w="284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b w:val="0"/>
                <w:bCs w:val="0"/>
                <w:color w:val="000000"/>
                <w:sz w:val="24"/>
                <w:szCs w:val="24"/>
                <w:highlight w:val="none"/>
                <w:vertAlign w:val="baseline"/>
                <w:lang w:val="en-US" w:eastAsia="zh-CN"/>
              </w:rPr>
            </w:pPr>
            <w:r>
              <w:rPr>
                <w:rFonts w:hint="default" w:ascii="Times New Roman" w:hAnsi="Times New Roman" w:eastAsia="仿宋_GB2312" w:cs="Times New Roman"/>
                <w:b w:val="0"/>
                <w:bCs w:val="0"/>
                <w:color w:val="000000"/>
                <w:sz w:val="24"/>
                <w:szCs w:val="24"/>
                <w:highlight w:val="none"/>
                <w:vertAlign w:val="baseline"/>
                <w:lang w:val="en-US" w:eastAsia="zh-CN"/>
              </w:rPr>
              <w:t>75-89分</w:t>
            </w:r>
          </w:p>
        </w:tc>
        <w:tc>
          <w:tcPr>
            <w:tcW w:w="2842"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b w:val="0"/>
                <w:bCs w:val="0"/>
                <w:color w:val="000000"/>
                <w:sz w:val="24"/>
                <w:szCs w:val="24"/>
                <w:highlight w:val="none"/>
                <w:vertAlign w:val="baseline"/>
                <w:lang w:val="en-US" w:eastAsia="zh-CN"/>
              </w:rPr>
            </w:pPr>
            <w:r>
              <w:rPr>
                <w:rFonts w:hint="default" w:ascii="Times New Roman" w:hAnsi="Times New Roman" w:eastAsia="仿宋_GB2312" w:cs="Times New Roman"/>
                <w:b w:val="0"/>
                <w:bCs w:val="0"/>
                <w:color w:val="000000"/>
                <w:sz w:val="24"/>
                <w:szCs w:val="24"/>
                <w:highlight w:val="none"/>
                <w:vertAlign w:val="baseline"/>
                <w:lang w:val="en-US" w:eastAsia="zh-CN"/>
              </w:rPr>
              <w:t>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jc w:val="center"/>
        </w:trPr>
        <w:tc>
          <w:tcPr>
            <w:tcW w:w="284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b w:val="0"/>
                <w:bCs w:val="0"/>
                <w:color w:val="000000"/>
                <w:sz w:val="24"/>
                <w:szCs w:val="24"/>
                <w:highlight w:val="none"/>
                <w:vertAlign w:val="baseline"/>
                <w:lang w:val="en-US" w:eastAsia="zh-CN"/>
              </w:rPr>
            </w:pPr>
            <w:r>
              <w:rPr>
                <w:rFonts w:hint="default" w:ascii="Times New Roman" w:hAnsi="Times New Roman" w:eastAsia="仿宋_GB2312" w:cs="Times New Roman"/>
                <w:b w:val="0"/>
                <w:bCs w:val="0"/>
                <w:color w:val="000000"/>
                <w:sz w:val="24"/>
                <w:szCs w:val="24"/>
                <w:highlight w:val="none"/>
                <w:vertAlign w:val="baseline"/>
                <w:lang w:val="en-US" w:eastAsia="zh-CN"/>
              </w:rPr>
              <w:t>A</w:t>
            </w:r>
          </w:p>
        </w:tc>
        <w:tc>
          <w:tcPr>
            <w:tcW w:w="284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b w:val="0"/>
                <w:bCs w:val="0"/>
                <w:color w:val="000000"/>
                <w:sz w:val="24"/>
                <w:szCs w:val="24"/>
                <w:highlight w:val="none"/>
                <w:vertAlign w:val="baseline"/>
                <w:lang w:val="en-US" w:eastAsia="zh-CN"/>
              </w:rPr>
            </w:pPr>
            <w:r>
              <w:rPr>
                <w:rFonts w:hint="default" w:ascii="Times New Roman" w:hAnsi="Times New Roman" w:eastAsia="仿宋_GB2312" w:cs="Times New Roman"/>
                <w:b w:val="0"/>
                <w:bCs w:val="0"/>
                <w:color w:val="000000"/>
                <w:sz w:val="24"/>
                <w:szCs w:val="24"/>
                <w:highlight w:val="none"/>
                <w:vertAlign w:val="baseline"/>
                <w:lang w:val="en-US" w:eastAsia="zh-CN"/>
              </w:rPr>
              <w:t>60-74分</w:t>
            </w:r>
          </w:p>
        </w:tc>
        <w:tc>
          <w:tcPr>
            <w:tcW w:w="2842"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b w:val="0"/>
                <w:bCs w:val="0"/>
                <w:color w:val="000000"/>
                <w:sz w:val="24"/>
                <w:szCs w:val="24"/>
                <w:highlight w:val="none"/>
                <w:vertAlign w:val="baseline"/>
                <w:lang w:val="en-US" w:eastAsia="zh-CN"/>
              </w:rPr>
            </w:pPr>
            <w:r>
              <w:rPr>
                <w:rFonts w:hint="default" w:ascii="Times New Roman" w:hAnsi="Times New Roman" w:eastAsia="仿宋_GB2312" w:cs="Times New Roman"/>
                <w:b w:val="0"/>
                <w:bCs w:val="0"/>
                <w:color w:val="000000"/>
                <w:sz w:val="24"/>
                <w:szCs w:val="24"/>
                <w:highlight w:val="none"/>
                <w:vertAlign w:val="baseline"/>
                <w:lang w:val="en-US" w:eastAsia="zh-CN"/>
              </w:rPr>
              <w:t>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jc w:val="center"/>
        </w:trPr>
        <w:tc>
          <w:tcPr>
            <w:tcW w:w="284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b w:val="0"/>
                <w:bCs w:val="0"/>
                <w:color w:val="000000"/>
                <w:sz w:val="24"/>
                <w:szCs w:val="24"/>
                <w:highlight w:val="none"/>
                <w:vertAlign w:val="baseline"/>
                <w:lang w:val="en-US" w:eastAsia="zh-CN"/>
              </w:rPr>
            </w:pPr>
            <w:r>
              <w:rPr>
                <w:rFonts w:hint="default" w:ascii="Times New Roman" w:hAnsi="Times New Roman" w:eastAsia="仿宋_GB2312" w:cs="Times New Roman"/>
                <w:b w:val="0"/>
                <w:bCs w:val="0"/>
                <w:color w:val="000000"/>
                <w:sz w:val="24"/>
                <w:szCs w:val="24"/>
                <w:highlight w:val="none"/>
                <w:vertAlign w:val="baseline"/>
                <w:lang w:val="en-US" w:eastAsia="zh-CN"/>
              </w:rPr>
              <w:t>B</w:t>
            </w:r>
          </w:p>
        </w:tc>
        <w:tc>
          <w:tcPr>
            <w:tcW w:w="284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b w:val="0"/>
                <w:bCs w:val="0"/>
                <w:color w:val="000000"/>
                <w:sz w:val="24"/>
                <w:szCs w:val="24"/>
                <w:highlight w:val="none"/>
                <w:vertAlign w:val="baseline"/>
                <w:lang w:val="en-US" w:eastAsia="zh-CN"/>
              </w:rPr>
            </w:pPr>
            <w:r>
              <w:rPr>
                <w:rFonts w:hint="default" w:ascii="Times New Roman" w:hAnsi="Times New Roman" w:eastAsia="仿宋_GB2312" w:cs="Times New Roman"/>
                <w:b w:val="0"/>
                <w:bCs w:val="0"/>
                <w:color w:val="000000"/>
                <w:sz w:val="24"/>
                <w:szCs w:val="24"/>
                <w:highlight w:val="none"/>
                <w:vertAlign w:val="baseline"/>
                <w:lang w:val="en-US" w:eastAsia="zh-CN"/>
              </w:rPr>
              <w:t>40-59分</w:t>
            </w:r>
          </w:p>
        </w:tc>
        <w:tc>
          <w:tcPr>
            <w:tcW w:w="2842"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b w:val="0"/>
                <w:bCs w:val="0"/>
                <w:color w:val="000000"/>
                <w:sz w:val="24"/>
                <w:szCs w:val="24"/>
                <w:highlight w:val="none"/>
                <w:vertAlign w:val="baseline"/>
                <w:lang w:val="en-US" w:eastAsia="zh-CN"/>
              </w:rPr>
            </w:pPr>
            <w:r>
              <w:rPr>
                <w:rFonts w:hint="default" w:ascii="Times New Roman" w:hAnsi="Times New Roman" w:eastAsia="仿宋_GB2312" w:cs="Times New Roman"/>
                <w:b w:val="0"/>
                <w:bCs w:val="0"/>
                <w:color w:val="000000"/>
                <w:sz w:val="24"/>
                <w:szCs w:val="24"/>
                <w:highlight w:val="none"/>
                <w:vertAlign w:val="baseline"/>
                <w:lang w:val="en-US" w:eastAsia="zh-CN"/>
              </w:rPr>
              <w:t>一般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jc w:val="center"/>
        </w:trPr>
        <w:tc>
          <w:tcPr>
            <w:tcW w:w="284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b w:val="0"/>
                <w:bCs w:val="0"/>
                <w:color w:val="000000"/>
                <w:sz w:val="24"/>
                <w:szCs w:val="24"/>
                <w:highlight w:val="none"/>
                <w:vertAlign w:val="baseline"/>
                <w:lang w:val="en-US" w:eastAsia="zh-CN"/>
              </w:rPr>
            </w:pPr>
            <w:r>
              <w:rPr>
                <w:rFonts w:hint="default" w:ascii="Times New Roman" w:hAnsi="Times New Roman" w:eastAsia="仿宋_GB2312" w:cs="Times New Roman"/>
                <w:b w:val="0"/>
                <w:bCs w:val="0"/>
                <w:color w:val="000000"/>
                <w:sz w:val="24"/>
                <w:szCs w:val="24"/>
                <w:highlight w:val="none"/>
                <w:vertAlign w:val="baseline"/>
                <w:lang w:val="en-US" w:eastAsia="zh-CN"/>
              </w:rPr>
              <w:t>C</w:t>
            </w:r>
          </w:p>
        </w:tc>
        <w:tc>
          <w:tcPr>
            <w:tcW w:w="284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b w:val="0"/>
                <w:bCs w:val="0"/>
                <w:color w:val="000000"/>
                <w:sz w:val="24"/>
                <w:szCs w:val="24"/>
                <w:highlight w:val="none"/>
                <w:vertAlign w:val="baseline"/>
                <w:lang w:val="en-US" w:eastAsia="zh-CN"/>
              </w:rPr>
            </w:pPr>
            <w:r>
              <w:rPr>
                <w:rFonts w:hint="default" w:ascii="Times New Roman" w:hAnsi="Times New Roman" w:eastAsia="仿宋_GB2312" w:cs="Times New Roman"/>
                <w:b w:val="0"/>
                <w:bCs w:val="0"/>
                <w:color w:val="000000"/>
                <w:sz w:val="24"/>
                <w:szCs w:val="24"/>
                <w:highlight w:val="none"/>
                <w:vertAlign w:val="baseline"/>
                <w:lang w:val="en-US" w:eastAsia="zh-CN"/>
              </w:rPr>
              <w:t>30-39分</w:t>
            </w:r>
          </w:p>
        </w:tc>
        <w:tc>
          <w:tcPr>
            <w:tcW w:w="2842"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b w:val="0"/>
                <w:bCs w:val="0"/>
                <w:color w:val="000000"/>
                <w:sz w:val="24"/>
                <w:szCs w:val="24"/>
                <w:highlight w:val="none"/>
                <w:vertAlign w:val="baseline"/>
                <w:lang w:val="en-US" w:eastAsia="zh-CN"/>
              </w:rPr>
            </w:pPr>
            <w:r>
              <w:rPr>
                <w:rFonts w:hint="default" w:ascii="Times New Roman" w:hAnsi="Times New Roman" w:eastAsia="仿宋_GB2312" w:cs="Times New Roman"/>
                <w:b w:val="0"/>
                <w:bCs w:val="0"/>
                <w:color w:val="000000"/>
                <w:sz w:val="24"/>
                <w:szCs w:val="24"/>
                <w:highlight w:val="none"/>
                <w:vertAlign w:val="baseline"/>
                <w:lang w:val="en-US" w:eastAsia="zh-CN"/>
              </w:rPr>
              <w:t>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jc w:val="center"/>
        </w:trPr>
        <w:tc>
          <w:tcPr>
            <w:tcW w:w="284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b w:val="0"/>
                <w:bCs w:val="0"/>
                <w:color w:val="000000"/>
                <w:sz w:val="24"/>
                <w:szCs w:val="24"/>
                <w:highlight w:val="none"/>
                <w:vertAlign w:val="baseline"/>
                <w:lang w:val="en-US" w:eastAsia="zh-CN"/>
              </w:rPr>
            </w:pPr>
            <w:r>
              <w:rPr>
                <w:rFonts w:hint="default" w:ascii="Times New Roman" w:hAnsi="Times New Roman" w:eastAsia="仿宋_GB2312" w:cs="Times New Roman"/>
                <w:b w:val="0"/>
                <w:bCs w:val="0"/>
                <w:color w:val="000000"/>
                <w:sz w:val="24"/>
                <w:szCs w:val="24"/>
                <w:highlight w:val="none"/>
                <w:vertAlign w:val="baseline"/>
                <w:lang w:val="en-US" w:eastAsia="zh-CN"/>
              </w:rPr>
              <w:t>D</w:t>
            </w:r>
          </w:p>
        </w:tc>
        <w:tc>
          <w:tcPr>
            <w:tcW w:w="284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b w:val="0"/>
                <w:bCs w:val="0"/>
                <w:color w:val="000000"/>
                <w:sz w:val="24"/>
                <w:szCs w:val="24"/>
                <w:highlight w:val="none"/>
                <w:vertAlign w:val="baseline"/>
                <w:lang w:val="en-US" w:eastAsia="zh-CN"/>
              </w:rPr>
            </w:pPr>
            <w:r>
              <w:rPr>
                <w:rFonts w:hint="default" w:ascii="Times New Roman" w:hAnsi="Times New Roman" w:eastAsia="仿宋_GB2312" w:cs="Times New Roman"/>
                <w:b w:val="0"/>
                <w:bCs w:val="0"/>
                <w:color w:val="000000"/>
                <w:sz w:val="24"/>
                <w:szCs w:val="24"/>
                <w:highlight w:val="none"/>
                <w:vertAlign w:val="baseline"/>
                <w:lang w:val="en-US" w:eastAsia="zh-CN"/>
              </w:rPr>
              <w:t>30分以下</w:t>
            </w:r>
          </w:p>
        </w:tc>
        <w:tc>
          <w:tcPr>
            <w:tcW w:w="2842"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b w:val="0"/>
                <w:bCs w:val="0"/>
                <w:color w:val="000000"/>
                <w:sz w:val="24"/>
                <w:szCs w:val="24"/>
                <w:highlight w:val="none"/>
                <w:vertAlign w:val="baseline"/>
                <w:lang w:val="en-US" w:eastAsia="zh-CN"/>
              </w:rPr>
            </w:pPr>
            <w:r>
              <w:rPr>
                <w:rFonts w:hint="default" w:ascii="Times New Roman" w:hAnsi="Times New Roman" w:eastAsia="仿宋_GB2312" w:cs="Times New Roman"/>
                <w:b w:val="0"/>
                <w:bCs w:val="0"/>
                <w:color w:val="000000"/>
                <w:sz w:val="24"/>
                <w:szCs w:val="24"/>
                <w:highlight w:val="none"/>
                <w:vertAlign w:val="baseline"/>
                <w:lang w:val="en-US" w:eastAsia="zh-CN"/>
              </w:rPr>
              <w:t>极差</w:t>
            </w:r>
          </w:p>
        </w:tc>
      </w:tr>
    </w:tbl>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黑体" w:cs="Times New Roman"/>
          <w:b w:val="0"/>
          <w:bCs w:val="0"/>
          <w:color w:val="000000"/>
          <w:sz w:val="32"/>
          <w:szCs w:val="32"/>
          <w:highlight w:val="none"/>
          <w:lang w:eastAsia="zh-CN"/>
        </w:rPr>
        <w:t>第九条</w:t>
      </w:r>
      <w:r>
        <w:rPr>
          <w:rFonts w:hint="default" w:ascii="Times New Roman" w:hAnsi="Times New Roman" w:eastAsia="仿宋_GB2312" w:cs="Times New Roman"/>
          <w:bCs/>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评价周期</w:t>
      </w:r>
      <w:r>
        <w:rPr>
          <w:rFonts w:hint="default" w:ascii="Times New Roman" w:hAnsi="Times New Roman" w:eastAsia="仿宋_GB2312" w:cs="Times New Roman"/>
          <w:bCs/>
          <w:color w:val="000000"/>
          <w:sz w:val="32"/>
          <w:szCs w:val="32"/>
          <w:highlight w:val="none"/>
          <w:lang w:val="en-US" w:eastAsia="zh-CN"/>
        </w:rPr>
        <w:t>] 售电公司信用评价结合交易工作实际定期发起，每年度开展一次，</w:t>
      </w:r>
      <w:r>
        <w:rPr>
          <w:rFonts w:hint="default" w:ascii="Times New Roman" w:hAnsi="Times New Roman" w:eastAsia="仿宋_GB2312" w:cs="Times New Roman"/>
          <w:color w:val="000000"/>
          <w:sz w:val="32"/>
          <w:szCs w:val="32"/>
          <w:highlight w:val="none"/>
        </w:rPr>
        <w:t>条件成熟</w:t>
      </w:r>
      <w:r>
        <w:rPr>
          <w:rFonts w:hint="default" w:ascii="Times New Roman" w:hAnsi="Times New Roman" w:eastAsia="仿宋_GB2312" w:cs="Times New Roman"/>
          <w:color w:val="000000"/>
          <w:sz w:val="32"/>
          <w:szCs w:val="32"/>
          <w:highlight w:val="none"/>
          <w:lang w:eastAsia="zh-CN"/>
        </w:rPr>
        <w:t>时</w:t>
      </w:r>
      <w:r>
        <w:rPr>
          <w:rFonts w:hint="default" w:ascii="Times New Roman" w:hAnsi="Times New Roman" w:eastAsia="仿宋_GB2312" w:cs="Times New Roman"/>
          <w:color w:val="000000"/>
          <w:sz w:val="32"/>
          <w:szCs w:val="32"/>
          <w:highlight w:val="none"/>
        </w:rPr>
        <w:t>可缩短评价周期。对于纳入售电公司目录且在评价周期内未开展任何交易业务的售电公司，不做评级。根据定期复查和不定期抽查结果进行等级调整。</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黑体" w:cs="Times New Roman"/>
          <w:b w:val="0"/>
          <w:bCs w:val="0"/>
          <w:color w:val="000000"/>
          <w:sz w:val="32"/>
          <w:szCs w:val="32"/>
          <w:highlight w:val="none"/>
          <w:lang w:eastAsia="zh-CN"/>
        </w:rPr>
        <w:t>第十条</w:t>
      </w:r>
      <w:r>
        <w:rPr>
          <w:rFonts w:hint="default" w:ascii="Times New Roman" w:hAnsi="Times New Roman" w:eastAsia="仿宋_GB2312" w:cs="Times New Roman"/>
          <w:bCs/>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评价</w:t>
      </w:r>
      <w:r>
        <w:rPr>
          <w:rFonts w:hint="default" w:ascii="Times New Roman" w:hAnsi="Times New Roman" w:eastAsia="仿宋_GB2312" w:cs="Times New Roman"/>
          <w:color w:val="000000"/>
          <w:sz w:val="32"/>
          <w:szCs w:val="32"/>
          <w:highlight w:val="none"/>
          <w:lang w:eastAsia="zh-CN"/>
        </w:rPr>
        <w:t>流程</w:t>
      </w:r>
      <w:r>
        <w:rPr>
          <w:rFonts w:hint="default" w:ascii="Times New Roman" w:hAnsi="Times New Roman" w:eastAsia="仿宋_GB2312" w:cs="Times New Roman"/>
          <w:bCs/>
          <w:color w:val="000000"/>
          <w:sz w:val="32"/>
          <w:szCs w:val="32"/>
          <w:highlight w:val="none"/>
          <w:lang w:val="en-US" w:eastAsia="zh-CN"/>
        </w:rPr>
        <w:t>] 售电公司信用评级工作，包含初评、初评结果公示、异议受理、结果复核、正式发布等流程。</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黑体" w:cs="Times New Roman"/>
          <w:b w:val="0"/>
          <w:bCs w:val="0"/>
          <w:color w:val="000000"/>
          <w:sz w:val="32"/>
          <w:szCs w:val="32"/>
          <w:highlight w:val="none"/>
          <w:lang w:eastAsia="zh-CN"/>
        </w:rPr>
        <w:t>第十一条</w:t>
      </w:r>
      <w:r>
        <w:rPr>
          <w:rFonts w:hint="default" w:ascii="Times New Roman" w:hAnsi="Times New Roman" w:eastAsia="仿宋_GB2312" w:cs="Times New Roman"/>
          <w:bCs/>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数据需求</w:t>
      </w:r>
      <w:r>
        <w:rPr>
          <w:rFonts w:hint="default" w:ascii="Times New Roman" w:hAnsi="Times New Roman" w:eastAsia="仿宋_GB2312" w:cs="Times New Roman"/>
          <w:bCs/>
          <w:color w:val="000000"/>
          <w:sz w:val="32"/>
          <w:szCs w:val="32"/>
          <w:highlight w:val="none"/>
          <w:lang w:val="en-US" w:eastAsia="zh-CN"/>
        </w:rPr>
        <w:t>] 售电公司</w:t>
      </w:r>
      <w:r>
        <w:rPr>
          <w:rFonts w:hint="default" w:ascii="Times New Roman" w:hAnsi="Times New Roman" w:eastAsia="仿宋_GB2312" w:cs="Times New Roman"/>
          <w:color w:val="000000"/>
          <w:sz w:val="32"/>
          <w:szCs w:val="32"/>
          <w:highlight w:val="none"/>
        </w:rPr>
        <w:t>应按照信用评价指标体系数据需求，及时</w:t>
      </w:r>
      <w:r>
        <w:rPr>
          <w:rFonts w:hint="default" w:ascii="Times New Roman" w:hAnsi="Times New Roman" w:eastAsia="仿宋_GB2312" w:cs="Times New Roman"/>
          <w:color w:val="000000"/>
          <w:sz w:val="32"/>
          <w:szCs w:val="32"/>
          <w:highlight w:val="none"/>
          <w:lang w:eastAsia="zh-CN"/>
        </w:rPr>
        <w:t>通过电力交易平台</w:t>
      </w:r>
      <w:r>
        <w:rPr>
          <w:rFonts w:hint="default" w:ascii="Times New Roman" w:hAnsi="Times New Roman" w:eastAsia="仿宋_GB2312" w:cs="Times New Roman"/>
          <w:color w:val="000000"/>
          <w:sz w:val="32"/>
          <w:szCs w:val="32"/>
          <w:highlight w:val="none"/>
        </w:rPr>
        <w:t>提交企业信用、财务状况等数据及证明材料，</w:t>
      </w:r>
      <w:r>
        <w:rPr>
          <w:rFonts w:hint="default" w:ascii="Times New Roman" w:hAnsi="Times New Roman" w:eastAsia="仿宋_GB2312" w:cs="Times New Roman"/>
          <w:color w:val="000000"/>
          <w:sz w:val="32"/>
          <w:szCs w:val="32"/>
          <w:highlight w:val="none"/>
          <w:lang w:eastAsia="zh-CN"/>
        </w:rPr>
        <w:t>并</w:t>
      </w:r>
      <w:r>
        <w:rPr>
          <w:rFonts w:hint="default" w:ascii="Times New Roman" w:hAnsi="Times New Roman" w:eastAsia="仿宋_GB2312" w:cs="Times New Roman"/>
          <w:color w:val="000000"/>
          <w:sz w:val="32"/>
          <w:szCs w:val="32"/>
          <w:highlight w:val="none"/>
        </w:rPr>
        <w:t>对其真实性、有效性负责。</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bCs/>
          <w:color w:val="000000"/>
          <w:sz w:val="32"/>
          <w:szCs w:val="32"/>
          <w:highlight w:val="none"/>
          <w:lang w:val="en-US" w:eastAsia="zh-CN"/>
        </w:rPr>
      </w:pPr>
      <w:r>
        <w:rPr>
          <w:rFonts w:hint="default" w:ascii="Times New Roman" w:hAnsi="Times New Roman" w:eastAsia="黑体" w:cs="Times New Roman"/>
          <w:b w:val="0"/>
          <w:bCs w:val="0"/>
          <w:color w:val="000000"/>
          <w:sz w:val="32"/>
          <w:szCs w:val="32"/>
          <w:highlight w:val="none"/>
          <w:lang w:eastAsia="zh-CN"/>
        </w:rPr>
        <w:t>第十二条</w:t>
      </w:r>
      <w:r>
        <w:rPr>
          <w:rFonts w:hint="default" w:ascii="Times New Roman" w:hAnsi="Times New Roman" w:eastAsia="仿宋_GB2312" w:cs="Times New Roman"/>
          <w:bCs/>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eastAsia="zh-CN"/>
        </w:rPr>
        <w:t>信用初评</w:t>
      </w:r>
      <w:r>
        <w:rPr>
          <w:rFonts w:hint="default" w:ascii="Times New Roman" w:hAnsi="Times New Roman" w:eastAsia="仿宋_GB2312" w:cs="Times New Roman"/>
          <w:bCs/>
          <w:color w:val="000000"/>
          <w:sz w:val="32"/>
          <w:szCs w:val="32"/>
          <w:highlight w:val="none"/>
          <w:lang w:val="en-US" w:eastAsia="zh-CN"/>
        </w:rPr>
        <w:t>] 交易中心</w:t>
      </w:r>
      <w:r>
        <w:rPr>
          <w:rFonts w:hint="default" w:ascii="Times New Roman" w:hAnsi="Times New Roman" w:eastAsia="仿宋_GB2312" w:cs="Times New Roman"/>
          <w:color w:val="000000"/>
          <w:sz w:val="32"/>
          <w:szCs w:val="32"/>
          <w:highlight w:val="none"/>
        </w:rPr>
        <w:t>依托电力交易平台归集相关数据和信息，</w:t>
      </w:r>
      <w:r>
        <w:rPr>
          <w:rFonts w:hint="default" w:ascii="Times New Roman" w:hAnsi="Times New Roman" w:eastAsia="仿宋_GB2312" w:cs="Times New Roman"/>
          <w:bCs/>
          <w:color w:val="000000"/>
          <w:sz w:val="32"/>
          <w:szCs w:val="32"/>
          <w:highlight w:val="none"/>
          <w:lang w:val="en-US" w:eastAsia="zh-CN"/>
        </w:rPr>
        <w:t>在评价周期结束后的次月完成售电公司信用评价，计算信用评价分值，确定信用评价等级。</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黑体" w:cs="Times New Roman"/>
          <w:b w:val="0"/>
          <w:bCs w:val="0"/>
          <w:color w:val="000000"/>
          <w:sz w:val="32"/>
          <w:szCs w:val="32"/>
          <w:highlight w:val="none"/>
          <w:lang w:eastAsia="zh-CN"/>
        </w:rPr>
        <w:t>第十三条</w:t>
      </w:r>
      <w:r>
        <w:rPr>
          <w:rFonts w:hint="default" w:ascii="Times New Roman" w:hAnsi="Times New Roman" w:eastAsia="黑体" w:cs="Times New Roman"/>
          <w:bCs w:val="0"/>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结果公示</w:t>
      </w:r>
      <w:r>
        <w:rPr>
          <w:rFonts w:hint="default" w:ascii="Times New Roman" w:hAnsi="Times New Roman" w:eastAsia="仿宋_GB2312" w:cs="Times New Roman"/>
          <w:bCs/>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信用评价结果在</w:t>
      </w:r>
      <w:r>
        <w:rPr>
          <w:rFonts w:hint="default" w:ascii="Times New Roman" w:hAnsi="Times New Roman" w:eastAsia="仿宋_GB2312" w:cs="Times New Roman"/>
          <w:color w:val="000000"/>
          <w:sz w:val="32"/>
          <w:szCs w:val="32"/>
          <w:highlight w:val="none"/>
          <w:lang w:val="en-US" w:eastAsia="zh-CN"/>
        </w:rPr>
        <w:t>电力</w:t>
      </w:r>
      <w:r>
        <w:rPr>
          <w:rFonts w:hint="default" w:ascii="Times New Roman" w:hAnsi="Times New Roman" w:eastAsia="仿宋_GB2312" w:cs="Times New Roman"/>
          <w:color w:val="000000"/>
          <w:sz w:val="32"/>
          <w:szCs w:val="32"/>
          <w:highlight w:val="none"/>
        </w:rPr>
        <w:t>交易平台面向社会进行公示，公示期为自公示之日起</w:t>
      </w:r>
      <w:r>
        <w:rPr>
          <w:rFonts w:hint="default" w:ascii="Times New Roman" w:hAnsi="Times New Roman" w:eastAsia="仿宋_GB2312" w:cs="Times New Roman"/>
          <w:color w:val="000000"/>
          <w:sz w:val="32"/>
          <w:szCs w:val="32"/>
          <w:highlight w:val="none"/>
          <w:lang w:val="en-US" w:eastAsia="zh-CN"/>
        </w:rPr>
        <w:t>5</w:t>
      </w:r>
      <w:r>
        <w:rPr>
          <w:rFonts w:hint="default" w:ascii="Times New Roman" w:hAnsi="Times New Roman" w:eastAsia="仿宋_GB2312" w:cs="Times New Roman"/>
          <w:color w:val="000000"/>
          <w:sz w:val="32"/>
          <w:szCs w:val="32"/>
          <w:highlight w:val="none"/>
        </w:rPr>
        <w:t>个工作日。</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黑体" w:cs="Times New Roman"/>
          <w:b w:val="0"/>
          <w:bCs w:val="0"/>
          <w:color w:val="000000"/>
          <w:sz w:val="32"/>
          <w:szCs w:val="32"/>
          <w:highlight w:val="none"/>
          <w:lang w:eastAsia="zh-CN"/>
        </w:rPr>
        <w:t>第十四条</w:t>
      </w:r>
      <w:r>
        <w:rPr>
          <w:rFonts w:hint="default" w:ascii="Times New Roman" w:hAnsi="Times New Roman" w:eastAsia="仿宋_GB2312" w:cs="Times New Roman"/>
          <w:bCs/>
          <w:color w:val="000000"/>
          <w:sz w:val="32"/>
          <w:szCs w:val="32"/>
          <w:highlight w:val="none"/>
          <w:lang w:val="en-US" w:eastAsia="zh-CN"/>
        </w:rPr>
        <w:t>[异议</w:t>
      </w:r>
      <w:r>
        <w:rPr>
          <w:rFonts w:hint="default" w:ascii="Times New Roman" w:hAnsi="Times New Roman" w:eastAsia="仿宋_GB2312" w:cs="Times New Roman"/>
          <w:color w:val="000000"/>
          <w:sz w:val="32"/>
          <w:szCs w:val="32"/>
          <w:highlight w:val="none"/>
          <w:lang w:eastAsia="zh-CN"/>
        </w:rPr>
        <w:t>受理</w:t>
      </w:r>
      <w:r>
        <w:rPr>
          <w:rFonts w:hint="default" w:ascii="Times New Roman" w:hAnsi="Times New Roman" w:eastAsia="仿宋_GB2312" w:cs="Times New Roman"/>
          <w:bCs/>
          <w:color w:val="000000"/>
          <w:sz w:val="32"/>
          <w:szCs w:val="32"/>
          <w:highlight w:val="none"/>
          <w:lang w:val="en-US" w:eastAsia="zh-CN"/>
        </w:rPr>
        <w:t>] 对评价结果有异议的，可在3个工作日内实名向交易中心提出申诉，说明理由并提供相关证明材料。交易中心在收到申诉后5个工作日内完成复核、答复工作。若售电公司对交易中心给出的答复仍有异议，可向浙江省能源局反馈，由浙江省能源局最终核定。</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黑体" w:cs="Times New Roman"/>
          <w:b w:val="0"/>
          <w:bCs w:val="0"/>
          <w:color w:val="000000"/>
          <w:sz w:val="32"/>
          <w:szCs w:val="32"/>
          <w:highlight w:val="none"/>
          <w:lang w:eastAsia="zh-CN"/>
        </w:rPr>
        <w:t>第十五条</w:t>
      </w:r>
      <w:r>
        <w:rPr>
          <w:rFonts w:hint="default" w:ascii="Times New Roman" w:hAnsi="Times New Roman" w:eastAsia="仿宋_GB2312" w:cs="Times New Roman"/>
          <w:bCs/>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eastAsia="zh-CN"/>
        </w:rPr>
        <w:t>正式发布</w:t>
      </w:r>
      <w:r>
        <w:rPr>
          <w:rFonts w:hint="default" w:ascii="Times New Roman" w:hAnsi="Times New Roman" w:eastAsia="仿宋_GB2312" w:cs="Times New Roman"/>
          <w:bCs/>
          <w:color w:val="000000"/>
          <w:sz w:val="32"/>
          <w:szCs w:val="32"/>
          <w:highlight w:val="none"/>
          <w:lang w:val="en-US" w:eastAsia="zh-CN"/>
        </w:rPr>
        <w:t xml:space="preserve">] </w:t>
      </w:r>
      <w:r>
        <w:rPr>
          <w:rFonts w:hint="default" w:ascii="Times New Roman" w:hAnsi="Times New Roman" w:eastAsia="仿宋_GB2312" w:cs="Times New Roman"/>
          <w:bCs/>
          <w:color w:val="000000"/>
          <w:kern w:val="2"/>
          <w:sz w:val="32"/>
          <w:szCs w:val="32"/>
          <w:highlight w:val="none"/>
          <w:lang w:val="en-US" w:eastAsia="zh-CN" w:bidi="ar-SA"/>
        </w:rPr>
        <w:t>异议处理完成后，</w:t>
      </w:r>
      <w:r>
        <w:rPr>
          <w:rFonts w:hint="default" w:ascii="Times New Roman" w:hAnsi="Times New Roman" w:eastAsia="仿宋_GB2312" w:cs="Times New Roman"/>
          <w:bCs/>
          <w:color w:val="000000"/>
          <w:sz w:val="32"/>
          <w:szCs w:val="32"/>
          <w:highlight w:val="none"/>
          <w:lang w:val="en-US" w:eastAsia="zh-CN"/>
        </w:rPr>
        <w:t>交易中心</w:t>
      </w:r>
      <w:r>
        <w:rPr>
          <w:rFonts w:hint="default" w:ascii="Times New Roman" w:hAnsi="Times New Roman" w:eastAsia="仿宋_GB2312" w:cs="Times New Roman"/>
          <w:bCs/>
          <w:color w:val="000000"/>
          <w:kern w:val="2"/>
          <w:sz w:val="32"/>
          <w:szCs w:val="32"/>
          <w:highlight w:val="none"/>
          <w:lang w:val="en-US" w:eastAsia="zh-CN" w:bidi="ar-SA"/>
        </w:rPr>
        <w:t>形成正式评价结果，在7个工作日内</w:t>
      </w:r>
      <w:r>
        <w:rPr>
          <w:rFonts w:hint="default" w:ascii="Times New Roman" w:hAnsi="Times New Roman" w:eastAsia="仿宋_GB2312" w:cs="Times New Roman"/>
          <w:bCs/>
          <w:color w:val="000000"/>
          <w:sz w:val="32"/>
          <w:szCs w:val="32"/>
          <w:highlight w:val="none"/>
          <w:lang w:val="en-US" w:eastAsia="zh-CN"/>
        </w:rPr>
        <w:t>将信用</w:t>
      </w:r>
      <w:r>
        <w:rPr>
          <w:rFonts w:hint="default" w:ascii="Times New Roman" w:hAnsi="Times New Roman" w:eastAsia="仿宋_GB2312" w:cs="Times New Roman"/>
          <w:bCs/>
          <w:color w:val="000000"/>
          <w:kern w:val="2"/>
          <w:sz w:val="32"/>
          <w:szCs w:val="32"/>
          <w:highlight w:val="none"/>
          <w:lang w:val="en-US" w:eastAsia="zh-CN" w:bidi="ar-SA"/>
        </w:rPr>
        <w:t>评价</w:t>
      </w:r>
      <w:r>
        <w:rPr>
          <w:rFonts w:hint="default" w:ascii="Times New Roman" w:hAnsi="Times New Roman" w:eastAsia="仿宋_GB2312" w:cs="Times New Roman"/>
          <w:bCs/>
          <w:color w:val="000000"/>
          <w:sz w:val="32"/>
          <w:szCs w:val="32"/>
          <w:highlight w:val="none"/>
          <w:lang w:val="en-US" w:eastAsia="zh-CN"/>
        </w:rPr>
        <w:t>结果报送政府机构有关部门，共享至浙江省公共信用信息平台，</w:t>
      </w:r>
      <w:r>
        <w:rPr>
          <w:rFonts w:hint="default" w:ascii="Times New Roman" w:hAnsi="Times New Roman" w:eastAsia="仿宋_GB2312" w:cs="Times New Roman"/>
          <w:color w:val="000000"/>
          <w:sz w:val="32"/>
          <w:szCs w:val="32"/>
          <w:highlight w:val="none"/>
          <w:lang w:eastAsia="zh-CN"/>
        </w:rPr>
        <w:t>通过</w:t>
      </w:r>
      <w:r>
        <w:rPr>
          <w:rFonts w:hint="default" w:ascii="Times New Roman" w:hAnsi="Times New Roman" w:eastAsia="仿宋_GB2312" w:cs="Times New Roman"/>
          <w:color w:val="000000"/>
          <w:sz w:val="32"/>
          <w:szCs w:val="32"/>
          <w:highlight w:val="none"/>
          <w:lang w:val="en-US" w:eastAsia="zh-CN"/>
        </w:rPr>
        <w:t>电力</w:t>
      </w:r>
      <w:r>
        <w:rPr>
          <w:rFonts w:hint="default" w:ascii="Times New Roman" w:hAnsi="Times New Roman" w:eastAsia="仿宋_GB2312" w:cs="Times New Roman"/>
          <w:color w:val="000000"/>
          <w:sz w:val="32"/>
          <w:szCs w:val="32"/>
          <w:highlight w:val="none"/>
          <w:lang w:eastAsia="zh-CN"/>
        </w:rPr>
        <w:t>交易</w:t>
      </w:r>
      <w:r>
        <w:rPr>
          <w:rFonts w:hint="default" w:ascii="Times New Roman" w:hAnsi="Times New Roman" w:eastAsia="仿宋_GB2312" w:cs="Times New Roman"/>
          <w:color w:val="000000"/>
          <w:sz w:val="32"/>
          <w:szCs w:val="32"/>
          <w:highlight w:val="none"/>
          <w:lang w:val="en-US" w:eastAsia="zh-CN"/>
        </w:rPr>
        <w:t>平台</w:t>
      </w:r>
      <w:r>
        <w:rPr>
          <w:rFonts w:hint="default" w:ascii="Times New Roman" w:hAnsi="Times New Roman" w:eastAsia="仿宋_GB2312" w:cs="Times New Roman"/>
          <w:color w:val="000000"/>
          <w:sz w:val="32"/>
          <w:szCs w:val="32"/>
          <w:highlight w:val="none"/>
          <w:lang w:eastAsia="zh-CN"/>
        </w:rPr>
        <w:t>等渠道</w:t>
      </w:r>
      <w:r>
        <w:rPr>
          <w:rFonts w:hint="default" w:ascii="Times New Roman" w:hAnsi="Times New Roman" w:eastAsia="仿宋_GB2312" w:cs="Times New Roman"/>
          <w:color w:val="000000"/>
          <w:sz w:val="32"/>
          <w:szCs w:val="32"/>
          <w:highlight w:val="none"/>
        </w:rPr>
        <w:t>面向社会发布。</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bCs/>
          <w:color w:val="000000"/>
          <w:sz w:val="32"/>
          <w:szCs w:val="32"/>
          <w:highlight w:val="none"/>
        </w:rPr>
      </w:pPr>
      <w:r>
        <w:rPr>
          <w:rFonts w:hint="default" w:ascii="Times New Roman" w:hAnsi="Times New Roman" w:eastAsia="黑体" w:cs="Times New Roman"/>
          <w:b w:val="0"/>
          <w:bCs w:val="0"/>
          <w:color w:val="000000"/>
          <w:sz w:val="32"/>
          <w:szCs w:val="32"/>
          <w:highlight w:val="none"/>
          <w:lang w:eastAsia="zh-CN"/>
        </w:rPr>
        <w:t>第十六条</w:t>
      </w:r>
      <w:r>
        <w:rPr>
          <w:rFonts w:hint="default" w:ascii="Times New Roman" w:hAnsi="Times New Roman" w:eastAsia="仿宋_GB2312" w:cs="Times New Roman"/>
          <w:bCs/>
          <w:color w:val="000000"/>
          <w:sz w:val="32"/>
          <w:szCs w:val="32"/>
          <w:highlight w:val="none"/>
          <w:lang w:val="en-US" w:eastAsia="zh-CN"/>
        </w:rPr>
        <w:t>[</w:t>
      </w:r>
      <w:r>
        <w:rPr>
          <w:rFonts w:hint="default" w:ascii="Times New Roman" w:hAnsi="Times New Roman" w:eastAsia="仿宋_GB2312" w:cs="Times New Roman"/>
          <w:bCs/>
          <w:color w:val="000000"/>
          <w:sz w:val="32"/>
          <w:szCs w:val="32"/>
          <w:highlight w:val="none"/>
        </w:rPr>
        <w:t>特殊情况</w:t>
      </w:r>
      <w:r>
        <w:rPr>
          <w:rFonts w:hint="default" w:ascii="Times New Roman" w:hAnsi="Times New Roman" w:eastAsia="仿宋_GB2312" w:cs="Times New Roman"/>
          <w:bCs/>
          <w:color w:val="000000"/>
          <w:sz w:val="32"/>
          <w:szCs w:val="32"/>
          <w:highlight w:val="none"/>
          <w:lang w:val="en-US" w:eastAsia="zh-CN"/>
        </w:rPr>
        <w:t xml:space="preserve">] </w:t>
      </w:r>
      <w:r>
        <w:rPr>
          <w:rFonts w:hint="default" w:ascii="Times New Roman" w:hAnsi="Times New Roman" w:eastAsia="仿宋_GB2312" w:cs="Times New Roman"/>
          <w:bCs/>
          <w:color w:val="000000"/>
          <w:sz w:val="32"/>
          <w:szCs w:val="32"/>
          <w:highlight w:val="none"/>
        </w:rPr>
        <w:t>对于</w:t>
      </w:r>
      <w:r>
        <w:rPr>
          <w:rFonts w:hint="default" w:ascii="Times New Roman" w:hAnsi="Times New Roman" w:eastAsia="仿宋_GB2312" w:cs="Times New Roman"/>
          <w:bCs/>
          <w:color w:val="000000"/>
          <w:sz w:val="32"/>
          <w:szCs w:val="32"/>
          <w:highlight w:val="none"/>
          <w:lang w:eastAsia="zh-CN"/>
        </w:rPr>
        <w:t>售电公司</w:t>
      </w:r>
      <w:r>
        <w:rPr>
          <w:rFonts w:hint="default" w:ascii="Times New Roman" w:hAnsi="Times New Roman" w:eastAsia="仿宋_GB2312" w:cs="Times New Roman"/>
          <w:bCs/>
          <w:color w:val="000000"/>
          <w:sz w:val="32"/>
          <w:szCs w:val="32"/>
          <w:highlight w:val="none"/>
        </w:rPr>
        <w:t>在信用评价结果发布后发生的重大违规违约事件，交易中心应及时发布相关风险提示。</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bCs/>
          <w:color w:val="000000"/>
          <w:sz w:val="32"/>
          <w:szCs w:val="32"/>
          <w:highlight w:val="none"/>
          <w:lang w:eastAsia="zh-CN"/>
        </w:rPr>
      </w:pPr>
      <w:r>
        <w:rPr>
          <w:rFonts w:hint="default" w:ascii="Times New Roman" w:hAnsi="Times New Roman" w:eastAsia="黑体" w:cs="Times New Roman"/>
          <w:b w:val="0"/>
          <w:bCs w:val="0"/>
          <w:color w:val="000000"/>
          <w:sz w:val="32"/>
          <w:szCs w:val="32"/>
          <w:highlight w:val="none"/>
          <w:lang w:eastAsia="zh-CN"/>
        </w:rPr>
        <w:t>第十七条</w:t>
      </w:r>
      <w:r>
        <w:rPr>
          <w:rFonts w:hint="default" w:ascii="Times New Roman" w:hAnsi="Times New Roman" w:eastAsia="仿宋_GB2312" w:cs="Times New Roman"/>
          <w:bCs/>
          <w:color w:val="000000"/>
          <w:sz w:val="32"/>
          <w:szCs w:val="32"/>
          <w:highlight w:val="none"/>
          <w:lang w:val="en-US" w:eastAsia="zh-CN"/>
        </w:rPr>
        <w:t>[</w:t>
      </w:r>
      <w:r>
        <w:rPr>
          <w:rFonts w:hint="default" w:ascii="Times New Roman" w:hAnsi="Times New Roman" w:eastAsia="仿宋_GB2312" w:cs="Times New Roman"/>
          <w:bCs/>
          <w:color w:val="000000"/>
          <w:sz w:val="32"/>
          <w:szCs w:val="32"/>
          <w:highlight w:val="none"/>
          <w:lang w:eastAsia="zh-CN"/>
        </w:rPr>
        <w:t>信用修复</w:t>
      </w:r>
      <w:r>
        <w:rPr>
          <w:rFonts w:hint="default" w:ascii="Times New Roman" w:hAnsi="Times New Roman" w:eastAsia="仿宋_GB2312" w:cs="Times New Roman"/>
          <w:bCs/>
          <w:color w:val="000000"/>
          <w:sz w:val="32"/>
          <w:szCs w:val="32"/>
          <w:highlight w:val="none"/>
          <w:lang w:val="en-US" w:eastAsia="zh-CN"/>
        </w:rPr>
        <w:t>] 若售电公司具体失信行为被行政机关或复议机关决定撤销、变更的，亦或被人民法院判决撤销、变更的，售电公司可通过提出申请并提供佐证材料，由交易中心对相关失信记录进行删除或修改。在信用修复完成后，由交易中心负责更正相关信息或信用评价结果，将信用修复情况同步推送政府相关部门，停止联合惩戒措施。</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黑体" w:cs="Times New Roman"/>
          <w:b w:val="0"/>
          <w:bCs w:val="0"/>
          <w:color w:val="000000"/>
          <w:sz w:val="32"/>
          <w:szCs w:val="32"/>
          <w:highlight w:val="none"/>
          <w:lang w:eastAsia="zh-CN"/>
        </w:rPr>
        <w:t>第十八条</w:t>
      </w:r>
      <w:r>
        <w:rPr>
          <w:rFonts w:hint="default" w:ascii="Times New Roman" w:hAnsi="Times New Roman" w:eastAsia="仿宋_GB2312" w:cs="Times New Roman"/>
          <w:bCs/>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信息安全</w:t>
      </w:r>
      <w:r>
        <w:rPr>
          <w:rFonts w:hint="default" w:ascii="Times New Roman" w:hAnsi="Times New Roman" w:eastAsia="仿宋_GB2312" w:cs="Times New Roman"/>
          <w:bCs/>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交易中心应加强市场主体隐私保护，不得泄露影响公平竞争和涉及用户隐私的相关信息</w:t>
      </w:r>
      <w:r>
        <w:rPr>
          <w:rFonts w:hint="default" w:ascii="Times New Roman" w:hAnsi="Times New Roman" w:eastAsia="仿宋_GB2312" w:cs="Times New Roman"/>
          <w:color w:val="000000"/>
          <w:sz w:val="32"/>
          <w:szCs w:val="32"/>
          <w:highlight w:val="none"/>
          <w:lang w:eastAsia="zh-Hans"/>
        </w:rPr>
        <w:t>，</w:t>
      </w:r>
      <w:r>
        <w:rPr>
          <w:rFonts w:hint="default" w:ascii="Times New Roman" w:hAnsi="Times New Roman" w:eastAsia="仿宋_GB2312" w:cs="Times New Roman"/>
          <w:color w:val="000000"/>
          <w:sz w:val="32"/>
          <w:szCs w:val="32"/>
          <w:highlight w:val="none"/>
        </w:rPr>
        <w:t>对</w:t>
      </w:r>
      <w:r>
        <w:rPr>
          <w:rFonts w:hint="default" w:ascii="Times New Roman" w:hAnsi="Times New Roman" w:eastAsia="仿宋_GB2312" w:cs="Times New Roman"/>
          <w:color w:val="000000"/>
          <w:sz w:val="32"/>
          <w:szCs w:val="32"/>
          <w:highlight w:val="none"/>
          <w:lang w:val="en-US"/>
        </w:rPr>
        <w:t>私有</w:t>
      </w:r>
      <w:r>
        <w:rPr>
          <w:rFonts w:hint="default" w:ascii="Times New Roman" w:hAnsi="Times New Roman" w:eastAsia="仿宋_GB2312" w:cs="Times New Roman"/>
          <w:color w:val="000000"/>
          <w:sz w:val="32"/>
          <w:szCs w:val="32"/>
          <w:highlight w:val="none"/>
        </w:rPr>
        <w:t>信息进行</w:t>
      </w:r>
      <w:r>
        <w:rPr>
          <w:rFonts w:hint="default" w:ascii="Times New Roman" w:hAnsi="Times New Roman" w:eastAsia="仿宋_GB2312" w:cs="Times New Roman"/>
          <w:color w:val="000000"/>
          <w:sz w:val="32"/>
          <w:szCs w:val="32"/>
          <w:highlight w:val="none"/>
          <w:lang w:val="en-US" w:eastAsia="zh-Hans"/>
        </w:rPr>
        <w:t>保护性</w:t>
      </w:r>
      <w:r>
        <w:rPr>
          <w:rFonts w:hint="default" w:ascii="Times New Roman" w:hAnsi="Times New Roman" w:eastAsia="仿宋_GB2312" w:cs="Times New Roman"/>
          <w:color w:val="000000"/>
          <w:sz w:val="32"/>
          <w:szCs w:val="32"/>
          <w:highlight w:val="none"/>
        </w:rPr>
        <w:t>处理。</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黑体" w:cs="Times New Roman"/>
          <w:b w:val="0"/>
          <w:bCs w:val="0"/>
          <w:color w:val="000000"/>
          <w:sz w:val="32"/>
          <w:szCs w:val="32"/>
          <w:highlight w:val="none"/>
          <w:lang w:eastAsia="zh-CN"/>
        </w:rPr>
        <w:t>第十九条</w:t>
      </w:r>
      <w:r>
        <w:rPr>
          <w:rFonts w:hint="default" w:ascii="Times New Roman" w:hAnsi="Times New Roman" w:eastAsia="仿宋_GB2312" w:cs="Times New Roman"/>
          <w:bCs/>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评价终止</w:t>
      </w:r>
      <w:r>
        <w:rPr>
          <w:rFonts w:hint="default" w:ascii="Times New Roman" w:hAnsi="Times New Roman" w:eastAsia="仿宋_GB2312" w:cs="Times New Roman"/>
          <w:bCs/>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评价结果发布前发生下列情形之一的，交易中心可以终止评价：</w:t>
      </w:r>
    </w:p>
    <w:p>
      <w:pPr>
        <w:pStyle w:val="2"/>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50" w:lineRule="exact"/>
        <w:ind w:firstLine="616" w:firstLineChars="200"/>
        <w:textAlignment w:val="auto"/>
        <w:outlineLvl w:val="9"/>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一</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受评市场主体解散或者被依法宣告破产的；</w:t>
      </w:r>
    </w:p>
    <w:p>
      <w:pPr>
        <w:pStyle w:val="2"/>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50" w:lineRule="exact"/>
        <w:ind w:firstLine="616" w:firstLineChars="200"/>
        <w:textAlignment w:val="auto"/>
        <w:outlineLvl w:val="9"/>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二</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受评市场主体退出电力市场的；</w:t>
      </w:r>
    </w:p>
    <w:p>
      <w:pPr>
        <w:pStyle w:val="2"/>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50" w:lineRule="exact"/>
        <w:ind w:firstLine="616" w:firstLineChars="200"/>
        <w:textAlignment w:val="auto"/>
        <w:outlineLvl w:val="9"/>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（三）评价工作不能正常开展的其他情形。</w:t>
      </w:r>
    </w:p>
    <w:p>
      <w:pPr>
        <w:numPr>
          <w:ilvl w:val="0"/>
          <w:numId w:val="0"/>
        </w:numPr>
        <w:shd w:val="clear" w:color="auto" w:fill="auto"/>
        <w:spacing w:line="550" w:lineRule="exact"/>
        <w:jc w:val="center"/>
        <w:outlineLvl w:val="0"/>
        <w:rPr>
          <w:rFonts w:hint="default" w:ascii="Times New Roman" w:hAnsi="Times New Roman" w:cs="Times New Roman"/>
          <w:lang w:val="en-US" w:eastAsia="zh-CN"/>
        </w:rPr>
      </w:pPr>
      <w:r>
        <w:rPr>
          <w:rFonts w:hint="default" w:ascii="Times New Roman" w:hAnsi="Times New Roman" w:eastAsia="仿宋_GB2312" w:cs="Times New Roman"/>
          <w:color w:val="000000"/>
          <w:sz w:val="32"/>
          <w:szCs w:val="32"/>
          <w:highlight w:val="none"/>
        </w:rPr>
        <w:t>因上述原因终止的，交易中心应当及时公告并说明原因。</w:t>
      </w:r>
    </w:p>
    <w:p>
      <w:pPr>
        <w:numPr>
          <w:ilvl w:val="0"/>
          <w:numId w:val="0"/>
        </w:numPr>
        <w:shd w:val="clear" w:color="auto" w:fill="auto"/>
        <w:spacing w:line="550" w:lineRule="exact"/>
        <w:jc w:val="center"/>
        <w:outlineLvl w:val="0"/>
        <w:rPr>
          <w:rFonts w:hint="default" w:ascii="Times New Roman" w:hAnsi="Times New Roman" w:cs="Times New Roman"/>
          <w:lang w:eastAsia="zh-CN"/>
        </w:rPr>
      </w:pPr>
      <w:r>
        <w:rPr>
          <w:rFonts w:hint="default" w:ascii="Times New Roman" w:hAnsi="Times New Roman" w:eastAsia="黑体" w:cs="Times New Roman"/>
          <w:b w:val="0"/>
          <w:bCs w:val="0"/>
          <w:color w:val="000000"/>
          <w:sz w:val="32"/>
          <w:szCs w:val="32"/>
          <w:highlight w:val="none"/>
          <w:lang w:val="en-US" w:eastAsia="zh-CN"/>
        </w:rPr>
        <w:t>第三章 信用档案机制</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ind w:left="0" w:leftChars="0" w:firstLine="616" w:firstLineChars="200"/>
        <w:textAlignment w:val="auto"/>
        <w:outlineLvl w:val="9"/>
        <w:rPr>
          <w:rFonts w:hint="default" w:ascii="Times New Roman" w:hAnsi="Times New Roman" w:eastAsia="仿宋_GB2312" w:cs="Times New Roman"/>
          <w:b/>
          <w:bCs w:val="0"/>
          <w:color w:val="000000"/>
          <w:sz w:val="32"/>
          <w:szCs w:val="32"/>
          <w:highlight w:val="none"/>
          <w:lang w:val="en-US" w:eastAsia="zh-CN"/>
        </w:rPr>
      </w:pPr>
      <w:r>
        <w:rPr>
          <w:rFonts w:hint="default" w:ascii="Times New Roman" w:hAnsi="Times New Roman" w:eastAsia="黑体" w:cs="Times New Roman"/>
          <w:b w:val="0"/>
          <w:bCs/>
          <w:color w:val="000000"/>
          <w:sz w:val="32"/>
          <w:szCs w:val="32"/>
          <w:highlight w:val="none"/>
          <w:lang w:eastAsia="zh-CN"/>
        </w:rPr>
        <w:t>第二十条</w:t>
      </w:r>
      <w:r>
        <w:rPr>
          <w:rFonts w:hint="default" w:ascii="Times New Roman" w:hAnsi="Times New Roman" w:eastAsia="仿宋_GB2312" w:cs="Times New Roman"/>
          <w:bCs/>
          <w:color w:val="000000"/>
          <w:sz w:val="32"/>
          <w:szCs w:val="32"/>
          <w:highlight w:val="none"/>
          <w:lang w:val="en-US" w:eastAsia="zh-CN"/>
        </w:rPr>
        <w:t>[档案</w:t>
      </w:r>
      <w:r>
        <w:rPr>
          <w:rFonts w:hint="default" w:ascii="Times New Roman" w:hAnsi="Times New Roman" w:eastAsia="仿宋_GB2312" w:cs="Times New Roman"/>
          <w:color w:val="000000"/>
          <w:sz w:val="32"/>
          <w:szCs w:val="32"/>
          <w:highlight w:val="none"/>
          <w:lang w:eastAsia="zh-CN"/>
        </w:rPr>
        <w:t>机制</w:t>
      </w:r>
      <w:r>
        <w:rPr>
          <w:rFonts w:hint="default" w:ascii="Times New Roman" w:hAnsi="Times New Roman" w:eastAsia="仿宋_GB2312" w:cs="Times New Roman"/>
          <w:bCs/>
          <w:color w:val="000000"/>
          <w:sz w:val="32"/>
          <w:szCs w:val="32"/>
          <w:highlight w:val="none"/>
          <w:lang w:val="en-US" w:eastAsia="zh-CN"/>
        </w:rPr>
        <w:t>]</w:t>
      </w:r>
      <w:r>
        <w:rPr>
          <w:rFonts w:hint="default" w:ascii="Times New Roman" w:hAnsi="Times New Roman" w:eastAsia="仿宋_GB2312" w:cs="Times New Roman"/>
          <w:b/>
          <w:bCs w:val="0"/>
          <w:color w:val="000000"/>
          <w:sz w:val="32"/>
          <w:szCs w:val="32"/>
          <w:highlight w:val="none"/>
          <w:lang w:val="en-US" w:eastAsia="zh-CN"/>
        </w:rPr>
        <w:t xml:space="preserve"> </w:t>
      </w:r>
      <w:r>
        <w:rPr>
          <w:rFonts w:hint="default" w:ascii="Times New Roman" w:hAnsi="Times New Roman" w:eastAsia="仿宋_GB2312" w:cs="Times New Roman"/>
          <w:b w:val="0"/>
          <w:bCs/>
          <w:color w:val="000000"/>
          <w:sz w:val="32"/>
          <w:szCs w:val="32"/>
          <w:highlight w:val="none"/>
          <w:lang w:val="en-US" w:eastAsia="zh-CN"/>
        </w:rPr>
        <w:t>建立售电公司信用档案机制，归集售电公司的基本信息、信用承诺、合同履约情况、信用评价等级、经认定的违法违规情况、被强制退市或执行联合惩戒的情形等，动态披露并共享至浙江省公共信用信息平台。</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ind w:left="0" w:leftChars="0" w:firstLine="616" w:firstLineChars="200"/>
        <w:textAlignment w:val="auto"/>
        <w:outlineLvl w:val="9"/>
        <w:rPr>
          <w:rFonts w:hint="default" w:ascii="Times New Roman" w:hAnsi="Times New Roman" w:eastAsia="仿宋_GB2312" w:cs="Times New Roman"/>
          <w:bCs/>
          <w:color w:val="000000"/>
          <w:sz w:val="32"/>
          <w:szCs w:val="32"/>
          <w:highlight w:val="none"/>
          <w:lang w:val="en-US" w:eastAsia="zh-CN"/>
        </w:rPr>
      </w:pPr>
      <w:r>
        <w:rPr>
          <w:rFonts w:hint="default" w:ascii="Times New Roman" w:hAnsi="Times New Roman" w:eastAsia="黑体" w:cs="Times New Roman"/>
          <w:b w:val="0"/>
          <w:bCs/>
          <w:color w:val="000000"/>
          <w:sz w:val="32"/>
          <w:szCs w:val="32"/>
          <w:highlight w:val="none"/>
          <w:lang w:eastAsia="zh-CN"/>
        </w:rPr>
        <w:t>第二十一条</w:t>
      </w:r>
      <w:r>
        <w:rPr>
          <w:rFonts w:hint="default" w:ascii="Times New Roman" w:hAnsi="Times New Roman" w:eastAsia="仿宋_GB2312" w:cs="Times New Roman"/>
          <w:bCs/>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档案</w:t>
      </w:r>
      <w:r>
        <w:rPr>
          <w:rFonts w:hint="default" w:ascii="Times New Roman" w:hAnsi="Times New Roman" w:eastAsia="仿宋_GB2312" w:cs="Times New Roman"/>
          <w:color w:val="000000"/>
          <w:sz w:val="32"/>
          <w:szCs w:val="32"/>
          <w:highlight w:val="none"/>
          <w:lang w:eastAsia="zh-CN"/>
        </w:rPr>
        <w:t>内容</w:t>
      </w:r>
      <w:r>
        <w:rPr>
          <w:rFonts w:hint="default" w:ascii="Times New Roman" w:hAnsi="Times New Roman" w:eastAsia="仿宋_GB2312" w:cs="Times New Roman"/>
          <w:bCs/>
          <w:color w:val="000000"/>
          <w:sz w:val="32"/>
          <w:szCs w:val="32"/>
          <w:highlight w:val="none"/>
          <w:lang w:val="en-US" w:eastAsia="zh-CN"/>
        </w:rPr>
        <w:t>] 售电公司信用档案主要包含以下内容：</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ind w:left="0" w:leftChars="0" w:firstLine="616" w:firstLineChars="200"/>
        <w:textAlignment w:val="auto"/>
        <w:outlineLvl w:val="9"/>
        <w:rPr>
          <w:rFonts w:hint="default" w:ascii="Times New Roman" w:hAnsi="Times New Roman" w:eastAsia="仿宋_GB2312" w:cs="Times New Roman"/>
          <w:bCs/>
          <w:color w:val="000000"/>
          <w:sz w:val="32"/>
          <w:szCs w:val="32"/>
          <w:highlight w:val="none"/>
          <w:lang w:val="en-US" w:eastAsia="zh-CN"/>
        </w:rPr>
      </w:pPr>
      <w:r>
        <w:rPr>
          <w:rFonts w:hint="default" w:ascii="Times New Roman" w:hAnsi="Times New Roman" w:eastAsia="仿宋_GB2312" w:cs="Times New Roman"/>
          <w:bCs/>
          <w:color w:val="000000"/>
          <w:sz w:val="32"/>
          <w:szCs w:val="32"/>
          <w:highlight w:val="none"/>
          <w:lang w:val="en-US" w:eastAsia="zh-CN"/>
        </w:rPr>
        <w:t>（一）售电公司基本信息；</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ind w:left="0" w:leftChars="0" w:firstLine="616" w:firstLineChars="200"/>
        <w:textAlignment w:val="auto"/>
        <w:outlineLvl w:val="9"/>
        <w:rPr>
          <w:rFonts w:hint="default" w:ascii="Times New Roman" w:hAnsi="Times New Roman" w:eastAsia="仿宋_GB2312" w:cs="Times New Roman"/>
          <w:bCs/>
          <w:color w:val="000000"/>
          <w:sz w:val="32"/>
          <w:szCs w:val="32"/>
          <w:highlight w:val="none"/>
          <w:lang w:val="en-US" w:eastAsia="zh-CN"/>
        </w:rPr>
      </w:pPr>
      <w:r>
        <w:rPr>
          <w:rFonts w:hint="default" w:ascii="Times New Roman" w:hAnsi="Times New Roman" w:eastAsia="仿宋_GB2312" w:cs="Times New Roman"/>
          <w:bCs/>
          <w:color w:val="000000"/>
          <w:sz w:val="32"/>
          <w:szCs w:val="32"/>
          <w:highlight w:val="none"/>
          <w:lang w:val="en-US" w:eastAsia="zh-CN"/>
        </w:rPr>
        <w:t>（二）信用承诺书，含承诺符合售电公司准入条件的各项佐证材料；</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ind w:left="0" w:leftChars="0" w:firstLine="616" w:firstLineChars="200"/>
        <w:textAlignment w:val="auto"/>
        <w:outlineLvl w:val="9"/>
        <w:rPr>
          <w:rFonts w:hint="default" w:ascii="Times New Roman" w:hAnsi="Times New Roman" w:eastAsia="仿宋_GB2312" w:cs="Times New Roman"/>
          <w:bCs/>
          <w:color w:val="000000"/>
          <w:sz w:val="32"/>
          <w:szCs w:val="32"/>
          <w:highlight w:val="none"/>
          <w:lang w:val="en-US" w:eastAsia="zh-CN"/>
        </w:rPr>
      </w:pPr>
      <w:r>
        <w:rPr>
          <w:rFonts w:hint="default" w:ascii="Times New Roman" w:hAnsi="Times New Roman" w:eastAsia="仿宋_GB2312" w:cs="Times New Roman"/>
          <w:bCs/>
          <w:color w:val="000000"/>
          <w:sz w:val="32"/>
          <w:szCs w:val="32"/>
          <w:highlight w:val="none"/>
          <w:lang w:val="en-US" w:eastAsia="zh-CN"/>
        </w:rPr>
        <w:t>（三）合同履约情况；</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ind w:left="0" w:leftChars="0" w:firstLine="616" w:firstLineChars="200"/>
        <w:textAlignment w:val="auto"/>
        <w:outlineLvl w:val="9"/>
        <w:rPr>
          <w:rFonts w:hint="default" w:ascii="Times New Roman" w:hAnsi="Times New Roman" w:eastAsia="仿宋_GB2312" w:cs="Times New Roman"/>
          <w:bCs/>
          <w:color w:val="000000"/>
          <w:sz w:val="32"/>
          <w:szCs w:val="32"/>
          <w:highlight w:val="none"/>
          <w:lang w:val="en-US" w:eastAsia="zh-CN"/>
        </w:rPr>
      </w:pPr>
      <w:r>
        <w:rPr>
          <w:rFonts w:hint="default" w:ascii="Times New Roman" w:hAnsi="Times New Roman" w:eastAsia="仿宋_GB2312" w:cs="Times New Roman"/>
          <w:bCs/>
          <w:color w:val="000000"/>
          <w:sz w:val="32"/>
          <w:szCs w:val="32"/>
          <w:highlight w:val="none"/>
          <w:lang w:val="en-US" w:eastAsia="zh-CN"/>
        </w:rPr>
        <w:t>（四）历年信用评级结果及风险级别，含信用评级依据；</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ind w:left="0" w:leftChars="0" w:firstLine="616" w:firstLineChars="200"/>
        <w:textAlignment w:val="auto"/>
        <w:outlineLvl w:val="9"/>
        <w:rPr>
          <w:rFonts w:hint="default" w:ascii="Times New Roman" w:hAnsi="Times New Roman" w:eastAsia="仿宋_GB2312" w:cs="Times New Roman"/>
          <w:bCs/>
          <w:color w:val="000000"/>
          <w:sz w:val="32"/>
          <w:szCs w:val="32"/>
          <w:highlight w:val="none"/>
          <w:lang w:val="en-US" w:eastAsia="zh-CN"/>
        </w:rPr>
      </w:pPr>
      <w:r>
        <w:rPr>
          <w:rFonts w:hint="default" w:ascii="Times New Roman" w:hAnsi="Times New Roman" w:eastAsia="仿宋_GB2312" w:cs="Times New Roman"/>
          <w:bCs/>
          <w:color w:val="000000"/>
          <w:sz w:val="32"/>
          <w:szCs w:val="32"/>
          <w:highlight w:val="none"/>
          <w:lang w:val="en-US" w:eastAsia="zh-CN"/>
        </w:rPr>
        <w:t>（五）列入“黑名单”、行政处罚、行政强制、承诺未履行以及其他行政认定不良信息；</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ind w:left="0" w:leftChars="0" w:firstLine="616" w:firstLineChars="200"/>
        <w:textAlignment w:val="auto"/>
        <w:outlineLvl w:val="9"/>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bCs/>
          <w:color w:val="000000"/>
          <w:sz w:val="32"/>
          <w:szCs w:val="32"/>
          <w:highlight w:val="none"/>
          <w:lang w:val="en-US" w:eastAsia="zh-CN"/>
        </w:rPr>
        <w:t>（六）其他需要计入信用档案的内容。</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ind w:left="0" w:leftChars="0" w:firstLine="616" w:firstLineChars="200"/>
        <w:textAlignment w:val="auto"/>
        <w:outlineLvl w:val="9"/>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黑体" w:cs="Times New Roman"/>
          <w:b w:val="0"/>
          <w:bCs/>
          <w:color w:val="000000"/>
          <w:sz w:val="32"/>
          <w:szCs w:val="32"/>
          <w:highlight w:val="none"/>
          <w:lang w:eastAsia="zh-CN"/>
        </w:rPr>
        <w:t>第二十二条</w:t>
      </w:r>
      <w:r>
        <w:rPr>
          <w:rFonts w:hint="default" w:ascii="Times New Roman" w:hAnsi="Times New Roman" w:eastAsia="仿宋_GB2312" w:cs="Times New Roman"/>
          <w:bCs/>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eastAsia="zh-CN"/>
        </w:rPr>
        <w:t>日常管理</w:t>
      </w:r>
      <w:r>
        <w:rPr>
          <w:rFonts w:hint="default" w:ascii="Times New Roman" w:hAnsi="Times New Roman" w:eastAsia="仿宋_GB2312" w:cs="Times New Roman"/>
          <w:bCs/>
          <w:color w:val="000000"/>
          <w:sz w:val="32"/>
          <w:szCs w:val="32"/>
          <w:highlight w:val="none"/>
          <w:lang w:val="en-US" w:eastAsia="zh-CN"/>
        </w:rPr>
        <w:t>]</w:t>
      </w:r>
      <w:r>
        <w:rPr>
          <w:rFonts w:hint="default" w:ascii="Times New Roman" w:hAnsi="Times New Roman" w:eastAsia="仿宋_GB2312" w:cs="Times New Roman"/>
          <w:b/>
          <w:bCs w:val="0"/>
          <w:color w:val="000000"/>
          <w:sz w:val="32"/>
          <w:szCs w:val="32"/>
          <w:highlight w:val="none"/>
          <w:lang w:val="en-US" w:eastAsia="zh-CN"/>
        </w:rPr>
        <w:t xml:space="preserve"> </w:t>
      </w:r>
      <w:r>
        <w:rPr>
          <w:rFonts w:hint="default" w:ascii="Times New Roman" w:hAnsi="Times New Roman" w:eastAsia="仿宋_GB2312" w:cs="Times New Roman"/>
          <w:b w:val="0"/>
          <w:bCs/>
          <w:color w:val="000000"/>
          <w:sz w:val="32"/>
          <w:szCs w:val="32"/>
          <w:highlight w:val="none"/>
          <w:lang w:val="en-US" w:eastAsia="zh-CN"/>
        </w:rPr>
        <w:t>交易中心负责售电公司信用档案的日常管理，对售电公司故意隐瞒真实情况、提供虚假承诺、违背承诺以及违法违规等行为，按月汇总报送浙江</w:t>
      </w:r>
      <w:r>
        <w:rPr>
          <w:rFonts w:hint="default" w:ascii="Times New Roman" w:hAnsi="Times New Roman" w:eastAsia="仿宋_GB2312" w:cs="Times New Roman"/>
          <w:bCs/>
          <w:color w:val="000000"/>
          <w:sz w:val="32"/>
          <w:szCs w:val="32"/>
          <w:highlight w:val="none"/>
          <w:lang w:val="en-US" w:eastAsia="zh-CN"/>
        </w:rPr>
        <w:t>省能源局、浙江能源监管办</w:t>
      </w:r>
      <w:r>
        <w:rPr>
          <w:rFonts w:hint="default" w:ascii="Times New Roman" w:hAnsi="Times New Roman" w:eastAsia="仿宋_GB2312" w:cs="Times New Roman"/>
          <w:b w:val="0"/>
          <w:bCs/>
          <w:color w:val="000000"/>
          <w:sz w:val="32"/>
          <w:szCs w:val="32"/>
          <w:highlight w:val="none"/>
          <w:lang w:val="en-US" w:eastAsia="zh-CN"/>
        </w:rPr>
        <w:t>，经认定后将违法违规情况等计入售电公司信用档案。</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ind w:left="0" w:leftChars="0" w:firstLine="616" w:firstLineChars="200"/>
        <w:textAlignment w:val="auto"/>
        <w:outlineLvl w:val="9"/>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黑体" w:cs="Times New Roman"/>
          <w:b w:val="0"/>
          <w:bCs w:val="0"/>
          <w:i w:val="0"/>
          <w:iCs w:val="0"/>
          <w:color w:val="000000"/>
          <w:sz w:val="32"/>
          <w:szCs w:val="32"/>
          <w:highlight w:val="none"/>
          <w:lang w:eastAsia="zh-CN"/>
        </w:rPr>
        <w:t>第二十三条</w:t>
      </w:r>
      <w:r>
        <w:rPr>
          <w:rFonts w:hint="default" w:ascii="Times New Roman" w:hAnsi="Times New Roman" w:eastAsia="仿宋_GB2312" w:cs="Times New Roman"/>
          <w:bCs/>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eastAsia="zh-CN"/>
        </w:rPr>
        <w:t>信息披露</w:t>
      </w:r>
      <w:r>
        <w:rPr>
          <w:rFonts w:hint="default" w:ascii="Times New Roman" w:hAnsi="Times New Roman" w:eastAsia="仿宋_GB2312" w:cs="Times New Roman"/>
          <w:bCs/>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eastAsia="zh-CN"/>
        </w:rPr>
        <w:t xml:space="preserve"> 售电公司信用档案记录内容纳入信息披露范围，作为公众信息，通过电力交易平台实时更新并披露。</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50" w:lineRule="exact"/>
        <w:jc w:val="center"/>
        <w:textAlignment w:val="auto"/>
        <w:outlineLvl w:val="0"/>
        <w:rPr>
          <w:rFonts w:hint="default" w:ascii="Times New Roman" w:hAnsi="Times New Roman" w:eastAsia="黑体" w:cs="Times New Roman"/>
          <w:b w:val="0"/>
          <w:bCs w:val="0"/>
          <w:color w:val="000000"/>
          <w:sz w:val="32"/>
          <w:szCs w:val="32"/>
          <w:highlight w:val="none"/>
          <w:lang w:eastAsia="zh-CN"/>
        </w:rPr>
      </w:pPr>
      <w:r>
        <w:rPr>
          <w:rFonts w:hint="default" w:ascii="Times New Roman" w:hAnsi="Times New Roman" w:eastAsia="黑体" w:cs="Times New Roman"/>
          <w:b w:val="0"/>
          <w:bCs w:val="0"/>
          <w:color w:val="000000"/>
          <w:sz w:val="32"/>
          <w:szCs w:val="32"/>
          <w:highlight w:val="none"/>
          <w:lang w:eastAsia="zh-CN"/>
        </w:rPr>
        <w:t>第四章 风险分级机制</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ind w:left="0" w:leftChars="0" w:firstLine="616" w:firstLineChars="200"/>
        <w:textAlignment w:val="auto"/>
        <w:outlineLvl w:val="9"/>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黑体" w:cs="Times New Roman"/>
          <w:b w:val="0"/>
          <w:bCs w:val="0"/>
          <w:color w:val="000000"/>
          <w:sz w:val="32"/>
          <w:szCs w:val="32"/>
          <w:highlight w:val="none"/>
          <w:lang w:val="en-US" w:eastAsia="zh-CN"/>
        </w:rPr>
        <w:t>第</w:t>
      </w:r>
      <w:r>
        <w:rPr>
          <w:rFonts w:hint="default" w:ascii="Times New Roman" w:hAnsi="Times New Roman" w:eastAsia="黑体" w:cs="Times New Roman"/>
          <w:b w:val="0"/>
          <w:bCs w:val="0"/>
          <w:color w:val="000000"/>
          <w:sz w:val="32"/>
          <w:szCs w:val="32"/>
          <w:highlight w:val="none"/>
          <w:lang w:eastAsia="zh-CN"/>
        </w:rPr>
        <w:t>二十四</w:t>
      </w:r>
      <w:r>
        <w:rPr>
          <w:rFonts w:hint="default" w:ascii="Times New Roman" w:hAnsi="Times New Roman" w:eastAsia="黑体" w:cs="Times New Roman"/>
          <w:b w:val="0"/>
          <w:bCs w:val="0"/>
          <w:color w:val="000000"/>
          <w:sz w:val="32"/>
          <w:szCs w:val="32"/>
          <w:highlight w:val="none"/>
          <w:lang w:val="en-US" w:eastAsia="zh-CN"/>
        </w:rPr>
        <w:t>条</w:t>
      </w:r>
      <w:r>
        <w:rPr>
          <w:rFonts w:hint="default" w:ascii="Times New Roman" w:hAnsi="Times New Roman" w:eastAsia="仿宋_GB2312" w:cs="Times New Roman"/>
          <w:bCs/>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eastAsia="zh-CN"/>
        </w:rPr>
        <w:t>分级机制</w:t>
      </w:r>
      <w:r>
        <w:rPr>
          <w:rFonts w:hint="default" w:ascii="Times New Roman" w:hAnsi="Times New Roman" w:eastAsia="仿宋_GB2312" w:cs="Times New Roman"/>
          <w:bCs/>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lang w:val="en-US" w:eastAsia="zh-CN"/>
        </w:rPr>
        <w:t>建立风险分级机制，依据信用评价等级划分售电公司风险等级。</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ind w:left="0" w:leftChars="0" w:firstLine="616" w:firstLineChars="200"/>
        <w:textAlignment w:val="auto"/>
        <w:outlineLvl w:val="9"/>
        <w:rPr>
          <w:rFonts w:hint="default" w:ascii="Times New Roman" w:hAnsi="Times New Roman" w:eastAsia="仿宋_GB2312" w:cs="Times New Roman"/>
          <w:bCs/>
          <w:color w:val="000000"/>
          <w:kern w:val="2"/>
          <w:sz w:val="32"/>
          <w:szCs w:val="32"/>
          <w:highlight w:val="none"/>
          <w:lang w:val="en-US" w:eastAsia="zh-CN" w:bidi="ar-SA"/>
        </w:rPr>
      </w:pPr>
      <w:r>
        <w:rPr>
          <w:rFonts w:hint="default" w:ascii="Times New Roman" w:hAnsi="Times New Roman" w:eastAsia="黑体" w:cs="Times New Roman"/>
          <w:b w:val="0"/>
          <w:bCs/>
          <w:color w:val="000000"/>
          <w:kern w:val="2"/>
          <w:sz w:val="32"/>
          <w:szCs w:val="32"/>
          <w:highlight w:val="none"/>
          <w:lang w:val="en-US" w:eastAsia="zh-CN" w:bidi="ar-SA"/>
        </w:rPr>
        <w:t>第二十五条</w:t>
      </w:r>
      <w:r>
        <w:rPr>
          <w:rFonts w:hint="default" w:ascii="Times New Roman" w:hAnsi="Times New Roman" w:eastAsia="仿宋_GB2312" w:cs="Times New Roman"/>
          <w:bCs/>
          <w:color w:val="000000"/>
          <w:sz w:val="32"/>
          <w:szCs w:val="32"/>
          <w:highlight w:val="none"/>
          <w:lang w:val="en-US" w:eastAsia="zh-CN"/>
        </w:rPr>
        <w:t>[风险</w:t>
      </w:r>
      <w:r>
        <w:rPr>
          <w:rFonts w:hint="default" w:ascii="Times New Roman" w:hAnsi="Times New Roman" w:eastAsia="仿宋_GB2312" w:cs="Times New Roman"/>
          <w:color w:val="000000"/>
          <w:sz w:val="32"/>
          <w:szCs w:val="32"/>
          <w:highlight w:val="none"/>
          <w:lang w:eastAsia="zh-CN"/>
        </w:rPr>
        <w:t>分级</w:t>
      </w:r>
      <w:r>
        <w:rPr>
          <w:rFonts w:hint="default" w:ascii="Times New Roman" w:hAnsi="Times New Roman" w:eastAsia="仿宋_GB2312" w:cs="Times New Roman"/>
          <w:bCs/>
          <w:color w:val="000000"/>
          <w:sz w:val="32"/>
          <w:szCs w:val="32"/>
          <w:highlight w:val="none"/>
          <w:lang w:val="en-US" w:eastAsia="zh-CN"/>
        </w:rPr>
        <w:t>]</w:t>
      </w:r>
      <w:r>
        <w:rPr>
          <w:rFonts w:hint="default" w:ascii="Times New Roman" w:hAnsi="Times New Roman" w:eastAsia="仿宋_GB2312" w:cs="Times New Roman"/>
          <w:bCs/>
          <w:color w:val="000000"/>
          <w:kern w:val="2"/>
          <w:sz w:val="32"/>
          <w:szCs w:val="32"/>
          <w:highlight w:val="none"/>
          <w:lang w:val="en-US" w:eastAsia="zh-CN" w:bidi="ar-SA"/>
        </w:rPr>
        <w:t xml:space="preserve"> </w:t>
      </w:r>
      <w:r>
        <w:rPr>
          <w:rFonts w:hint="default" w:ascii="Times New Roman" w:hAnsi="Times New Roman" w:eastAsia="仿宋_GB2312" w:cs="Times New Roman"/>
          <w:color w:val="000000"/>
          <w:sz w:val="32"/>
          <w:szCs w:val="32"/>
          <w:highlight w:val="none"/>
          <w:lang w:val="en-US" w:eastAsia="zh-CN"/>
        </w:rPr>
        <w:t>售电公司风险级别按照严重程度划分为低风险、一般风险、较大风险、重大风险四个级别。其中：</w:t>
      </w:r>
      <w:r>
        <w:rPr>
          <w:rFonts w:hint="default" w:ascii="Times New Roman" w:hAnsi="Times New Roman" w:eastAsia="仿宋_GB2312" w:cs="Times New Roman"/>
          <w:bCs/>
          <w:color w:val="000000"/>
          <w:kern w:val="2"/>
          <w:sz w:val="32"/>
          <w:szCs w:val="32"/>
          <w:highlight w:val="none"/>
          <w:lang w:val="en-US" w:eastAsia="zh-CN" w:bidi="ar-SA"/>
        </w:rPr>
        <w:t>评价等级为A级及以上，售电公司风险级别为低风险；评价等级为B级，售电公司风险级别为一般风险；评价等级为C级，售电公司风险级别为较大风险；评价等级为D级，售电公司风险级别为重大风险。</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0"/>
        <w:gridCol w:w="4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445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jc w:val="center"/>
              <w:textAlignment w:val="auto"/>
              <w:rPr>
                <w:rFonts w:hint="default" w:ascii="Times New Roman" w:hAnsi="Times New Roman" w:eastAsia="黑体" w:cs="Times New Roman"/>
                <w:b w:val="0"/>
                <w:bCs w:val="0"/>
                <w:color w:val="000000"/>
                <w:sz w:val="24"/>
                <w:szCs w:val="24"/>
                <w:highlight w:val="none"/>
                <w:vertAlign w:val="baseline"/>
                <w:lang w:val="en-US" w:eastAsia="zh-CN"/>
              </w:rPr>
            </w:pPr>
            <w:r>
              <w:rPr>
                <w:rFonts w:hint="default" w:ascii="Times New Roman" w:hAnsi="Times New Roman" w:eastAsia="黑体" w:cs="Times New Roman"/>
                <w:b w:val="0"/>
                <w:bCs w:val="0"/>
                <w:color w:val="000000"/>
                <w:sz w:val="24"/>
                <w:szCs w:val="24"/>
                <w:highlight w:val="none"/>
                <w:vertAlign w:val="baseline"/>
                <w:lang w:val="en-US" w:eastAsia="zh-CN"/>
              </w:rPr>
              <w:t>信用评级</w:t>
            </w:r>
          </w:p>
        </w:tc>
        <w:tc>
          <w:tcPr>
            <w:tcW w:w="4072"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jc w:val="center"/>
              <w:textAlignment w:val="auto"/>
              <w:rPr>
                <w:rFonts w:hint="default" w:ascii="Times New Roman" w:hAnsi="Times New Roman" w:eastAsia="黑体" w:cs="Times New Roman"/>
                <w:b w:val="0"/>
                <w:bCs w:val="0"/>
                <w:color w:val="000000"/>
                <w:sz w:val="24"/>
                <w:szCs w:val="24"/>
                <w:highlight w:val="none"/>
                <w:vertAlign w:val="baseline"/>
                <w:lang w:val="en-US" w:eastAsia="zh-CN"/>
              </w:rPr>
            </w:pPr>
            <w:r>
              <w:rPr>
                <w:rFonts w:hint="default" w:ascii="Times New Roman" w:hAnsi="Times New Roman" w:eastAsia="黑体" w:cs="Times New Roman"/>
                <w:b w:val="0"/>
                <w:bCs w:val="0"/>
                <w:color w:val="000000"/>
                <w:sz w:val="24"/>
                <w:szCs w:val="24"/>
                <w:highlight w:val="none"/>
                <w:vertAlign w:val="baseline"/>
                <w:lang w:val="en-US" w:eastAsia="zh-CN"/>
              </w:rPr>
              <w:t>风险等级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45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000000"/>
                <w:sz w:val="24"/>
                <w:szCs w:val="24"/>
                <w:highlight w:val="none"/>
                <w:vertAlign w:val="baseline"/>
                <w:lang w:val="en-US" w:eastAsia="zh-CN"/>
              </w:rPr>
            </w:pPr>
            <w:r>
              <w:rPr>
                <w:rFonts w:hint="default" w:ascii="Times New Roman" w:hAnsi="Times New Roman" w:eastAsia="仿宋_GB2312" w:cs="Times New Roman"/>
                <w:b w:val="0"/>
                <w:bCs w:val="0"/>
                <w:color w:val="000000"/>
                <w:sz w:val="24"/>
                <w:szCs w:val="24"/>
                <w:highlight w:val="none"/>
                <w:vertAlign w:val="baseline"/>
                <w:lang w:val="en-US" w:eastAsia="zh-CN"/>
              </w:rPr>
              <w:t>AAA</w:t>
            </w:r>
          </w:p>
        </w:tc>
        <w:tc>
          <w:tcPr>
            <w:tcW w:w="4072" w:type="dxa"/>
            <w:vMerge w:val="restar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000000"/>
                <w:sz w:val="24"/>
                <w:szCs w:val="24"/>
                <w:highlight w:val="none"/>
                <w:vertAlign w:val="baseline"/>
                <w:lang w:val="en-US" w:eastAsia="zh-CN"/>
              </w:rPr>
            </w:pPr>
            <w:r>
              <w:rPr>
                <w:rFonts w:hint="default" w:ascii="Times New Roman" w:hAnsi="Times New Roman" w:eastAsia="仿宋_GB2312" w:cs="Times New Roman"/>
                <w:b w:val="0"/>
                <w:bCs w:val="0"/>
                <w:color w:val="000000"/>
                <w:sz w:val="24"/>
                <w:szCs w:val="24"/>
                <w:highlight w:val="none"/>
                <w:vertAlign w:val="baseline"/>
                <w:lang w:val="en-US" w:eastAsia="zh-CN"/>
              </w:rPr>
              <w:t>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45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000000"/>
                <w:sz w:val="24"/>
                <w:szCs w:val="24"/>
                <w:highlight w:val="none"/>
                <w:vertAlign w:val="baseline"/>
                <w:lang w:val="en-US" w:eastAsia="zh-CN"/>
              </w:rPr>
            </w:pPr>
            <w:r>
              <w:rPr>
                <w:rFonts w:hint="default" w:ascii="Times New Roman" w:hAnsi="Times New Roman" w:eastAsia="仿宋_GB2312" w:cs="Times New Roman"/>
                <w:b w:val="0"/>
                <w:bCs w:val="0"/>
                <w:color w:val="000000"/>
                <w:sz w:val="24"/>
                <w:szCs w:val="24"/>
                <w:highlight w:val="none"/>
                <w:vertAlign w:val="baseline"/>
                <w:lang w:val="en-US" w:eastAsia="zh-CN"/>
              </w:rPr>
              <w:t>AA</w:t>
            </w:r>
          </w:p>
        </w:tc>
        <w:tc>
          <w:tcPr>
            <w:tcW w:w="4072"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00000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45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000000"/>
                <w:sz w:val="24"/>
                <w:szCs w:val="24"/>
                <w:highlight w:val="none"/>
                <w:vertAlign w:val="baseline"/>
                <w:lang w:val="en-US" w:eastAsia="zh-CN"/>
              </w:rPr>
            </w:pPr>
            <w:r>
              <w:rPr>
                <w:rFonts w:hint="default" w:ascii="Times New Roman" w:hAnsi="Times New Roman" w:eastAsia="仿宋_GB2312" w:cs="Times New Roman"/>
                <w:b w:val="0"/>
                <w:bCs w:val="0"/>
                <w:color w:val="000000"/>
                <w:sz w:val="24"/>
                <w:szCs w:val="24"/>
                <w:highlight w:val="none"/>
                <w:vertAlign w:val="baseline"/>
                <w:lang w:val="en-US" w:eastAsia="zh-CN"/>
              </w:rPr>
              <w:t>A</w:t>
            </w:r>
          </w:p>
        </w:tc>
        <w:tc>
          <w:tcPr>
            <w:tcW w:w="4072"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00000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45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000000"/>
                <w:sz w:val="24"/>
                <w:szCs w:val="24"/>
                <w:highlight w:val="none"/>
                <w:vertAlign w:val="baseline"/>
                <w:lang w:val="en-US" w:eastAsia="zh-CN"/>
              </w:rPr>
            </w:pPr>
            <w:r>
              <w:rPr>
                <w:rFonts w:hint="default" w:ascii="Times New Roman" w:hAnsi="Times New Roman" w:eastAsia="仿宋_GB2312" w:cs="Times New Roman"/>
                <w:b w:val="0"/>
                <w:bCs w:val="0"/>
                <w:color w:val="000000"/>
                <w:sz w:val="24"/>
                <w:szCs w:val="24"/>
                <w:highlight w:val="none"/>
                <w:vertAlign w:val="baseline"/>
                <w:lang w:val="en-US" w:eastAsia="zh-CN"/>
              </w:rPr>
              <w:t>B</w:t>
            </w:r>
          </w:p>
        </w:tc>
        <w:tc>
          <w:tcPr>
            <w:tcW w:w="4072"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000000"/>
                <w:sz w:val="24"/>
                <w:szCs w:val="24"/>
                <w:highlight w:val="none"/>
                <w:vertAlign w:val="baseline"/>
                <w:lang w:val="en-US" w:eastAsia="zh-CN"/>
              </w:rPr>
            </w:pPr>
            <w:r>
              <w:rPr>
                <w:rFonts w:hint="default" w:ascii="Times New Roman" w:hAnsi="Times New Roman" w:eastAsia="仿宋_GB2312" w:cs="Times New Roman"/>
                <w:b w:val="0"/>
                <w:bCs w:val="0"/>
                <w:color w:val="000000"/>
                <w:sz w:val="24"/>
                <w:szCs w:val="24"/>
                <w:highlight w:val="none"/>
                <w:vertAlign w:val="baseline"/>
                <w:lang w:val="en-US" w:eastAsia="zh-CN"/>
              </w:rPr>
              <w:t>一般风险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45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000000"/>
                <w:sz w:val="24"/>
                <w:szCs w:val="24"/>
                <w:highlight w:val="none"/>
                <w:vertAlign w:val="baseline"/>
                <w:lang w:val="en-US" w:eastAsia="zh-CN"/>
              </w:rPr>
            </w:pPr>
            <w:r>
              <w:rPr>
                <w:rFonts w:hint="default" w:ascii="Times New Roman" w:hAnsi="Times New Roman" w:eastAsia="仿宋_GB2312" w:cs="Times New Roman"/>
                <w:b w:val="0"/>
                <w:bCs w:val="0"/>
                <w:color w:val="000000"/>
                <w:sz w:val="24"/>
                <w:szCs w:val="24"/>
                <w:highlight w:val="none"/>
                <w:vertAlign w:val="baseline"/>
                <w:lang w:val="en-US" w:eastAsia="zh-CN"/>
              </w:rPr>
              <w:t>C</w:t>
            </w:r>
          </w:p>
        </w:tc>
        <w:tc>
          <w:tcPr>
            <w:tcW w:w="4072"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000000"/>
                <w:sz w:val="24"/>
                <w:szCs w:val="24"/>
                <w:highlight w:val="none"/>
                <w:vertAlign w:val="baseline"/>
                <w:lang w:val="en-US" w:eastAsia="zh-CN"/>
              </w:rPr>
            </w:pPr>
            <w:r>
              <w:rPr>
                <w:rFonts w:hint="default" w:ascii="Times New Roman" w:hAnsi="Times New Roman" w:eastAsia="仿宋_GB2312" w:cs="Times New Roman"/>
                <w:b w:val="0"/>
                <w:bCs w:val="0"/>
                <w:color w:val="000000"/>
                <w:sz w:val="24"/>
                <w:szCs w:val="24"/>
                <w:highlight w:val="none"/>
                <w:vertAlign w:val="baseline"/>
                <w:lang w:val="en-US" w:eastAsia="zh-CN"/>
              </w:rPr>
              <w:t>较大风险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45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000000"/>
                <w:sz w:val="24"/>
                <w:szCs w:val="24"/>
                <w:highlight w:val="none"/>
                <w:vertAlign w:val="baseline"/>
                <w:lang w:val="en-US" w:eastAsia="zh-CN"/>
              </w:rPr>
            </w:pPr>
            <w:r>
              <w:rPr>
                <w:rFonts w:hint="default" w:ascii="Times New Roman" w:hAnsi="Times New Roman" w:eastAsia="仿宋_GB2312" w:cs="Times New Roman"/>
                <w:b w:val="0"/>
                <w:bCs w:val="0"/>
                <w:color w:val="000000"/>
                <w:sz w:val="24"/>
                <w:szCs w:val="24"/>
                <w:highlight w:val="none"/>
                <w:vertAlign w:val="baseline"/>
                <w:lang w:val="en-US" w:eastAsia="zh-CN"/>
              </w:rPr>
              <w:t>D</w:t>
            </w:r>
          </w:p>
        </w:tc>
        <w:tc>
          <w:tcPr>
            <w:tcW w:w="4072"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000000"/>
                <w:sz w:val="24"/>
                <w:szCs w:val="24"/>
                <w:highlight w:val="none"/>
                <w:vertAlign w:val="baseline"/>
                <w:lang w:val="en-US" w:eastAsia="zh-CN"/>
              </w:rPr>
            </w:pPr>
            <w:r>
              <w:rPr>
                <w:rFonts w:hint="default" w:ascii="Times New Roman" w:hAnsi="Times New Roman" w:eastAsia="仿宋_GB2312" w:cs="Times New Roman"/>
                <w:b w:val="0"/>
                <w:bCs w:val="0"/>
                <w:color w:val="000000"/>
                <w:sz w:val="24"/>
                <w:szCs w:val="24"/>
                <w:highlight w:val="none"/>
                <w:vertAlign w:val="baseline"/>
                <w:lang w:val="en-US" w:eastAsia="zh-CN"/>
              </w:rPr>
              <w:t>重大风险</w:t>
            </w:r>
          </w:p>
        </w:tc>
      </w:tr>
    </w:tbl>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ind w:left="0" w:leftChars="0" w:firstLine="616" w:firstLineChars="200"/>
        <w:textAlignment w:val="auto"/>
        <w:outlineLvl w:val="9"/>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黑体" w:cs="Times New Roman"/>
          <w:b w:val="0"/>
          <w:bCs w:val="0"/>
          <w:color w:val="000000"/>
          <w:sz w:val="32"/>
          <w:szCs w:val="32"/>
          <w:highlight w:val="none"/>
          <w:lang w:val="en-US" w:eastAsia="zh-CN"/>
        </w:rPr>
        <w:t>第二十六条</w:t>
      </w:r>
      <w:r>
        <w:rPr>
          <w:rFonts w:hint="default" w:ascii="Times New Roman" w:hAnsi="Times New Roman" w:eastAsia="仿宋_GB2312" w:cs="Times New Roman"/>
          <w:bCs/>
          <w:color w:val="000000"/>
          <w:sz w:val="32"/>
          <w:szCs w:val="32"/>
          <w:highlight w:val="none"/>
          <w:lang w:val="en-US" w:eastAsia="zh-CN"/>
        </w:rPr>
        <w:t>[认定周期]</w:t>
      </w:r>
      <w:r>
        <w:rPr>
          <w:rFonts w:hint="default" w:ascii="Times New Roman" w:hAnsi="Times New Roman" w:eastAsia="仿宋_GB2312" w:cs="Times New Roman"/>
          <w:bCs/>
          <w:color w:val="000000"/>
          <w:kern w:val="2"/>
          <w:sz w:val="32"/>
          <w:szCs w:val="32"/>
          <w:highlight w:val="none"/>
          <w:lang w:val="en-US" w:eastAsia="zh-CN" w:bidi="ar-SA"/>
        </w:rPr>
        <w:t xml:space="preserve"> 交易中心每年度依据售电公司信用评价结果，认定售电公司风险级别。售电公司信用评价工作开展期间发生风险事件的，经由浙江</w:t>
      </w:r>
      <w:r>
        <w:rPr>
          <w:rFonts w:hint="default" w:ascii="Times New Roman" w:hAnsi="Times New Roman" w:eastAsia="仿宋_GB2312" w:cs="Times New Roman"/>
          <w:bCs/>
          <w:color w:val="000000"/>
          <w:sz w:val="32"/>
          <w:szCs w:val="32"/>
          <w:highlight w:val="none"/>
          <w:lang w:val="en-US" w:eastAsia="zh-CN"/>
        </w:rPr>
        <w:t>省能源局</w:t>
      </w:r>
      <w:r>
        <w:rPr>
          <w:rFonts w:hint="default" w:ascii="Times New Roman" w:hAnsi="Times New Roman" w:eastAsia="仿宋_GB2312" w:cs="Times New Roman"/>
          <w:bCs/>
          <w:color w:val="000000"/>
          <w:kern w:val="2"/>
          <w:sz w:val="32"/>
          <w:szCs w:val="32"/>
          <w:highlight w:val="none"/>
          <w:lang w:val="en-US" w:eastAsia="zh-CN" w:bidi="ar-SA"/>
        </w:rPr>
        <w:t>认定风险等级后，动态调整风险等级。</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ind w:left="0" w:leftChars="0" w:firstLine="616" w:firstLineChars="200"/>
        <w:jc w:val="left"/>
        <w:textAlignment w:val="auto"/>
        <w:outlineLvl w:val="9"/>
        <w:rPr>
          <w:rFonts w:hint="default" w:ascii="Times New Roman" w:hAnsi="Times New Roman" w:eastAsia="黑体" w:cs="Times New Roman"/>
          <w:b/>
          <w:bCs/>
          <w:color w:val="000000"/>
          <w:sz w:val="32"/>
          <w:szCs w:val="32"/>
          <w:highlight w:val="none"/>
          <w:lang w:eastAsia="zh-CN"/>
        </w:rPr>
      </w:pPr>
      <w:r>
        <w:rPr>
          <w:rFonts w:hint="default" w:ascii="Times New Roman" w:hAnsi="Times New Roman" w:eastAsia="黑体" w:cs="Times New Roman"/>
          <w:b w:val="0"/>
          <w:bCs w:val="0"/>
          <w:color w:val="000000"/>
          <w:sz w:val="32"/>
          <w:szCs w:val="32"/>
          <w:highlight w:val="none"/>
          <w:lang w:val="en-US" w:eastAsia="zh-CN"/>
        </w:rPr>
        <w:t>第二十七条</w:t>
      </w:r>
      <w:r>
        <w:rPr>
          <w:rFonts w:hint="default" w:ascii="Times New Roman" w:hAnsi="Times New Roman" w:eastAsia="仿宋_GB2312" w:cs="Times New Roman"/>
          <w:bCs/>
          <w:color w:val="000000"/>
          <w:sz w:val="32"/>
          <w:szCs w:val="32"/>
          <w:highlight w:val="none"/>
          <w:lang w:val="en-US" w:eastAsia="zh-CN"/>
        </w:rPr>
        <w:t>[等级发布]</w:t>
      </w:r>
      <w:r>
        <w:rPr>
          <w:rFonts w:hint="default" w:ascii="Times New Roman" w:hAnsi="Times New Roman" w:eastAsia="仿宋_GB2312" w:cs="Times New Roman"/>
          <w:bCs/>
          <w:color w:val="000000"/>
          <w:kern w:val="2"/>
          <w:sz w:val="32"/>
          <w:szCs w:val="32"/>
          <w:highlight w:val="none"/>
          <w:lang w:val="en-US" w:eastAsia="zh-CN" w:bidi="ar-SA"/>
        </w:rPr>
        <w:t xml:space="preserve"> 售电公司风险等级与信用评价结果一并发布，</w:t>
      </w:r>
      <w:r>
        <w:rPr>
          <w:rFonts w:hint="default" w:ascii="Times New Roman" w:hAnsi="Times New Roman" w:eastAsia="仿宋_GB2312" w:cs="Times New Roman"/>
          <w:color w:val="000000"/>
          <w:sz w:val="32"/>
          <w:szCs w:val="32"/>
          <w:highlight w:val="none"/>
          <w:lang w:eastAsia="zh-CN"/>
        </w:rPr>
        <w:t>通过交易中心网站等渠道</w:t>
      </w:r>
      <w:r>
        <w:rPr>
          <w:rFonts w:hint="default" w:ascii="Times New Roman" w:hAnsi="Times New Roman" w:eastAsia="仿宋_GB2312" w:cs="Times New Roman"/>
          <w:color w:val="000000"/>
          <w:sz w:val="32"/>
          <w:szCs w:val="32"/>
          <w:highlight w:val="none"/>
        </w:rPr>
        <w:t>面向</w:t>
      </w:r>
      <w:r>
        <w:rPr>
          <w:rFonts w:hint="default" w:ascii="Times New Roman" w:hAnsi="Times New Roman" w:eastAsia="仿宋_GB2312" w:cs="Times New Roman"/>
          <w:color w:val="000000"/>
          <w:sz w:val="32"/>
          <w:szCs w:val="32"/>
          <w:highlight w:val="none"/>
          <w:lang w:eastAsia="zh-CN"/>
        </w:rPr>
        <w:t>公众披露</w:t>
      </w:r>
      <w:r>
        <w:rPr>
          <w:rFonts w:hint="default" w:ascii="Times New Roman" w:hAnsi="Times New Roman" w:eastAsia="仿宋_GB2312" w:cs="Times New Roman"/>
          <w:color w:val="000000"/>
          <w:sz w:val="32"/>
          <w:szCs w:val="32"/>
          <w:highlight w:val="none"/>
          <w:lang w:val="en-US" w:eastAsia="zh-CN"/>
        </w:rPr>
        <w:t>,发布流程</w:t>
      </w:r>
      <w:r>
        <w:rPr>
          <w:rFonts w:hint="default" w:ascii="Times New Roman" w:hAnsi="Times New Roman" w:eastAsia="仿宋_GB2312" w:cs="Times New Roman"/>
          <w:color w:val="000000"/>
          <w:sz w:val="32"/>
          <w:szCs w:val="32"/>
          <w:highlight w:val="none"/>
          <w:lang w:eastAsia="zh-CN"/>
        </w:rPr>
        <w:t>同第十三条至第十五条。动态调整形成的售电公司风险分级名单由交易中心报送</w:t>
      </w:r>
      <w:r>
        <w:rPr>
          <w:rFonts w:hint="default" w:ascii="Times New Roman" w:hAnsi="Times New Roman" w:eastAsia="仿宋_GB2312" w:cs="Times New Roman"/>
          <w:color w:val="000000"/>
          <w:sz w:val="32"/>
          <w:szCs w:val="32"/>
          <w:highlight w:val="none"/>
          <w:lang w:val="en-US" w:eastAsia="zh-CN"/>
        </w:rPr>
        <w:t>浙江</w:t>
      </w:r>
      <w:r>
        <w:rPr>
          <w:rFonts w:hint="default" w:ascii="Times New Roman" w:hAnsi="Times New Roman" w:eastAsia="仿宋_GB2312" w:cs="Times New Roman"/>
          <w:bCs/>
          <w:color w:val="000000"/>
          <w:sz w:val="32"/>
          <w:szCs w:val="32"/>
          <w:highlight w:val="none"/>
          <w:lang w:val="en-US" w:eastAsia="zh-CN"/>
        </w:rPr>
        <w:t>省能源局、浙江能源监管办</w:t>
      </w:r>
      <w:r>
        <w:rPr>
          <w:rFonts w:hint="default" w:ascii="Times New Roman" w:hAnsi="Times New Roman" w:eastAsia="仿宋_GB2312" w:cs="Times New Roman"/>
          <w:color w:val="000000"/>
          <w:sz w:val="32"/>
          <w:szCs w:val="32"/>
          <w:highlight w:val="none"/>
          <w:lang w:eastAsia="zh-CN"/>
        </w:rPr>
        <w:t>，经核定后发布流程同第十三条至第十五条。</w:t>
      </w:r>
    </w:p>
    <w:p>
      <w:pPr>
        <w:pStyle w:val="2"/>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line="550" w:lineRule="exact"/>
        <w:ind w:leftChars="0" w:firstLine="0" w:firstLineChars="0"/>
        <w:jc w:val="center"/>
        <w:textAlignment w:val="auto"/>
        <w:outlineLvl w:val="9"/>
        <w:rPr>
          <w:rFonts w:hint="default" w:ascii="Times New Roman" w:hAnsi="Times New Roman" w:eastAsia="黑体" w:cs="Times New Roman"/>
          <w:b/>
          <w:bCs/>
          <w:color w:val="000000"/>
          <w:sz w:val="32"/>
          <w:szCs w:val="32"/>
          <w:highlight w:val="none"/>
          <w:lang w:eastAsia="zh-CN"/>
        </w:rPr>
      </w:pPr>
      <w:r>
        <w:rPr>
          <w:rFonts w:hint="default" w:ascii="Times New Roman" w:hAnsi="Times New Roman" w:eastAsia="黑体" w:cs="Times New Roman"/>
          <w:b w:val="0"/>
          <w:bCs w:val="0"/>
          <w:color w:val="000000"/>
          <w:sz w:val="32"/>
          <w:szCs w:val="32"/>
          <w:highlight w:val="none"/>
          <w:lang w:eastAsia="zh-CN"/>
        </w:rPr>
        <w:t>风险防控机制</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textAlignment w:val="auto"/>
        <w:outlineLvl w:val="9"/>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黑体" w:cs="Times New Roman"/>
          <w:b w:val="0"/>
          <w:bCs w:val="0"/>
          <w:color w:val="000000"/>
          <w:sz w:val="32"/>
          <w:szCs w:val="32"/>
          <w:highlight w:val="none"/>
        </w:rPr>
        <w:t>第</w:t>
      </w:r>
      <w:r>
        <w:rPr>
          <w:rFonts w:hint="default" w:ascii="Times New Roman" w:hAnsi="Times New Roman" w:eastAsia="黑体" w:cs="Times New Roman"/>
          <w:b w:val="0"/>
          <w:bCs w:val="0"/>
          <w:color w:val="000000"/>
          <w:sz w:val="32"/>
          <w:szCs w:val="32"/>
          <w:highlight w:val="none"/>
          <w:lang w:eastAsia="zh-CN"/>
        </w:rPr>
        <w:t>二十八</w:t>
      </w:r>
      <w:r>
        <w:rPr>
          <w:rFonts w:hint="default" w:ascii="Times New Roman" w:hAnsi="Times New Roman" w:eastAsia="黑体" w:cs="Times New Roman"/>
          <w:b w:val="0"/>
          <w:bCs w:val="0"/>
          <w:color w:val="000000"/>
          <w:sz w:val="32"/>
          <w:szCs w:val="32"/>
          <w:highlight w:val="none"/>
        </w:rPr>
        <w:t>条</w:t>
      </w:r>
      <w:r>
        <w:rPr>
          <w:rFonts w:hint="default" w:ascii="Times New Roman" w:hAnsi="Times New Roman" w:eastAsia="仿宋_GB2312" w:cs="Times New Roman"/>
          <w:bCs/>
          <w:color w:val="000000"/>
          <w:sz w:val="32"/>
          <w:szCs w:val="32"/>
          <w:highlight w:val="none"/>
          <w:lang w:val="en-US" w:eastAsia="zh-CN"/>
        </w:rPr>
        <w:t>[防控机制]</w:t>
      </w:r>
      <w:r>
        <w:rPr>
          <w:rFonts w:hint="default" w:ascii="Times New Roman" w:hAnsi="Times New Roman" w:eastAsia="仿宋_GB2312" w:cs="Times New Roman"/>
          <w:color w:val="000000"/>
          <w:sz w:val="32"/>
          <w:szCs w:val="32"/>
          <w:highlight w:val="none"/>
        </w:rPr>
        <w:t xml:space="preserve"> </w:t>
      </w:r>
      <w:r>
        <w:rPr>
          <w:rFonts w:hint="default" w:ascii="Times New Roman" w:hAnsi="Times New Roman" w:eastAsia="仿宋_GB2312" w:cs="Times New Roman"/>
          <w:color w:val="000000"/>
          <w:sz w:val="32"/>
          <w:szCs w:val="32"/>
          <w:highlight w:val="none"/>
          <w:lang w:val="en-US" w:eastAsia="zh-CN"/>
        </w:rPr>
        <w:t>建立风险防控机制，依据信用评价等级和风险级别对售电公司采取</w:t>
      </w:r>
      <w:r>
        <w:rPr>
          <w:rFonts w:hint="default" w:ascii="Times New Roman" w:hAnsi="Times New Roman" w:eastAsia="仿宋_GB2312" w:cs="Times New Roman"/>
          <w:bCs/>
          <w:color w:val="000000"/>
          <w:sz w:val="32"/>
          <w:szCs w:val="32"/>
          <w:highlight w:val="none"/>
          <w:lang w:val="en-US" w:eastAsia="zh-CN"/>
        </w:rPr>
        <w:t>相应管控措施。</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textAlignment w:val="auto"/>
        <w:outlineLvl w:val="9"/>
        <w:rPr>
          <w:rFonts w:hint="default" w:ascii="Times New Roman" w:hAnsi="Times New Roman" w:eastAsia="仿宋_GB2312" w:cs="Times New Roman"/>
          <w:color w:val="000000"/>
          <w:sz w:val="32"/>
          <w:szCs w:val="32"/>
          <w:highlight w:val="none"/>
        </w:rPr>
      </w:pPr>
      <w:r>
        <w:rPr>
          <w:rFonts w:hint="default" w:ascii="Times New Roman" w:hAnsi="Times New Roman" w:eastAsia="黑体" w:cs="Times New Roman"/>
          <w:b w:val="0"/>
          <w:bCs w:val="0"/>
          <w:color w:val="000000"/>
          <w:sz w:val="32"/>
          <w:szCs w:val="32"/>
          <w:highlight w:val="none"/>
        </w:rPr>
        <w:t>第</w:t>
      </w:r>
      <w:r>
        <w:rPr>
          <w:rFonts w:hint="default" w:ascii="Times New Roman" w:hAnsi="Times New Roman" w:eastAsia="黑体" w:cs="Times New Roman"/>
          <w:b w:val="0"/>
          <w:bCs w:val="0"/>
          <w:color w:val="000000"/>
          <w:sz w:val="32"/>
          <w:szCs w:val="32"/>
          <w:highlight w:val="none"/>
          <w:lang w:eastAsia="zh-CN"/>
        </w:rPr>
        <w:t>二十九</w:t>
      </w:r>
      <w:r>
        <w:rPr>
          <w:rFonts w:hint="default" w:ascii="Times New Roman" w:hAnsi="Times New Roman" w:eastAsia="黑体" w:cs="Times New Roman"/>
          <w:b w:val="0"/>
          <w:bCs w:val="0"/>
          <w:color w:val="000000"/>
          <w:sz w:val="32"/>
          <w:szCs w:val="32"/>
          <w:highlight w:val="none"/>
        </w:rPr>
        <w:t>条</w:t>
      </w:r>
      <w:r>
        <w:rPr>
          <w:rFonts w:hint="default" w:ascii="Times New Roman" w:hAnsi="Times New Roman" w:eastAsia="仿宋_GB2312" w:cs="Times New Roman"/>
          <w:bCs/>
          <w:color w:val="000000"/>
          <w:sz w:val="32"/>
          <w:szCs w:val="32"/>
          <w:highlight w:val="none"/>
          <w:lang w:val="en-US" w:eastAsia="zh-CN"/>
        </w:rPr>
        <w:t xml:space="preserve">[评价应用] </w:t>
      </w:r>
      <w:r>
        <w:rPr>
          <w:rFonts w:hint="default" w:ascii="Times New Roman" w:hAnsi="Times New Roman" w:eastAsia="仿宋_GB2312" w:cs="Times New Roman"/>
          <w:color w:val="000000"/>
          <w:sz w:val="32"/>
          <w:szCs w:val="32"/>
          <w:highlight w:val="none"/>
        </w:rPr>
        <w:t>信用评价结果可应用但不限于以下用途：</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textAlignment w:val="auto"/>
        <w:outlineLvl w:val="9"/>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bCs/>
          <w:color w:val="000000"/>
          <w:sz w:val="32"/>
          <w:szCs w:val="32"/>
          <w:highlight w:val="none"/>
          <w:lang w:val="en-US" w:eastAsia="zh-CN"/>
        </w:rPr>
        <w:t>（一）</w:t>
      </w:r>
      <w:r>
        <w:rPr>
          <w:rFonts w:hint="default" w:ascii="Times New Roman" w:hAnsi="Times New Roman" w:eastAsia="仿宋_GB2312" w:cs="Times New Roman"/>
          <w:color w:val="000000"/>
          <w:sz w:val="32"/>
          <w:szCs w:val="32"/>
          <w:highlight w:val="none"/>
        </w:rPr>
        <w:t>信用风险预警</w:t>
      </w:r>
      <w:r>
        <w:rPr>
          <w:rFonts w:hint="default" w:ascii="Times New Roman" w:hAnsi="Times New Roman" w:eastAsia="仿宋_GB2312" w:cs="Times New Roman"/>
          <w:color w:val="000000"/>
          <w:sz w:val="32"/>
          <w:szCs w:val="32"/>
          <w:highlight w:val="none"/>
          <w:lang w:eastAsia="zh-CN"/>
        </w:rPr>
        <w:t>；</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textAlignment w:val="auto"/>
        <w:outlineLvl w:val="9"/>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bCs/>
          <w:color w:val="000000"/>
          <w:sz w:val="32"/>
          <w:szCs w:val="32"/>
          <w:highlight w:val="none"/>
          <w:lang w:val="en-US" w:eastAsia="zh-CN"/>
        </w:rPr>
        <w:t>（二）对连续三次信用评价等级为B级的售电公司，其评价结果自动降为C级；</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textAlignment w:val="auto"/>
        <w:outlineLvl w:val="9"/>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bCs/>
          <w:color w:val="000000"/>
          <w:sz w:val="32"/>
          <w:szCs w:val="32"/>
          <w:highlight w:val="none"/>
          <w:lang w:val="en-US" w:eastAsia="zh-CN"/>
        </w:rPr>
        <w:t>（二）</w:t>
      </w:r>
      <w:r>
        <w:rPr>
          <w:rFonts w:hint="default" w:ascii="Times New Roman" w:hAnsi="Times New Roman" w:eastAsia="仿宋_GB2312" w:cs="Times New Roman"/>
          <w:color w:val="000000"/>
          <w:sz w:val="32"/>
          <w:szCs w:val="32"/>
          <w:highlight w:val="none"/>
        </w:rPr>
        <w:t>市场准入、退出管理，交易过程管理</w:t>
      </w:r>
      <w:r>
        <w:rPr>
          <w:rFonts w:hint="default" w:ascii="Times New Roman" w:hAnsi="Times New Roman" w:eastAsia="仿宋_GB2312" w:cs="Times New Roman"/>
          <w:color w:val="000000"/>
          <w:sz w:val="32"/>
          <w:szCs w:val="32"/>
          <w:highlight w:val="none"/>
          <w:lang w:eastAsia="zh-CN"/>
        </w:rPr>
        <w:t>；</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textAlignment w:val="auto"/>
        <w:outlineLvl w:val="9"/>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eastAsia="zh-CN"/>
        </w:rPr>
        <w:t>三</w:t>
      </w:r>
      <w:r>
        <w:rPr>
          <w:rFonts w:hint="default" w:ascii="Times New Roman" w:hAnsi="Times New Roman" w:eastAsia="仿宋_GB2312" w:cs="Times New Roman"/>
          <w:color w:val="000000"/>
          <w:sz w:val="32"/>
          <w:szCs w:val="32"/>
          <w:highlight w:val="none"/>
        </w:rPr>
        <w:t>）电力领域失信联合惩戒对象黑名单管理</w:t>
      </w:r>
      <w:r>
        <w:rPr>
          <w:rFonts w:hint="default" w:ascii="Times New Roman" w:hAnsi="Times New Roman" w:eastAsia="仿宋_GB2312" w:cs="Times New Roman"/>
          <w:color w:val="000000"/>
          <w:sz w:val="32"/>
          <w:szCs w:val="32"/>
          <w:highlight w:val="none"/>
          <w:lang w:eastAsia="zh-CN"/>
        </w:rPr>
        <w:t>；</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textAlignment w:val="auto"/>
        <w:outlineLvl w:val="9"/>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eastAsia="zh-CN"/>
        </w:rPr>
        <w:t>四</w:t>
      </w:r>
      <w:r>
        <w:rPr>
          <w:rFonts w:hint="default" w:ascii="Times New Roman" w:hAnsi="Times New Roman" w:eastAsia="仿宋_GB2312" w:cs="Times New Roman"/>
          <w:color w:val="000000"/>
          <w:sz w:val="32"/>
          <w:szCs w:val="32"/>
          <w:highlight w:val="none"/>
        </w:rPr>
        <w:t>）交易新业务、新品种试点或推广顺序拟定，特殊交易品种准入</w:t>
      </w:r>
      <w:r>
        <w:rPr>
          <w:rFonts w:hint="default" w:ascii="Times New Roman" w:hAnsi="Times New Roman" w:eastAsia="仿宋_GB2312" w:cs="Times New Roman"/>
          <w:color w:val="000000"/>
          <w:sz w:val="32"/>
          <w:szCs w:val="32"/>
          <w:highlight w:val="none"/>
          <w:lang w:eastAsia="zh-CN"/>
        </w:rPr>
        <w:t>等；</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textAlignment w:val="auto"/>
        <w:outlineLvl w:val="9"/>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eastAsia="zh-CN"/>
        </w:rPr>
        <w:t>五</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bCs/>
          <w:color w:val="000000"/>
          <w:sz w:val="32"/>
          <w:szCs w:val="32"/>
          <w:highlight w:val="none"/>
          <w:lang w:val="en-US" w:eastAsia="zh-CN"/>
        </w:rPr>
        <w:t>浙江省能源局</w:t>
      </w:r>
      <w:r>
        <w:rPr>
          <w:rFonts w:hint="default" w:ascii="Times New Roman" w:hAnsi="Times New Roman" w:eastAsia="仿宋_GB2312" w:cs="Times New Roman"/>
          <w:color w:val="000000"/>
          <w:sz w:val="32"/>
          <w:szCs w:val="32"/>
          <w:highlight w:val="none"/>
        </w:rPr>
        <w:t>分类审批、监管依据</w:t>
      </w:r>
      <w:r>
        <w:rPr>
          <w:rFonts w:hint="default" w:ascii="Times New Roman" w:hAnsi="Times New Roman" w:eastAsia="仿宋_GB2312" w:cs="Times New Roman"/>
          <w:color w:val="000000"/>
          <w:sz w:val="32"/>
          <w:szCs w:val="32"/>
          <w:highlight w:val="none"/>
          <w:lang w:eastAsia="zh-CN"/>
        </w:rPr>
        <w:t>；</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textAlignment w:val="auto"/>
        <w:outlineLvl w:val="9"/>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eastAsia="zh-CN"/>
        </w:rPr>
        <w:t>六</w:t>
      </w:r>
      <w:r>
        <w:rPr>
          <w:rFonts w:hint="default" w:ascii="Times New Roman" w:hAnsi="Times New Roman" w:eastAsia="仿宋_GB2312" w:cs="Times New Roman"/>
          <w:color w:val="000000"/>
          <w:sz w:val="32"/>
          <w:szCs w:val="32"/>
          <w:highlight w:val="none"/>
        </w:rPr>
        <w:t>）信用档案应用于但不限于联合</w:t>
      </w:r>
      <w:r>
        <w:rPr>
          <w:rFonts w:hint="default" w:ascii="Times New Roman" w:hAnsi="Times New Roman" w:eastAsia="仿宋_GB2312" w:cs="Times New Roman"/>
          <w:color w:val="000000"/>
          <w:sz w:val="32"/>
          <w:szCs w:val="32"/>
          <w:highlight w:val="none"/>
          <w:lang w:eastAsia="zh-CN"/>
        </w:rPr>
        <w:t>惩戒</w:t>
      </w:r>
      <w:r>
        <w:rPr>
          <w:rFonts w:hint="default" w:ascii="Times New Roman" w:hAnsi="Times New Roman" w:eastAsia="仿宋_GB2312" w:cs="Times New Roman"/>
          <w:color w:val="000000"/>
          <w:sz w:val="32"/>
          <w:szCs w:val="32"/>
          <w:highlight w:val="none"/>
        </w:rPr>
        <w:t>。</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ind w:left="0" w:leftChars="0" w:firstLine="616"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第三十条</w:t>
      </w:r>
      <w:r>
        <w:rPr>
          <w:rFonts w:hint="default" w:ascii="Times New Roman" w:hAnsi="Times New Roman" w:eastAsia="仿宋_GB2312" w:cs="Times New Roman"/>
          <w:bCs/>
          <w:color w:val="auto"/>
          <w:sz w:val="32"/>
          <w:szCs w:val="32"/>
          <w:highlight w:val="none"/>
          <w:lang w:val="en-US" w:eastAsia="zh-CN"/>
        </w:rPr>
        <w:t>[保函衔接]</w:t>
      </w:r>
      <w:r>
        <w:rPr>
          <w:rFonts w:hint="default" w:ascii="Times New Roman" w:hAnsi="Times New Roman" w:eastAsia="仿宋_GB2312" w:cs="Times New Roman"/>
          <w:bCs/>
          <w:color w:val="auto"/>
          <w:kern w:val="2"/>
          <w:sz w:val="32"/>
          <w:szCs w:val="32"/>
          <w:highlight w:val="none"/>
          <w:lang w:val="en-US" w:eastAsia="zh-CN" w:bidi="ar-SA"/>
        </w:rPr>
        <w:t xml:space="preserve"> 结合市场运营实际和信用评价运行情况，适时将售电公司信用评价等级和履约保函缴纳额度衔接。</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ind w:left="0" w:leftChars="0" w:firstLine="616" w:firstLineChars="200"/>
        <w:textAlignment w:val="auto"/>
        <w:outlineLvl w:val="9"/>
        <w:rPr>
          <w:rFonts w:hint="default" w:ascii="Times New Roman" w:hAnsi="Times New Roman" w:eastAsia="仿宋_GB2312" w:cs="Times New Roman"/>
          <w:bCs/>
          <w:color w:val="000000"/>
          <w:kern w:val="2"/>
          <w:sz w:val="32"/>
          <w:szCs w:val="32"/>
          <w:highlight w:val="none"/>
          <w:lang w:val="en-US" w:eastAsia="zh-CN" w:bidi="ar-SA"/>
        </w:rPr>
      </w:pPr>
      <w:r>
        <w:rPr>
          <w:rFonts w:hint="default" w:ascii="Times New Roman" w:hAnsi="Times New Roman" w:eastAsia="黑体" w:cs="Times New Roman"/>
          <w:b w:val="0"/>
          <w:bCs w:val="0"/>
          <w:color w:val="000000"/>
          <w:sz w:val="32"/>
          <w:szCs w:val="32"/>
          <w:highlight w:val="none"/>
          <w:lang w:val="en-US" w:eastAsia="zh-CN"/>
        </w:rPr>
        <w:t>第三十一条</w:t>
      </w:r>
      <w:r>
        <w:rPr>
          <w:rFonts w:hint="default" w:ascii="Times New Roman" w:hAnsi="Times New Roman" w:eastAsia="仿宋_GB2312" w:cs="Times New Roman"/>
          <w:bCs/>
          <w:color w:val="000000"/>
          <w:sz w:val="32"/>
          <w:szCs w:val="32"/>
          <w:highlight w:val="none"/>
          <w:lang w:val="en-US" w:eastAsia="zh-CN"/>
        </w:rPr>
        <w:t>[管控措施]</w:t>
      </w:r>
      <w:r>
        <w:rPr>
          <w:rFonts w:hint="default" w:ascii="Times New Roman" w:hAnsi="Times New Roman" w:eastAsia="仿宋_GB2312" w:cs="Times New Roman"/>
          <w:bCs/>
          <w:color w:val="000000"/>
          <w:kern w:val="2"/>
          <w:sz w:val="32"/>
          <w:szCs w:val="32"/>
          <w:highlight w:val="none"/>
          <w:lang w:val="en-US" w:eastAsia="zh-CN" w:bidi="ar-SA"/>
        </w:rPr>
        <w:t xml:space="preserve"> 认定为一般风险的售电公司，交易中心通过公告、通知等形式向各市场主体发出风险提示；认定为较大风险的售电公司，交易中心通过公告、通知、函件、系统提示等方式向与其存在合同关系的相关方发出风险预警，并将有关情况报送浙江省能源局和浙江能源监管办，由浙江省能源局和浙江能源监管办按规定对违法违规行为予以查处。</w:t>
      </w:r>
    </w:p>
    <w:p>
      <w:pPr>
        <w:pStyle w:val="2"/>
        <w:keepNext w:val="0"/>
        <w:keepLines w:val="0"/>
        <w:pageBreakBefore w:val="0"/>
        <w:widowControl w:val="0"/>
        <w:shd w:val="clear" w:color="auto" w:fill="auto"/>
        <w:kinsoku/>
        <w:wordWrap/>
        <w:overflowPunct/>
        <w:topLinePunct w:val="0"/>
        <w:autoSpaceDE/>
        <w:autoSpaceDN/>
        <w:bidi w:val="0"/>
        <w:adjustRightInd/>
        <w:snapToGrid/>
        <w:spacing w:line="550" w:lineRule="exact"/>
        <w:ind w:left="0" w:leftChars="0" w:firstLine="616" w:firstLineChars="200"/>
        <w:textAlignment w:val="auto"/>
        <w:outlineLvl w:val="9"/>
        <w:rPr>
          <w:rFonts w:hint="default" w:ascii="Times New Roman" w:hAnsi="Times New Roman" w:eastAsia="黑体" w:cs="Times New Roman"/>
          <w:bCs/>
          <w:color w:val="000000"/>
          <w:kern w:val="2"/>
          <w:sz w:val="32"/>
          <w:szCs w:val="32"/>
          <w:highlight w:val="none"/>
          <w:lang w:val="en-US" w:eastAsia="zh-CN" w:bidi="ar-SA"/>
        </w:rPr>
      </w:pPr>
      <w:r>
        <w:rPr>
          <w:rFonts w:hint="default" w:ascii="Times New Roman" w:hAnsi="Times New Roman" w:eastAsia="黑体" w:cs="Times New Roman"/>
          <w:b w:val="0"/>
          <w:bCs w:val="0"/>
          <w:color w:val="000000"/>
          <w:sz w:val="32"/>
          <w:szCs w:val="32"/>
          <w:highlight w:val="none"/>
          <w:lang w:val="en-US" w:eastAsia="zh-CN"/>
        </w:rPr>
        <w:t>第三十二条</w:t>
      </w:r>
      <w:r>
        <w:rPr>
          <w:rFonts w:hint="default" w:ascii="Times New Roman" w:hAnsi="Times New Roman" w:eastAsia="仿宋_GB2312" w:cs="Times New Roman"/>
          <w:bCs/>
          <w:color w:val="000000"/>
          <w:sz w:val="32"/>
          <w:szCs w:val="32"/>
          <w:highlight w:val="none"/>
          <w:lang w:val="en-US" w:eastAsia="zh-CN"/>
        </w:rPr>
        <w:t>[问题整改]</w:t>
      </w:r>
      <w:r>
        <w:rPr>
          <w:rFonts w:hint="default" w:ascii="Times New Roman" w:hAnsi="Times New Roman" w:eastAsia="仿宋_GB2312" w:cs="Times New Roman"/>
          <w:bCs/>
          <w:color w:val="000000"/>
          <w:kern w:val="2"/>
          <w:sz w:val="32"/>
          <w:szCs w:val="32"/>
          <w:highlight w:val="none"/>
          <w:lang w:val="en-US" w:eastAsia="zh-CN" w:bidi="ar-SA"/>
        </w:rPr>
        <w:t xml:space="preserve"> 根据《售电公司管理办法》等，存在违法失信行为被评定为C级、D级的售电公司，应当在规定期限内开展整改，修复信用，拒不整改的，按照《售电公司管理办法》规定，启动强制退市程序。</w:t>
      </w:r>
    </w:p>
    <w:p>
      <w:pPr>
        <w:numPr>
          <w:ilvl w:val="0"/>
          <w:numId w:val="2"/>
        </w:numPr>
        <w:shd w:val="clear" w:color="auto" w:fill="auto"/>
        <w:spacing w:line="550" w:lineRule="exact"/>
        <w:ind w:firstLine="0" w:firstLineChars="0"/>
        <w:jc w:val="center"/>
        <w:outlineLvl w:val="0"/>
        <w:rPr>
          <w:rFonts w:hint="default" w:ascii="Times New Roman" w:hAnsi="Times New Roman" w:eastAsia="黑体" w:cs="Times New Roman"/>
          <w:lang w:val="en-US" w:eastAsia="zh-CN"/>
        </w:rPr>
      </w:pPr>
      <w:r>
        <w:rPr>
          <w:rFonts w:hint="default" w:ascii="Times New Roman" w:hAnsi="Times New Roman" w:eastAsia="黑体" w:cs="Times New Roman"/>
          <w:b w:val="0"/>
          <w:bCs w:val="0"/>
          <w:color w:val="000000"/>
          <w:sz w:val="32"/>
          <w:szCs w:val="32"/>
          <w:highlight w:val="none"/>
          <w:lang w:val="en-US" w:eastAsia="zh-CN"/>
        </w:rPr>
        <w:t>附  则</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50" w:lineRule="exact"/>
        <w:ind w:firstLine="616" w:firstLineChars="200"/>
        <w:textAlignment w:val="auto"/>
        <w:outlineLvl w:val="9"/>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黑体" w:cs="Times New Roman"/>
          <w:b w:val="0"/>
          <w:bCs w:val="0"/>
          <w:color w:val="000000"/>
          <w:sz w:val="32"/>
          <w:szCs w:val="32"/>
          <w:highlight w:val="none"/>
        </w:rPr>
        <w:t>第</w:t>
      </w:r>
      <w:r>
        <w:rPr>
          <w:rFonts w:hint="default" w:ascii="Times New Roman" w:hAnsi="Times New Roman" w:eastAsia="黑体" w:cs="Times New Roman"/>
          <w:b w:val="0"/>
          <w:bCs w:val="0"/>
          <w:color w:val="000000"/>
          <w:sz w:val="32"/>
          <w:szCs w:val="32"/>
          <w:highlight w:val="none"/>
          <w:lang w:eastAsia="zh-CN"/>
        </w:rPr>
        <w:t>三十三</w:t>
      </w:r>
      <w:r>
        <w:rPr>
          <w:rFonts w:hint="default" w:ascii="Times New Roman" w:hAnsi="Times New Roman" w:eastAsia="黑体" w:cs="Times New Roman"/>
          <w:b w:val="0"/>
          <w:bCs w:val="0"/>
          <w:color w:val="000000"/>
          <w:sz w:val="32"/>
          <w:szCs w:val="32"/>
          <w:highlight w:val="none"/>
        </w:rPr>
        <w:t>条</w:t>
      </w:r>
      <w:r>
        <w:rPr>
          <w:rFonts w:hint="default" w:ascii="Times New Roman" w:hAnsi="Times New Roman" w:eastAsia="仿宋_GB2312" w:cs="Times New Roman"/>
          <w:bCs/>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解释</w:t>
      </w:r>
      <w:r>
        <w:rPr>
          <w:rFonts w:hint="default" w:ascii="Times New Roman" w:hAnsi="Times New Roman" w:eastAsia="仿宋_GB2312" w:cs="Times New Roman"/>
          <w:color w:val="000000"/>
          <w:sz w:val="32"/>
          <w:szCs w:val="32"/>
          <w:highlight w:val="none"/>
          <w:lang w:val="en-US" w:eastAsia="zh-CN"/>
        </w:rPr>
        <w:t>实施</w:t>
      </w:r>
      <w:r>
        <w:rPr>
          <w:rFonts w:hint="default" w:ascii="Times New Roman" w:hAnsi="Times New Roman" w:eastAsia="仿宋_GB2312" w:cs="Times New Roman"/>
          <w:bCs/>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本办法</w:t>
      </w:r>
      <w:r>
        <w:rPr>
          <w:rFonts w:hint="default" w:ascii="Times New Roman" w:hAnsi="Times New Roman" w:eastAsia="仿宋_GB2312" w:cs="Times New Roman"/>
          <w:color w:val="000000"/>
          <w:sz w:val="32"/>
          <w:szCs w:val="32"/>
          <w:highlight w:val="none"/>
          <w:lang w:val="en-US" w:eastAsia="zh-CN"/>
        </w:rPr>
        <w:t>由浙江</w:t>
      </w:r>
      <w:r>
        <w:rPr>
          <w:rFonts w:hint="default" w:ascii="Times New Roman" w:hAnsi="Times New Roman" w:eastAsia="仿宋_GB2312" w:cs="Times New Roman"/>
          <w:bCs/>
          <w:color w:val="000000"/>
          <w:sz w:val="32"/>
          <w:szCs w:val="32"/>
          <w:highlight w:val="none"/>
          <w:lang w:val="en-US" w:eastAsia="zh-CN"/>
        </w:rPr>
        <w:t>省能源局</w:t>
      </w:r>
      <w:r>
        <w:rPr>
          <w:rFonts w:hint="default" w:ascii="Times New Roman" w:hAnsi="Times New Roman" w:eastAsia="仿宋_GB2312" w:cs="Times New Roman"/>
          <w:color w:val="000000"/>
          <w:sz w:val="32"/>
          <w:szCs w:val="32"/>
          <w:highlight w:val="none"/>
          <w:lang w:val="en-US" w:eastAsia="zh-Hans"/>
        </w:rPr>
        <w:t>负责解释</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自正式发布之日起实施</w:t>
      </w:r>
      <w:r>
        <w:rPr>
          <w:rFonts w:hint="default" w:ascii="Times New Roman" w:hAnsi="Times New Roman" w:eastAsia="仿宋_GB2312" w:cs="Times New Roman"/>
          <w:color w:val="000000"/>
          <w:sz w:val="32"/>
          <w:szCs w:val="32"/>
          <w:highlight w:val="none"/>
          <w:lang w:eastAsia="zh-CN"/>
        </w:rPr>
        <w:t>。</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50" w:lineRule="exact"/>
        <w:textAlignment w:val="auto"/>
        <w:outlineLvl w:val="9"/>
        <w:rPr>
          <w:rFonts w:hint="default" w:ascii="Times New Roman" w:hAnsi="Times New Roman" w:eastAsia="仿宋_GB2312" w:cs="Times New Roman"/>
          <w:color w:val="000000"/>
          <w:sz w:val="32"/>
          <w:szCs w:val="32"/>
          <w:highlight w:val="none"/>
          <w:lang w:eastAsia="zh-CN"/>
        </w:rPr>
      </w:pPr>
    </w:p>
    <w:p>
      <w:pPr>
        <w:pStyle w:val="2"/>
        <w:spacing w:line="550" w:lineRule="exact"/>
        <w:rPr>
          <w:rFonts w:hint="default" w:ascii="Times New Roman" w:hAnsi="Times New Roman" w:eastAsia="仿宋_GB2312" w:cs="Times New Roman"/>
          <w:color w:val="000000"/>
          <w:sz w:val="32"/>
          <w:szCs w:val="32"/>
          <w:highlight w:val="none"/>
          <w:lang w:eastAsia="zh-CN"/>
        </w:rPr>
        <w:sectPr>
          <w:footerReference r:id="rId5" w:type="default"/>
          <w:pgSz w:w="11906" w:h="16838"/>
          <w:pgMar w:top="2098" w:right="1474" w:bottom="1984" w:left="1587" w:header="851" w:footer="1587" w:gutter="0"/>
          <w:pgBorders>
            <w:top w:val="none" w:sz="0" w:space="0"/>
            <w:left w:val="none" w:sz="0" w:space="0"/>
            <w:bottom w:val="none" w:sz="0" w:space="0"/>
            <w:right w:val="none" w:sz="0" w:space="0"/>
          </w:pgBorders>
          <w:pgNumType w:fmt="decimal"/>
          <w:cols w:space="720" w:num="1"/>
          <w:rtlGutter w:val="0"/>
          <w:docGrid w:type="linesAndChars" w:linePitch="579" w:charSpace="0"/>
        </w:sectPr>
      </w:pP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30" w:lineRule="exact"/>
        <w:jc w:val="both"/>
        <w:textAlignment w:val="auto"/>
        <w:outlineLvl w:val="0"/>
        <w:rPr>
          <w:rFonts w:hint="default" w:ascii="Times New Roman" w:hAnsi="Times New Roman" w:eastAsia="黑体" w:cs="Times New Roman"/>
          <w:bCs/>
          <w:color w:val="000000"/>
          <w:kern w:val="2"/>
          <w:sz w:val="32"/>
          <w:szCs w:val="32"/>
          <w:highlight w:val="none"/>
          <w:lang w:val="en-US" w:eastAsia="zh-CN" w:bidi="ar-SA"/>
        </w:rPr>
      </w:pPr>
      <w:r>
        <w:rPr>
          <w:rFonts w:hint="default" w:ascii="Times New Roman" w:hAnsi="Times New Roman" w:eastAsia="黑体" w:cs="Times New Roman"/>
          <w:bCs/>
          <w:color w:val="000000"/>
          <w:kern w:val="2"/>
          <w:sz w:val="32"/>
          <w:szCs w:val="32"/>
          <w:highlight w:val="none"/>
          <w:lang w:val="en-US" w:eastAsia="zh-CN" w:bidi="ar-SA"/>
        </w:rPr>
        <w:t>附</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30" w:lineRule="exact"/>
        <w:jc w:val="both"/>
        <w:textAlignment w:val="auto"/>
        <w:outlineLvl w:val="0"/>
        <w:rPr>
          <w:rFonts w:hint="default" w:ascii="Times New Roman" w:hAnsi="Times New Roman" w:eastAsia="仿宋_GB2312" w:cs="Times New Roman"/>
          <w:bCs/>
          <w:color w:val="000000"/>
          <w:kern w:val="2"/>
          <w:sz w:val="32"/>
          <w:szCs w:val="32"/>
          <w:highlight w:val="none"/>
          <w:lang w:val="en-US" w:eastAsia="zh-CN" w:bidi="ar-SA"/>
        </w:rPr>
      </w:pP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30" w:lineRule="exact"/>
        <w:jc w:val="center"/>
        <w:textAlignment w:val="auto"/>
        <w:outlineLvl w:val="0"/>
        <w:rPr>
          <w:rFonts w:hint="default" w:ascii="Times New Roman" w:hAnsi="Times New Roman" w:eastAsia="方正小标宋简体" w:cs="Times New Roman"/>
          <w:b w:val="0"/>
          <w:bCs w:val="0"/>
          <w:color w:val="000000"/>
          <w:sz w:val="44"/>
          <w:szCs w:val="44"/>
          <w:highlight w:val="none"/>
          <w:lang w:eastAsia="zh-CN"/>
        </w:rPr>
      </w:pPr>
      <w:r>
        <w:rPr>
          <w:rFonts w:hint="default" w:ascii="Times New Roman" w:hAnsi="Times New Roman" w:eastAsia="方正小标宋简体" w:cs="Times New Roman"/>
          <w:b w:val="0"/>
          <w:bCs w:val="0"/>
          <w:color w:val="000000"/>
          <w:sz w:val="44"/>
          <w:szCs w:val="44"/>
          <w:highlight w:val="none"/>
          <w:lang w:val="en-US" w:eastAsia="zh-CN"/>
        </w:rPr>
        <w:t>浙江电力市场售电公司信用评价指标体系</w:t>
      </w:r>
    </w:p>
    <w:tbl>
      <w:tblPr>
        <w:tblStyle w:val="6"/>
        <w:tblW w:w="14173" w:type="dxa"/>
        <w:jc w:val="center"/>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Layout w:type="fixed"/>
        <w:tblCellMar>
          <w:top w:w="15" w:type="dxa"/>
          <w:left w:w="15" w:type="dxa"/>
          <w:bottom w:w="15" w:type="dxa"/>
          <w:right w:w="15" w:type="dxa"/>
        </w:tblCellMar>
      </w:tblPr>
      <w:tblGrid>
        <w:gridCol w:w="1141"/>
        <w:gridCol w:w="698"/>
        <w:gridCol w:w="1153"/>
        <w:gridCol w:w="786"/>
        <w:gridCol w:w="1445"/>
        <w:gridCol w:w="774"/>
        <w:gridCol w:w="2586"/>
        <w:gridCol w:w="5590"/>
      </w:tblGrid>
      <w:tr>
        <w:tblPrEx>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CellMar>
            <w:top w:w="15" w:type="dxa"/>
            <w:left w:w="15" w:type="dxa"/>
            <w:bottom w:w="15" w:type="dxa"/>
            <w:right w:w="15" w:type="dxa"/>
          </w:tblCellMar>
        </w:tblPrEx>
        <w:trPr>
          <w:trHeight w:val="0" w:hRule="atLeast"/>
          <w:tblHeader/>
          <w:jc w:val="center"/>
        </w:trPr>
        <w:tc>
          <w:tcPr>
            <w:tcW w:w="13976" w:type="dxa"/>
            <w:gridSpan w:val="8"/>
            <w:tcBorders>
              <w:top w:val="single" w:color="000000" w:sz="8" w:space="0"/>
              <w:left w:val="single" w:color="000000" w:sz="8" w:space="0"/>
              <w:bottom w:val="single" w:color="000000" w:sz="8" w:space="0"/>
              <w:right w:val="single" w:color="000000" w:sz="8" w:space="0"/>
            </w:tcBorders>
            <w:noWrap w:val="0"/>
            <w:vAlign w:val="center"/>
          </w:tcPr>
          <w:p>
            <w:pPr>
              <w:shd w:val="clear" w:color="auto" w:fill="auto"/>
              <w:spacing w:line="400" w:lineRule="exact"/>
              <w:jc w:val="left"/>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1.场外指标</w:t>
            </w:r>
          </w:p>
        </w:tc>
      </w:tr>
      <w:tr>
        <w:tblPrEx>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CellMar>
            <w:top w:w="15" w:type="dxa"/>
            <w:left w:w="15" w:type="dxa"/>
            <w:bottom w:w="15" w:type="dxa"/>
            <w:right w:w="15" w:type="dxa"/>
          </w:tblCellMar>
        </w:tblPrEx>
        <w:trPr>
          <w:trHeight w:val="0" w:hRule="atLeast"/>
          <w:tblHeader/>
          <w:jc w:val="center"/>
        </w:trPr>
        <w:tc>
          <w:tcPr>
            <w:tcW w:w="1814"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一级指标</w:t>
            </w:r>
          </w:p>
        </w:tc>
        <w:tc>
          <w:tcPr>
            <w:tcW w:w="1912"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二级指标</w:t>
            </w:r>
          </w:p>
        </w:tc>
        <w:tc>
          <w:tcPr>
            <w:tcW w:w="2188"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三级指标</w:t>
            </w:r>
          </w:p>
        </w:tc>
        <w:tc>
          <w:tcPr>
            <w:tcW w:w="2550" w:type="dxa"/>
            <w:vMerge w:val="restart"/>
            <w:tcBorders>
              <w:top w:val="single" w:color="000000" w:sz="8" w:space="0"/>
              <w:left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指标内容/计算公式</w:t>
            </w:r>
          </w:p>
        </w:tc>
        <w:tc>
          <w:tcPr>
            <w:tcW w:w="5512" w:type="dxa"/>
            <w:vMerge w:val="restart"/>
            <w:tcBorders>
              <w:top w:val="single" w:color="000000" w:sz="8" w:space="0"/>
              <w:left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评分标准</w:t>
            </w:r>
          </w:p>
        </w:tc>
      </w:tr>
      <w:tr>
        <w:tblPrEx>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CellMar>
            <w:top w:w="15" w:type="dxa"/>
            <w:left w:w="15" w:type="dxa"/>
            <w:bottom w:w="15" w:type="dxa"/>
            <w:right w:w="15" w:type="dxa"/>
          </w:tblCellMar>
        </w:tblPrEx>
        <w:trPr>
          <w:trHeight w:val="0" w:hRule="atLeast"/>
          <w:tblHeader/>
          <w:jc w:val="center"/>
        </w:trPr>
        <w:tc>
          <w:tcPr>
            <w:tcW w:w="112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名称</w:t>
            </w:r>
          </w:p>
        </w:tc>
        <w:tc>
          <w:tcPr>
            <w:tcW w:w="68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分数</w:t>
            </w:r>
          </w:p>
        </w:tc>
        <w:tc>
          <w:tcPr>
            <w:tcW w:w="11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名称</w:t>
            </w:r>
          </w:p>
        </w:tc>
        <w:tc>
          <w:tcPr>
            <w:tcW w:w="7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分数</w:t>
            </w:r>
          </w:p>
        </w:tc>
        <w:tc>
          <w:tcPr>
            <w:tcW w:w="14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名称</w:t>
            </w:r>
          </w:p>
        </w:tc>
        <w:tc>
          <w:tcPr>
            <w:tcW w:w="76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分数</w:t>
            </w:r>
          </w:p>
        </w:tc>
        <w:tc>
          <w:tcPr>
            <w:tcW w:w="2550" w:type="dxa"/>
            <w:vMerge w:val="continue"/>
            <w:tcBorders>
              <w:left w:val="single" w:color="000000" w:sz="8" w:space="0"/>
              <w:bottom w:val="single" w:color="000000" w:sz="8" w:space="0"/>
              <w:right w:val="single" w:color="000000" w:sz="8" w:space="0"/>
            </w:tcBorders>
            <w:noWrap w:val="0"/>
            <w:vAlign w:val="center"/>
          </w:tcPr>
          <w:p>
            <w:pPr>
              <w:shd w:val="clear" w:color="auto" w:fill="auto"/>
              <w:spacing w:line="400" w:lineRule="exact"/>
              <w:jc w:val="center"/>
              <w:rPr>
                <w:rFonts w:hint="default" w:ascii="Times New Roman" w:hAnsi="Times New Roman" w:eastAsia="仿宋_GB2312" w:cs="Times New Roman"/>
                <w:b/>
                <w:i w:val="0"/>
                <w:color w:val="000000"/>
                <w:sz w:val="21"/>
                <w:szCs w:val="21"/>
                <w:highlight w:val="none"/>
                <w:u w:val="none"/>
              </w:rPr>
            </w:pPr>
          </w:p>
        </w:tc>
        <w:tc>
          <w:tcPr>
            <w:tcW w:w="5512" w:type="dxa"/>
            <w:vMerge w:val="continue"/>
            <w:tcBorders>
              <w:left w:val="single" w:color="000000" w:sz="8" w:space="0"/>
              <w:bottom w:val="single" w:color="000000" w:sz="8" w:space="0"/>
              <w:right w:val="single" w:color="000000" w:sz="8" w:space="0"/>
            </w:tcBorders>
            <w:noWrap w:val="0"/>
            <w:vAlign w:val="center"/>
          </w:tcPr>
          <w:p>
            <w:pPr>
              <w:shd w:val="clear" w:color="auto" w:fill="auto"/>
              <w:spacing w:line="400" w:lineRule="exact"/>
              <w:jc w:val="center"/>
              <w:rPr>
                <w:rFonts w:hint="default" w:ascii="Times New Roman" w:hAnsi="Times New Roman" w:eastAsia="仿宋_GB2312" w:cs="Times New Roman"/>
                <w:b/>
                <w:i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26"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财务状况</w:t>
            </w:r>
          </w:p>
        </w:tc>
        <w:tc>
          <w:tcPr>
            <w:tcW w:w="688"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10</w:t>
            </w:r>
          </w:p>
        </w:tc>
        <w:tc>
          <w:tcPr>
            <w:tcW w:w="113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偿债能力</w:t>
            </w:r>
          </w:p>
        </w:tc>
        <w:tc>
          <w:tcPr>
            <w:tcW w:w="77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center"/>
              <w:textAlignment w:val="center"/>
              <w:rPr>
                <w:rFonts w:hint="default" w:ascii="Times New Roman" w:hAnsi="Times New Roman" w:eastAsia="仿宋_GB2312" w:cs="Times New Roman"/>
                <w:i w:val="0"/>
                <w:color w:val="000000"/>
                <w:sz w:val="21"/>
                <w:szCs w:val="21"/>
                <w:highlight w:val="none"/>
                <w:u w:val="none"/>
                <w:lang w:val="en-US"/>
              </w:rPr>
            </w:pPr>
            <w:r>
              <w:rPr>
                <w:rFonts w:hint="default" w:ascii="Times New Roman" w:hAnsi="Times New Roman" w:eastAsia="仿宋_GB2312" w:cs="Times New Roman"/>
                <w:i w:val="0"/>
                <w:color w:val="000000"/>
                <w:kern w:val="0"/>
                <w:sz w:val="21"/>
                <w:szCs w:val="21"/>
                <w:highlight w:val="none"/>
                <w:u w:val="none"/>
                <w:lang w:val="en-US" w:eastAsia="zh-CN" w:bidi="ar"/>
              </w:rPr>
              <w:t>10</w:t>
            </w:r>
          </w:p>
        </w:tc>
        <w:tc>
          <w:tcPr>
            <w:tcW w:w="14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资产总额</w:t>
            </w:r>
          </w:p>
        </w:tc>
        <w:tc>
          <w:tcPr>
            <w:tcW w:w="76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5</w:t>
            </w:r>
          </w:p>
        </w:tc>
        <w:tc>
          <w:tcPr>
            <w:tcW w:w="25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left"/>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资产总额</w:t>
            </w:r>
          </w:p>
        </w:tc>
        <w:tc>
          <w:tcPr>
            <w:tcW w:w="55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资产总额≥2亿元人民币，得5分；</w:t>
            </w:r>
          </w:p>
          <w:p>
            <w:pPr>
              <w:keepNext w:val="0"/>
              <w:keepLines w:val="0"/>
              <w:widowControl/>
              <w:suppressLineNumbers w:val="0"/>
              <w:shd w:val="clear" w:color="auto" w:fill="auto"/>
              <w:spacing w:line="40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1亿元人民币≤资产总额＜2亿元人民币，得3分；</w:t>
            </w:r>
          </w:p>
          <w:p>
            <w:pPr>
              <w:keepNext w:val="0"/>
              <w:keepLines w:val="0"/>
              <w:widowControl/>
              <w:suppressLineNumbers w:val="0"/>
              <w:shd w:val="clear" w:color="auto" w:fill="auto"/>
              <w:spacing w:line="400" w:lineRule="exact"/>
              <w:jc w:val="left"/>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2千万元人民币≤资产总额＜1亿元人民币，得1分。</w:t>
            </w:r>
          </w:p>
        </w:tc>
      </w:tr>
      <w:tr>
        <w:tblPrEx>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26" w:type="dxa"/>
            <w:vMerge w:val="continue"/>
            <w:tcBorders>
              <w:top w:val="single" w:color="000000" w:sz="8" w:space="0"/>
              <w:left w:val="single" w:color="000000" w:sz="8" w:space="0"/>
              <w:bottom w:val="single" w:color="000000" w:sz="8" w:space="0"/>
              <w:right w:val="single" w:color="000000" w:sz="8" w:space="0"/>
            </w:tcBorders>
            <w:noWrap w:val="0"/>
            <w:vAlign w:val="center"/>
          </w:tcPr>
          <w:p>
            <w:pPr>
              <w:shd w:val="clear" w:color="auto" w:fill="auto"/>
              <w:spacing w:line="400" w:lineRule="exact"/>
              <w:jc w:val="center"/>
              <w:rPr>
                <w:rFonts w:hint="default" w:ascii="Times New Roman" w:hAnsi="Times New Roman" w:eastAsia="仿宋_GB2312" w:cs="Times New Roman"/>
                <w:i w:val="0"/>
                <w:color w:val="000000"/>
                <w:sz w:val="21"/>
                <w:szCs w:val="21"/>
                <w:highlight w:val="none"/>
                <w:u w:val="none"/>
              </w:rPr>
            </w:pPr>
          </w:p>
        </w:tc>
        <w:tc>
          <w:tcPr>
            <w:tcW w:w="688" w:type="dxa"/>
            <w:vMerge w:val="continue"/>
            <w:tcBorders>
              <w:top w:val="single" w:color="000000" w:sz="8" w:space="0"/>
              <w:left w:val="single" w:color="000000" w:sz="8" w:space="0"/>
              <w:bottom w:val="single" w:color="000000" w:sz="8" w:space="0"/>
              <w:right w:val="single" w:color="000000" w:sz="8" w:space="0"/>
            </w:tcBorders>
            <w:noWrap w:val="0"/>
            <w:vAlign w:val="center"/>
          </w:tcPr>
          <w:p>
            <w:pPr>
              <w:shd w:val="clear" w:color="auto" w:fill="auto"/>
              <w:spacing w:line="400" w:lineRule="exact"/>
              <w:jc w:val="center"/>
              <w:rPr>
                <w:rFonts w:hint="default" w:ascii="Times New Roman" w:hAnsi="Times New Roman" w:eastAsia="仿宋_GB2312" w:cs="Times New Roman"/>
                <w:i w:val="0"/>
                <w:color w:val="000000"/>
                <w:sz w:val="21"/>
                <w:szCs w:val="21"/>
                <w:highlight w:val="none"/>
                <w:u w:val="none"/>
              </w:rPr>
            </w:pPr>
          </w:p>
        </w:tc>
        <w:tc>
          <w:tcPr>
            <w:tcW w:w="1137" w:type="dxa"/>
            <w:vMerge w:val="continue"/>
            <w:tcBorders>
              <w:top w:val="single" w:color="000000" w:sz="8" w:space="0"/>
              <w:left w:val="single" w:color="000000" w:sz="8" w:space="0"/>
              <w:bottom w:val="single" w:color="000000" w:sz="8" w:space="0"/>
              <w:right w:val="single" w:color="000000" w:sz="8" w:space="0"/>
            </w:tcBorders>
            <w:noWrap w:val="0"/>
            <w:vAlign w:val="center"/>
          </w:tcPr>
          <w:p>
            <w:pPr>
              <w:shd w:val="clear" w:color="auto" w:fill="auto"/>
              <w:spacing w:line="400" w:lineRule="exact"/>
              <w:jc w:val="center"/>
              <w:rPr>
                <w:rFonts w:hint="default" w:ascii="Times New Roman" w:hAnsi="Times New Roman" w:eastAsia="仿宋_GB2312" w:cs="Times New Roman"/>
                <w:i w:val="0"/>
                <w:color w:val="000000"/>
                <w:sz w:val="21"/>
                <w:szCs w:val="21"/>
                <w:highlight w:val="none"/>
                <w:u w:val="none"/>
              </w:rPr>
            </w:pPr>
          </w:p>
        </w:tc>
        <w:tc>
          <w:tcPr>
            <w:tcW w:w="775" w:type="dxa"/>
            <w:vMerge w:val="continue"/>
            <w:tcBorders>
              <w:top w:val="single" w:color="000000" w:sz="8" w:space="0"/>
              <w:left w:val="single" w:color="000000" w:sz="8" w:space="0"/>
              <w:bottom w:val="single" w:color="000000" w:sz="8" w:space="0"/>
              <w:right w:val="single" w:color="000000" w:sz="8" w:space="0"/>
            </w:tcBorders>
            <w:noWrap w:val="0"/>
            <w:vAlign w:val="center"/>
          </w:tcPr>
          <w:p>
            <w:pPr>
              <w:shd w:val="clear" w:color="auto" w:fill="auto"/>
              <w:spacing w:line="400" w:lineRule="exact"/>
              <w:jc w:val="center"/>
              <w:rPr>
                <w:rFonts w:hint="default" w:ascii="Times New Roman" w:hAnsi="Times New Roman" w:eastAsia="仿宋_GB2312" w:cs="Times New Roman"/>
                <w:i w:val="0"/>
                <w:color w:val="000000"/>
                <w:sz w:val="21"/>
                <w:szCs w:val="21"/>
                <w:highlight w:val="none"/>
                <w:u w:val="none"/>
              </w:rPr>
            </w:pPr>
          </w:p>
        </w:tc>
        <w:tc>
          <w:tcPr>
            <w:tcW w:w="14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资产负债率</w:t>
            </w:r>
          </w:p>
        </w:tc>
        <w:tc>
          <w:tcPr>
            <w:tcW w:w="76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5</w:t>
            </w:r>
          </w:p>
        </w:tc>
        <w:tc>
          <w:tcPr>
            <w:tcW w:w="25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left"/>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资产负债率=负债总额/资产总额×100%(来自于市场主体的资产负债表)</w:t>
            </w:r>
          </w:p>
        </w:tc>
        <w:tc>
          <w:tcPr>
            <w:tcW w:w="55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参评企业的资产负债率从低到高排序：</w:t>
            </w:r>
          </w:p>
          <w:p>
            <w:pPr>
              <w:keepNext w:val="0"/>
              <w:keepLines w:val="0"/>
              <w:widowControl/>
              <w:suppressLineNumbers w:val="0"/>
              <w:shd w:val="clear" w:color="auto" w:fill="auto"/>
              <w:spacing w:line="40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资产负债率排名位于前10%，得5分；</w:t>
            </w:r>
          </w:p>
          <w:p>
            <w:pPr>
              <w:keepNext w:val="0"/>
              <w:keepLines w:val="0"/>
              <w:widowControl/>
              <w:suppressLineNumbers w:val="0"/>
              <w:shd w:val="clear" w:color="auto" w:fill="auto"/>
              <w:spacing w:line="40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资产负债率排名位于10%-30%间，得4分；</w:t>
            </w:r>
          </w:p>
          <w:p>
            <w:pPr>
              <w:keepNext w:val="0"/>
              <w:keepLines w:val="0"/>
              <w:widowControl/>
              <w:suppressLineNumbers w:val="0"/>
              <w:shd w:val="clear" w:color="auto" w:fill="auto"/>
              <w:spacing w:line="40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资产负债率排名位于30%-70%间，得3分；</w:t>
            </w:r>
          </w:p>
          <w:p>
            <w:pPr>
              <w:keepNext w:val="0"/>
              <w:keepLines w:val="0"/>
              <w:widowControl/>
              <w:suppressLineNumbers w:val="0"/>
              <w:shd w:val="clear" w:color="auto" w:fill="auto"/>
              <w:spacing w:line="40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资产负债率排名位于70%-90%间，得2分；</w:t>
            </w:r>
          </w:p>
          <w:p>
            <w:pPr>
              <w:keepNext w:val="0"/>
              <w:keepLines w:val="0"/>
              <w:widowControl/>
              <w:suppressLineNumbers w:val="0"/>
              <w:shd w:val="clear" w:color="auto" w:fill="auto"/>
              <w:spacing w:line="40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资产负债率排名位于后10%，得1分</w:t>
            </w:r>
          </w:p>
          <w:p>
            <w:pPr>
              <w:keepNext w:val="0"/>
              <w:keepLines w:val="0"/>
              <w:widowControl/>
              <w:suppressLineNumbers w:val="0"/>
              <w:shd w:val="clear" w:color="auto" w:fill="auto"/>
              <w:spacing w:line="400" w:lineRule="exact"/>
              <w:jc w:val="left"/>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不提供数据的,得0分。</w:t>
            </w:r>
          </w:p>
        </w:tc>
      </w:tr>
      <w:tr>
        <w:tblPrEx>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26" w:type="dxa"/>
            <w:vMerge w:val="restart"/>
            <w:tcBorders>
              <w:top w:val="single" w:color="000000" w:sz="8" w:space="0"/>
              <w:left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信用情况</w:t>
            </w:r>
          </w:p>
        </w:tc>
        <w:tc>
          <w:tcPr>
            <w:tcW w:w="688" w:type="dxa"/>
            <w:vMerge w:val="restart"/>
            <w:tcBorders>
              <w:top w:val="single" w:color="000000" w:sz="8" w:space="0"/>
              <w:left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20</w:t>
            </w:r>
          </w:p>
        </w:tc>
        <w:tc>
          <w:tcPr>
            <w:tcW w:w="11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个人信用</w:t>
            </w:r>
          </w:p>
        </w:tc>
        <w:tc>
          <w:tcPr>
            <w:tcW w:w="7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4</w:t>
            </w:r>
          </w:p>
        </w:tc>
        <w:tc>
          <w:tcPr>
            <w:tcW w:w="14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企业法定代表人及主要股东信用记录</w:t>
            </w:r>
          </w:p>
        </w:tc>
        <w:tc>
          <w:tcPr>
            <w:tcW w:w="76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4</w:t>
            </w:r>
          </w:p>
        </w:tc>
        <w:tc>
          <w:tcPr>
            <w:tcW w:w="25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left"/>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依据为个人征信报告（来自于中国人民银行）</w:t>
            </w:r>
          </w:p>
        </w:tc>
        <w:tc>
          <w:tcPr>
            <w:tcW w:w="55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无不良记录，得4分；</w:t>
            </w:r>
          </w:p>
          <w:p>
            <w:pPr>
              <w:keepNext w:val="0"/>
              <w:keepLines w:val="0"/>
              <w:widowControl/>
              <w:suppressLineNumbers w:val="0"/>
              <w:shd w:val="clear" w:color="auto" w:fill="auto"/>
              <w:spacing w:line="40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法定代表人、主要股东有不良记录，得0分；</w:t>
            </w:r>
          </w:p>
          <w:p>
            <w:pPr>
              <w:keepNext w:val="0"/>
              <w:keepLines w:val="0"/>
              <w:widowControl/>
              <w:suppressLineNumbers w:val="0"/>
              <w:shd w:val="clear" w:color="auto" w:fill="auto"/>
              <w:spacing w:line="400" w:lineRule="exact"/>
              <w:jc w:val="left"/>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不提供企业法定代表人及主要股东的信用证明，得0分。</w:t>
            </w:r>
          </w:p>
        </w:tc>
      </w:tr>
      <w:tr>
        <w:tblPrEx>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26" w:type="dxa"/>
            <w:vMerge w:val="continue"/>
            <w:tcBorders>
              <w:left w:val="single" w:color="000000" w:sz="8" w:space="0"/>
              <w:right w:val="single" w:color="000000" w:sz="8" w:space="0"/>
            </w:tcBorders>
            <w:noWrap w:val="0"/>
            <w:vAlign w:val="center"/>
          </w:tcPr>
          <w:p>
            <w:pPr>
              <w:shd w:val="clear" w:color="auto" w:fill="auto"/>
              <w:spacing w:line="400" w:lineRule="exact"/>
              <w:jc w:val="center"/>
              <w:rPr>
                <w:rFonts w:hint="default" w:ascii="Times New Roman" w:hAnsi="Times New Roman" w:eastAsia="仿宋_GB2312" w:cs="Times New Roman"/>
                <w:i w:val="0"/>
                <w:color w:val="000000"/>
                <w:sz w:val="21"/>
                <w:szCs w:val="21"/>
                <w:highlight w:val="none"/>
                <w:u w:val="none"/>
              </w:rPr>
            </w:pPr>
          </w:p>
        </w:tc>
        <w:tc>
          <w:tcPr>
            <w:tcW w:w="688" w:type="dxa"/>
            <w:vMerge w:val="continue"/>
            <w:tcBorders>
              <w:left w:val="single" w:color="000000" w:sz="8" w:space="0"/>
              <w:right w:val="single" w:color="000000" w:sz="8" w:space="0"/>
            </w:tcBorders>
            <w:noWrap w:val="0"/>
            <w:vAlign w:val="center"/>
          </w:tcPr>
          <w:p>
            <w:pPr>
              <w:shd w:val="clear" w:color="auto" w:fill="auto"/>
              <w:spacing w:line="400" w:lineRule="exact"/>
              <w:jc w:val="center"/>
              <w:rPr>
                <w:rFonts w:hint="default" w:ascii="Times New Roman" w:hAnsi="Times New Roman" w:eastAsia="仿宋_GB2312" w:cs="Times New Roman"/>
                <w:i w:val="0"/>
                <w:color w:val="000000"/>
                <w:sz w:val="21"/>
                <w:szCs w:val="21"/>
                <w:highlight w:val="none"/>
                <w:u w:val="none"/>
              </w:rPr>
            </w:pPr>
          </w:p>
        </w:tc>
        <w:tc>
          <w:tcPr>
            <w:tcW w:w="113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企业信用</w:t>
            </w:r>
          </w:p>
        </w:tc>
        <w:tc>
          <w:tcPr>
            <w:tcW w:w="77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6</w:t>
            </w:r>
          </w:p>
        </w:tc>
        <w:tc>
          <w:tcPr>
            <w:tcW w:w="14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信用记录</w:t>
            </w:r>
          </w:p>
        </w:tc>
        <w:tc>
          <w:tcPr>
            <w:tcW w:w="76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3</w:t>
            </w:r>
          </w:p>
        </w:tc>
        <w:tc>
          <w:tcPr>
            <w:tcW w:w="25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left"/>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依据为社会信用记录（企业被政府、相关监管机构处罚或通报批评；国家企业信用信息公示系统年度报告；“信用中国网站”所公布的信用不良记录。）、金融信用记录（资信报告是银行对市场主体的记录资料作较全面的描述并对该市场主体信誉状况进行评价的证明文件。）</w:t>
            </w:r>
          </w:p>
        </w:tc>
        <w:tc>
          <w:tcPr>
            <w:tcW w:w="55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left"/>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无不良信用记录，3分；</w:t>
            </w:r>
            <w:r>
              <w:rPr>
                <w:rFonts w:hint="default" w:ascii="Times New Roman" w:hAnsi="Times New Roman" w:eastAsia="仿宋_GB2312" w:cs="Times New Roman"/>
                <w:i w:val="0"/>
                <w:color w:val="000000"/>
                <w:kern w:val="0"/>
                <w:sz w:val="21"/>
                <w:szCs w:val="21"/>
                <w:highlight w:val="none"/>
                <w:u w:val="none"/>
                <w:lang w:val="en-US" w:eastAsia="zh-CN" w:bidi="ar"/>
              </w:rPr>
              <w:br w:type="textWrapping"/>
            </w:r>
            <w:r>
              <w:rPr>
                <w:rFonts w:hint="default" w:ascii="Times New Roman" w:hAnsi="Times New Roman" w:eastAsia="仿宋_GB2312" w:cs="Times New Roman"/>
                <w:i w:val="0"/>
                <w:color w:val="000000"/>
                <w:kern w:val="0"/>
                <w:sz w:val="21"/>
                <w:szCs w:val="21"/>
                <w:highlight w:val="none"/>
                <w:u w:val="none"/>
                <w:lang w:val="en-US" w:eastAsia="zh-CN" w:bidi="ar"/>
              </w:rPr>
              <w:t>企业存在不良信用记录的，视情况严重程度每1条不良信用记录扣1分，或直接不得分。</w:t>
            </w:r>
            <w:r>
              <w:rPr>
                <w:rFonts w:hint="default" w:ascii="Times New Roman" w:hAnsi="Times New Roman" w:eastAsia="仿宋_GB2312" w:cs="Times New Roman"/>
                <w:i w:val="0"/>
                <w:color w:val="000000"/>
                <w:kern w:val="0"/>
                <w:sz w:val="21"/>
                <w:szCs w:val="21"/>
                <w:highlight w:val="none"/>
                <w:u w:val="none"/>
                <w:lang w:val="en-US" w:eastAsia="zh-CN" w:bidi="ar"/>
              </w:rPr>
              <w:br w:type="textWrapping"/>
            </w:r>
            <w:r>
              <w:rPr>
                <w:rFonts w:hint="default" w:ascii="Times New Roman" w:hAnsi="Times New Roman" w:eastAsia="仿宋_GB2312" w:cs="Times New Roman"/>
                <w:i w:val="0"/>
                <w:color w:val="000000"/>
                <w:kern w:val="0"/>
                <w:sz w:val="21"/>
                <w:szCs w:val="21"/>
                <w:highlight w:val="none"/>
                <w:u w:val="none"/>
                <w:lang w:val="en-US" w:eastAsia="zh-CN" w:bidi="ar"/>
              </w:rPr>
              <w:t>不提供社会信用记录和金融信用记录的，得0分。</w:t>
            </w:r>
          </w:p>
        </w:tc>
      </w:tr>
      <w:tr>
        <w:tblPrEx>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26" w:type="dxa"/>
            <w:vMerge w:val="continue"/>
            <w:tcBorders>
              <w:left w:val="single" w:color="000000" w:sz="8" w:space="0"/>
              <w:right w:val="single" w:color="000000" w:sz="8" w:space="0"/>
            </w:tcBorders>
            <w:noWrap w:val="0"/>
            <w:vAlign w:val="center"/>
          </w:tcPr>
          <w:p>
            <w:pPr>
              <w:shd w:val="clear" w:color="auto" w:fill="auto"/>
              <w:spacing w:line="400" w:lineRule="exact"/>
              <w:jc w:val="center"/>
              <w:rPr>
                <w:rFonts w:hint="default" w:ascii="Times New Roman" w:hAnsi="Times New Roman" w:eastAsia="仿宋_GB2312" w:cs="Times New Roman"/>
                <w:i w:val="0"/>
                <w:color w:val="000000"/>
                <w:sz w:val="21"/>
                <w:szCs w:val="21"/>
                <w:highlight w:val="none"/>
                <w:u w:val="none"/>
              </w:rPr>
            </w:pPr>
          </w:p>
        </w:tc>
        <w:tc>
          <w:tcPr>
            <w:tcW w:w="688" w:type="dxa"/>
            <w:vMerge w:val="continue"/>
            <w:tcBorders>
              <w:left w:val="single" w:color="000000" w:sz="8" w:space="0"/>
              <w:right w:val="single" w:color="000000" w:sz="8" w:space="0"/>
            </w:tcBorders>
            <w:noWrap w:val="0"/>
            <w:vAlign w:val="center"/>
          </w:tcPr>
          <w:p>
            <w:pPr>
              <w:shd w:val="clear" w:color="auto" w:fill="auto"/>
              <w:spacing w:line="400" w:lineRule="exact"/>
              <w:jc w:val="center"/>
              <w:rPr>
                <w:rFonts w:hint="default" w:ascii="Times New Roman" w:hAnsi="Times New Roman" w:eastAsia="仿宋_GB2312" w:cs="Times New Roman"/>
                <w:i w:val="0"/>
                <w:color w:val="000000"/>
                <w:sz w:val="21"/>
                <w:szCs w:val="21"/>
                <w:highlight w:val="none"/>
                <w:u w:val="none"/>
              </w:rPr>
            </w:pPr>
          </w:p>
        </w:tc>
        <w:tc>
          <w:tcPr>
            <w:tcW w:w="1137" w:type="dxa"/>
            <w:vMerge w:val="continue"/>
            <w:tcBorders>
              <w:top w:val="single" w:color="000000" w:sz="8" w:space="0"/>
              <w:left w:val="single" w:color="000000" w:sz="8" w:space="0"/>
              <w:bottom w:val="single" w:color="000000" w:sz="8" w:space="0"/>
              <w:right w:val="single" w:color="000000" w:sz="8" w:space="0"/>
            </w:tcBorders>
            <w:noWrap w:val="0"/>
            <w:vAlign w:val="center"/>
          </w:tcPr>
          <w:p>
            <w:pPr>
              <w:shd w:val="clear" w:color="auto" w:fill="auto"/>
              <w:spacing w:line="400" w:lineRule="exact"/>
              <w:jc w:val="center"/>
              <w:rPr>
                <w:rFonts w:hint="default" w:ascii="Times New Roman" w:hAnsi="Times New Roman" w:eastAsia="仿宋_GB2312" w:cs="Times New Roman"/>
                <w:i w:val="0"/>
                <w:color w:val="000000"/>
                <w:sz w:val="21"/>
                <w:szCs w:val="21"/>
                <w:highlight w:val="none"/>
                <w:u w:val="none"/>
              </w:rPr>
            </w:pPr>
          </w:p>
        </w:tc>
        <w:tc>
          <w:tcPr>
            <w:tcW w:w="775" w:type="dxa"/>
            <w:vMerge w:val="continue"/>
            <w:tcBorders>
              <w:top w:val="single" w:color="000000" w:sz="8" w:space="0"/>
              <w:left w:val="single" w:color="000000" w:sz="8" w:space="0"/>
              <w:bottom w:val="single" w:color="000000" w:sz="8" w:space="0"/>
              <w:right w:val="single" w:color="000000" w:sz="8" w:space="0"/>
            </w:tcBorders>
            <w:noWrap w:val="0"/>
            <w:vAlign w:val="center"/>
          </w:tcPr>
          <w:p>
            <w:pPr>
              <w:shd w:val="clear" w:color="auto" w:fill="auto"/>
              <w:spacing w:line="400" w:lineRule="exact"/>
              <w:jc w:val="center"/>
              <w:rPr>
                <w:rFonts w:hint="default" w:ascii="Times New Roman" w:hAnsi="Times New Roman" w:eastAsia="仿宋_GB2312" w:cs="Times New Roman"/>
                <w:i w:val="0"/>
                <w:color w:val="000000"/>
                <w:sz w:val="21"/>
                <w:szCs w:val="21"/>
                <w:highlight w:val="none"/>
                <w:u w:val="none"/>
              </w:rPr>
            </w:pPr>
          </w:p>
        </w:tc>
        <w:tc>
          <w:tcPr>
            <w:tcW w:w="14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企业纳税记录</w:t>
            </w:r>
          </w:p>
        </w:tc>
        <w:tc>
          <w:tcPr>
            <w:tcW w:w="76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3</w:t>
            </w:r>
          </w:p>
        </w:tc>
        <w:tc>
          <w:tcPr>
            <w:tcW w:w="25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left"/>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依据为纳税证明（来自于国家税务总局网站）</w:t>
            </w:r>
          </w:p>
        </w:tc>
        <w:tc>
          <w:tcPr>
            <w:tcW w:w="55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left"/>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提供了纳税证明，按照税务局的等级评分：A，得3分；B，得2分；M（新进市场主体），得1.5分；C，得1分；D，得0分。不提供纳税等级证明，得0分。</w:t>
            </w:r>
          </w:p>
        </w:tc>
      </w:tr>
      <w:tr>
        <w:tblPrEx>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26" w:type="dxa"/>
            <w:vMerge w:val="continue"/>
            <w:tcBorders>
              <w:left w:val="single" w:color="000000" w:sz="8" w:space="0"/>
              <w:bottom w:val="single" w:color="000000" w:sz="8" w:space="0"/>
              <w:right w:val="single" w:color="000000" w:sz="8" w:space="0"/>
            </w:tcBorders>
            <w:noWrap w:val="0"/>
            <w:vAlign w:val="center"/>
          </w:tcPr>
          <w:p>
            <w:pPr>
              <w:shd w:val="clear" w:color="auto" w:fill="auto"/>
              <w:spacing w:line="400" w:lineRule="exact"/>
              <w:jc w:val="center"/>
              <w:rPr>
                <w:rFonts w:hint="default" w:ascii="Times New Roman" w:hAnsi="Times New Roman" w:eastAsia="仿宋_GB2312" w:cs="Times New Roman"/>
                <w:i w:val="0"/>
                <w:color w:val="000000"/>
                <w:sz w:val="21"/>
                <w:szCs w:val="21"/>
                <w:highlight w:val="none"/>
                <w:u w:val="none"/>
              </w:rPr>
            </w:pPr>
          </w:p>
        </w:tc>
        <w:tc>
          <w:tcPr>
            <w:tcW w:w="688" w:type="dxa"/>
            <w:vMerge w:val="continue"/>
            <w:tcBorders>
              <w:left w:val="single" w:color="000000" w:sz="8" w:space="0"/>
              <w:bottom w:val="single" w:color="000000" w:sz="8" w:space="0"/>
              <w:right w:val="single" w:color="000000" w:sz="8" w:space="0"/>
            </w:tcBorders>
            <w:noWrap w:val="0"/>
            <w:vAlign w:val="center"/>
          </w:tcPr>
          <w:p>
            <w:pPr>
              <w:shd w:val="clear" w:color="auto" w:fill="auto"/>
              <w:spacing w:line="400" w:lineRule="exact"/>
              <w:jc w:val="center"/>
              <w:rPr>
                <w:rFonts w:hint="default" w:ascii="Times New Roman" w:hAnsi="Times New Roman" w:eastAsia="仿宋_GB2312" w:cs="Times New Roman"/>
                <w:i w:val="0"/>
                <w:color w:val="000000"/>
                <w:sz w:val="21"/>
                <w:szCs w:val="21"/>
                <w:highlight w:val="none"/>
                <w:u w:val="none"/>
              </w:rPr>
            </w:pPr>
          </w:p>
        </w:tc>
        <w:tc>
          <w:tcPr>
            <w:tcW w:w="1137" w:type="dxa"/>
            <w:tcBorders>
              <w:top w:val="single" w:color="000000" w:sz="8" w:space="0"/>
              <w:left w:val="single" w:color="000000" w:sz="8" w:space="0"/>
              <w:bottom w:val="single" w:color="000000" w:sz="8" w:space="0"/>
              <w:right w:val="single" w:color="000000" w:sz="8" w:space="0"/>
            </w:tcBorders>
            <w:noWrap w:val="0"/>
            <w:vAlign w:val="center"/>
          </w:tcPr>
          <w:p>
            <w:pPr>
              <w:shd w:val="clear" w:color="auto" w:fill="auto"/>
              <w:spacing w:line="400" w:lineRule="exact"/>
              <w:jc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sz w:val="21"/>
                <w:szCs w:val="21"/>
                <w:highlight w:val="none"/>
                <w:u w:val="none"/>
              </w:rPr>
              <w:t>公共信用评价</w:t>
            </w:r>
          </w:p>
        </w:tc>
        <w:tc>
          <w:tcPr>
            <w:tcW w:w="775" w:type="dxa"/>
            <w:tcBorders>
              <w:top w:val="single" w:color="000000" w:sz="8" w:space="0"/>
              <w:left w:val="single" w:color="000000" w:sz="8" w:space="0"/>
              <w:bottom w:val="single" w:color="000000" w:sz="8" w:space="0"/>
              <w:right w:val="single" w:color="000000" w:sz="8" w:space="0"/>
            </w:tcBorders>
            <w:noWrap w:val="0"/>
            <w:vAlign w:val="center"/>
          </w:tcPr>
          <w:p>
            <w:pPr>
              <w:shd w:val="clear" w:color="auto" w:fill="auto"/>
              <w:spacing w:line="400" w:lineRule="exact"/>
              <w:jc w:val="center"/>
              <w:rPr>
                <w:rFonts w:hint="default" w:ascii="Times New Roman" w:hAnsi="Times New Roman" w:eastAsia="仿宋_GB2312" w:cs="Times New Roman"/>
                <w:i w:val="0"/>
                <w:color w:val="000000"/>
                <w:sz w:val="21"/>
                <w:szCs w:val="21"/>
                <w:highlight w:val="none"/>
                <w:u w:val="none"/>
                <w:lang w:val="en-US" w:eastAsia="zh-CN"/>
              </w:rPr>
            </w:pPr>
            <w:r>
              <w:rPr>
                <w:rFonts w:hint="default" w:ascii="Times New Roman" w:hAnsi="Times New Roman" w:eastAsia="仿宋_GB2312" w:cs="Times New Roman"/>
                <w:i w:val="0"/>
                <w:color w:val="000000"/>
                <w:sz w:val="21"/>
                <w:szCs w:val="21"/>
                <w:highlight w:val="none"/>
                <w:u w:val="none"/>
                <w:lang w:val="en-US" w:eastAsia="zh-CN"/>
              </w:rPr>
              <w:t>10</w:t>
            </w:r>
          </w:p>
        </w:tc>
        <w:tc>
          <w:tcPr>
            <w:tcW w:w="142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center"/>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sz w:val="21"/>
                <w:szCs w:val="21"/>
                <w:highlight w:val="none"/>
                <w:u w:val="none"/>
              </w:rPr>
              <w:t>公共信用评价</w:t>
            </w:r>
            <w:r>
              <w:rPr>
                <w:rFonts w:hint="default" w:ascii="Times New Roman" w:hAnsi="Times New Roman" w:eastAsia="仿宋_GB2312" w:cs="Times New Roman"/>
                <w:i w:val="0"/>
                <w:color w:val="000000"/>
                <w:sz w:val="21"/>
                <w:szCs w:val="21"/>
                <w:highlight w:val="none"/>
                <w:u w:val="none"/>
                <w:lang w:eastAsia="zh-CN"/>
              </w:rPr>
              <w:t>结果</w:t>
            </w:r>
          </w:p>
        </w:tc>
        <w:tc>
          <w:tcPr>
            <w:tcW w:w="76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center"/>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10</w:t>
            </w:r>
          </w:p>
        </w:tc>
        <w:tc>
          <w:tcPr>
            <w:tcW w:w="25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浙江省信用中心提供</w:t>
            </w:r>
          </w:p>
        </w:tc>
        <w:tc>
          <w:tcPr>
            <w:tcW w:w="55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浙江省信用中心提供</w:t>
            </w:r>
          </w:p>
        </w:tc>
      </w:tr>
      <w:tr>
        <w:tblPrEx>
          <w:tblBorders>
            <w:top w:val="single" w:color="auto" w:sz="4" w:space="0"/>
            <w:left w:val="single" w:color="auto" w:sz="4" w:space="0"/>
            <w:bottom w:val="single" w:color="auto" w:sz="4" w:space="0"/>
            <w:right w:val="single" w:color="auto" w:sz="4"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5151" w:type="dxa"/>
            <w:gridSpan w:val="5"/>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分值总计</w:t>
            </w:r>
          </w:p>
        </w:tc>
        <w:tc>
          <w:tcPr>
            <w:tcW w:w="76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40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30</w:t>
            </w:r>
          </w:p>
        </w:tc>
        <w:tc>
          <w:tcPr>
            <w:tcW w:w="2550" w:type="dxa"/>
            <w:tcBorders>
              <w:top w:val="single" w:color="000000" w:sz="8" w:space="0"/>
              <w:left w:val="single" w:color="000000" w:sz="8" w:space="0"/>
              <w:bottom w:val="single" w:color="000000" w:sz="8" w:space="0"/>
              <w:right w:val="single" w:color="000000" w:sz="8" w:space="0"/>
            </w:tcBorders>
            <w:noWrap w:val="0"/>
            <w:vAlign w:val="center"/>
          </w:tcPr>
          <w:p>
            <w:pPr>
              <w:shd w:val="clear" w:color="auto" w:fill="auto"/>
              <w:spacing w:line="400" w:lineRule="exact"/>
              <w:rPr>
                <w:rFonts w:hint="default" w:ascii="Times New Roman" w:hAnsi="Times New Roman" w:eastAsia="仿宋_GB2312" w:cs="Times New Roman"/>
                <w:b/>
                <w:i w:val="0"/>
                <w:color w:val="000000"/>
                <w:sz w:val="21"/>
                <w:szCs w:val="21"/>
                <w:highlight w:val="none"/>
                <w:u w:val="none"/>
              </w:rPr>
            </w:pPr>
          </w:p>
        </w:tc>
        <w:tc>
          <w:tcPr>
            <w:tcW w:w="5512" w:type="dxa"/>
            <w:tcBorders>
              <w:top w:val="single" w:color="000000" w:sz="8" w:space="0"/>
              <w:left w:val="single" w:color="000000" w:sz="8" w:space="0"/>
              <w:bottom w:val="single" w:color="000000" w:sz="8" w:space="0"/>
              <w:right w:val="single" w:color="000000" w:sz="8" w:space="0"/>
            </w:tcBorders>
            <w:noWrap w:val="0"/>
            <w:vAlign w:val="center"/>
          </w:tcPr>
          <w:p>
            <w:pPr>
              <w:shd w:val="clear" w:color="auto" w:fill="auto"/>
              <w:spacing w:line="400" w:lineRule="exact"/>
              <w:rPr>
                <w:rFonts w:hint="default" w:ascii="Times New Roman" w:hAnsi="Times New Roman" w:eastAsia="仿宋_GB2312" w:cs="Times New Roman"/>
                <w:b/>
                <w:i w:val="0"/>
                <w:color w:val="000000"/>
                <w:sz w:val="21"/>
                <w:szCs w:val="21"/>
                <w:highlight w:val="none"/>
                <w:u w:val="none"/>
              </w:rPr>
            </w:pPr>
          </w:p>
        </w:tc>
      </w:tr>
    </w:tbl>
    <w:p>
      <w:pPr>
        <w:shd w:val="clear" w:color="auto" w:fill="auto"/>
        <w:spacing w:line="20" w:lineRule="exact"/>
        <w:rPr>
          <w:rFonts w:hint="default" w:ascii="Times New Roman" w:hAnsi="Times New Roman" w:cs="Times New Roman"/>
          <w:highlight w:val="none"/>
        </w:rPr>
      </w:pPr>
    </w:p>
    <w:tbl>
      <w:tblPr>
        <w:tblStyle w:val="6"/>
        <w:tblW w:w="14173"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
      <w:tblGrid>
        <w:gridCol w:w="1141"/>
        <w:gridCol w:w="698"/>
        <w:gridCol w:w="1252"/>
        <w:gridCol w:w="687"/>
        <w:gridCol w:w="1534"/>
        <w:gridCol w:w="685"/>
        <w:gridCol w:w="2586"/>
        <w:gridCol w:w="559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tblHeader/>
          <w:jc w:val="center"/>
        </w:trPr>
        <w:tc>
          <w:tcPr>
            <w:tcW w:w="13976" w:type="dxa"/>
            <w:gridSpan w:val="8"/>
            <w:tcBorders>
              <w:top w:val="single" w:color="000000" w:sz="8" w:space="0"/>
              <w:left w:val="single" w:color="000000" w:sz="8" w:space="0"/>
              <w:bottom w:val="single" w:color="000000" w:sz="8" w:space="0"/>
              <w:right w:val="single" w:color="000000" w:sz="8" w:space="0"/>
            </w:tcBorders>
            <w:noWrap w:val="0"/>
            <w:vAlign w:val="center"/>
          </w:tcPr>
          <w:p>
            <w:pPr>
              <w:shd w:val="clear" w:color="auto" w:fill="auto"/>
              <w:spacing w:line="310" w:lineRule="exact"/>
              <w:jc w:val="left"/>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2.场内指标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tblHeader/>
          <w:jc w:val="center"/>
        </w:trPr>
        <w:tc>
          <w:tcPr>
            <w:tcW w:w="1814"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1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一级指标</w:t>
            </w:r>
          </w:p>
        </w:tc>
        <w:tc>
          <w:tcPr>
            <w:tcW w:w="1912"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1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二级指标</w:t>
            </w:r>
          </w:p>
        </w:tc>
        <w:tc>
          <w:tcPr>
            <w:tcW w:w="2188"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1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三级指标</w:t>
            </w:r>
          </w:p>
        </w:tc>
        <w:tc>
          <w:tcPr>
            <w:tcW w:w="2550" w:type="dxa"/>
            <w:vMerge w:val="restart"/>
            <w:tcBorders>
              <w:top w:val="single" w:color="000000" w:sz="8" w:space="0"/>
              <w:left w:val="single" w:color="000000" w:sz="8" w:space="0"/>
              <w:right w:val="single" w:color="000000" w:sz="8" w:space="0"/>
            </w:tcBorders>
            <w:noWrap w:val="0"/>
            <w:vAlign w:val="center"/>
          </w:tcPr>
          <w:p>
            <w:pPr>
              <w:keepNext w:val="0"/>
              <w:keepLines w:val="0"/>
              <w:widowControl/>
              <w:suppressLineNumbers w:val="0"/>
              <w:shd w:val="clear" w:color="auto" w:fill="auto"/>
              <w:spacing w:line="31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指标内容/计算公式</w:t>
            </w:r>
          </w:p>
        </w:tc>
        <w:tc>
          <w:tcPr>
            <w:tcW w:w="5512" w:type="dxa"/>
            <w:vMerge w:val="restart"/>
            <w:tcBorders>
              <w:top w:val="single" w:color="000000" w:sz="8" w:space="0"/>
              <w:left w:val="single" w:color="000000" w:sz="8" w:space="0"/>
              <w:right w:val="single" w:color="000000" w:sz="8" w:space="0"/>
            </w:tcBorders>
            <w:noWrap w:val="0"/>
            <w:vAlign w:val="center"/>
          </w:tcPr>
          <w:p>
            <w:pPr>
              <w:keepNext w:val="0"/>
              <w:keepLines w:val="0"/>
              <w:widowControl/>
              <w:suppressLineNumbers w:val="0"/>
              <w:shd w:val="clear" w:color="auto" w:fill="auto"/>
              <w:spacing w:line="31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评分标准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tblHeader/>
          <w:jc w:val="center"/>
        </w:trPr>
        <w:tc>
          <w:tcPr>
            <w:tcW w:w="112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1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名称</w:t>
            </w:r>
          </w:p>
        </w:tc>
        <w:tc>
          <w:tcPr>
            <w:tcW w:w="68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1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分数</w:t>
            </w:r>
          </w:p>
        </w:tc>
        <w:tc>
          <w:tcPr>
            <w:tcW w:w="123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1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名称</w:t>
            </w:r>
          </w:p>
        </w:tc>
        <w:tc>
          <w:tcPr>
            <w:tcW w:w="6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1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分数</w:t>
            </w:r>
          </w:p>
        </w:tc>
        <w:tc>
          <w:tcPr>
            <w:tcW w:w="15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1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名称</w:t>
            </w:r>
          </w:p>
        </w:tc>
        <w:tc>
          <w:tcPr>
            <w:tcW w:w="6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1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分数</w:t>
            </w:r>
          </w:p>
        </w:tc>
        <w:tc>
          <w:tcPr>
            <w:tcW w:w="2550" w:type="dxa"/>
            <w:vMerge w:val="continue"/>
            <w:tcBorders>
              <w:left w:val="single" w:color="000000" w:sz="8" w:space="0"/>
              <w:bottom w:val="single" w:color="000000" w:sz="8" w:space="0"/>
              <w:right w:val="single" w:color="000000" w:sz="8" w:space="0"/>
            </w:tcBorders>
            <w:noWrap w:val="0"/>
            <w:vAlign w:val="center"/>
          </w:tcPr>
          <w:p>
            <w:pPr>
              <w:shd w:val="clear" w:color="auto" w:fill="auto"/>
              <w:spacing w:line="310" w:lineRule="exact"/>
              <w:jc w:val="center"/>
              <w:rPr>
                <w:rFonts w:hint="default" w:ascii="Times New Roman" w:hAnsi="Times New Roman" w:eastAsia="仿宋_GB2312" w:cs="Times New Roman"/>
                <w:b/>
                <w:i w:val="0"/>
                <w:color w:val="000000"/>
                <w:sz w:val="21"/>
                <w:szCs w:val="21"/>
                <w:highlight w:val="none"/>
                <w:u w:val="none"/>
              </w:rPr>
            </w:pPr>
          </w:p>
        </w:tc>
        <w:tc>
          <w:tcPr>
            <w:tcW w:w="5512" w:type="dxa"/>
            <w:vMerge w:val="continue"/>
            <w:tcBorders>
              <w:left w:val="single" w:color="000000" w:sz="8" w:space="0"/>
              <w:bottom w:val="single" w:color="000000" w:sz="8" w:space="0"/>
              <w:right w:val="single" w:color="000000" w:sz="8" w:space="0"/>
            </w:tcBorders>
            <w:noWrap w:val="0"/>
            <w:vAlign w:val="center"/>
          </w:tcPr>
          <w:p>
            <w:pPr>
              <w:shd w:val="clear" w:color="auto" w:fill="auto"/>
              <w:spacing w:line="310" w:lineRule="exact"/>
              <w:jc w:val="center"/>
              <w:rPr>
                <w:rFonts w:hint="default" w:ascii="Times New Roman" w:hAnsi="Times New Roman" w:eastAsia="仿宋_GB2312" w:cs="Times New Roman"/>
                <w:b/>
                <w:i w:val="0"/>
                <w:color w:val="000000"/>
                <w:sz w:val="21"/>
                <w:szCs w:val="21"/>
                <w:highlight w:val="none"/>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26"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1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运营能力</w:t>
            </w:r>
          </w:p>
        </w:tc>
        <w:tc>
          <w:tcPr>
            <w:tcW w:w="688"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10" w:lineRule="exact"/>
              <w:jc w:val="center"/>
              <w:textAlignment w:val="center"/>
              <w:rPr>
                <w:rFonts w:hint="default" w:ascii="Times New Roman" w:hAnsi="Times New Roman" w:eastAsia="仿宋_GB2312" w:cs="Times New Roman"/>
                <w:i w:val="0"/>
                <w:color w:val="000000"/>
                <w:sz w:val="21"/>
                <w:szCs w:val="21"/>
                <w:highlight w:val="none"/>
                <w:u w:val="none"/>
                <w:lang w:val="en-US"/>
              </w:rPr>
            </w:pPr>
            <w:r>
              <w:rPr>
                <w:rFonts w:hint="default" w:ascii="Times New Roman" w:hAnsi="Times New Roman" w:eastAsia="仿宋_GB2312" w:cs="Times New Roman"/>
                <w:i w:val="0"/>
                <w:color w:val="000000"/>
                <w:kern w:val="0"/>
                <w:sz w:val="21"/>
                <w:szCs w:val="21"/>
                <w:highlight w:val="none"/>
                <w:u w:val="none"/>
                <w:lang w:val="en-US" w:eastAsia="zh-CN" w:bidi="ar"/>
              </w:rPr>
              <w:t>20</w:t>
            </w:r>
          </w:p>
        </w:tc>
        <w:tc>
          <w:tcPr>
            <w:tcW w:w="123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1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规模优势</w:t>
            </w:r>
          </w:p>
        </w:tc>
        <w:tc>
          <w:tcPr>
            <w:tcW w:w="67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1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8</w:t>
            </w:r>
          </w:p>
        </w:tc>
        <w:tc>
          <w:tcPr>
            <w:tcW w:w="15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1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服务用户用电量</w:t>
            </w:r>
          </w:p>
        </w:tc>
        <w:tc>
          <w:tcPr>
            <w:tcW w:w="6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1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2</w:t>
            </w:r>
          </w:p>
        </w:tc>
        <w:tc>
          <w:tcPr>
            <w:tcW w:w="25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10" w:lineRule="exact"/>
              <w:jc w:val="left"/>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评价周期末的售电公司绑定用户用电量</w:t>
            </w:r>
          </w:p>
        </w:tc>
        <w:tc>
          <w:tcPr>
            <w:tcW w:w="55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1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计算评价周期内售电公司累计结算电量（兆瓦时）。</w:t>
            </w:r>
          </w:p>
          <w:p>
            <w:pPr>
              <w:keepNext w:val="0"/>
              <w:keepLines w:val="0"/>
              <w:widowControl/>
              <w:suppressLineNumbers w:val="0"/>
              <w:shd w:val="clear" w:color="auto" w:fill="auto"/>
              <w:spacing w:line="31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结算电量≥平均数*2，得2分：</w:t>
            </w:r>
          </w:p>
          <w:p>
            <w:pPr>
              <w:keepNext w:val="0"/>
              <w:keepLines w:val="0"/>
              <w:widowControl/>
              <w:suppressLineNumbers w:val="0"/>
              <w:shd w:val="clear" w:color="auto" w:fill="auto"/>
              <w:spacing w:line="31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平均数≤结算电量＜平均数*2,得1.5分；</w:t>
            </w:r>
          </w:p>
          <w:p>
            <w:pPr>
              <w:keepNext w:val="0"/>
              <w:keepLines w:val="0"/>
              <w:widowControl/>
              <w:suppressLineNumbers w:val="0"/>
              <w:shd w:val="clear" w:color="auto" w:fill="auto"/>
              <w:spacing w:line="31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平均数*0.5≤结算电量＜平均数,得1分；</w:t>
            </w:r>
          </w:p>
          <w:p>
            <w:pPr>
              <w:keepNext w:val="0"/>
              <w:keepLines w:val="0"/>
              <w:widowControl/>
              <w:suppressLineNumbers w:val="0"/>
              <w:shd w:val="clear" w:color="auto" w:fill="auto"/>
              <w:spacing w:line="310" w:lineRule="exact"/>
              <w:jc w:val="left"/>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结算电量＜平均数*0.5,得0.5分。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26" w:type="dxa"/>
            <w:vMerge w:val="continue"/>
            <w:tcBorders>
              <w:left w:val="single" w:color="000000" w:sz="8" w:space="0"/>
              <w:right w:val="single" w:color="000000" w:sz="8" w:space="0"/>
            </w:tcBorders>
            <w:noWrap w:val="0"/>
            <w:vAlign w:val="center"/>
          </w:tcPr>
          <w:p>
            <w:pPr>
              <w:keepNext w:val="0"/>
              <w:keepLines w:val="0"/>
              <w:widowControl/>
              <w:suppressLineNumbers w:val="0"/>
              <w:shd w:val="clear" w:color="auto" w:fill="auto"/>
              <w:spacing w:line="310" w:lineRule="exact"/>
              <w:jc w:val="center"/>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p>
        </w:tc>
        <w:tc>
          <w:tcPr>
            <w:tcW w:w="688" w:type="dxa"/>
            <w:vMerge w:val="continue"/>
            <w:tcBorders>
              <w:left w:val="single" w:color="000000" w:sz="8" w:space="0"/>
              <w:right w:val="single" w:color="000000" w:sz="8" w:space="0"/>
            </w:tcBorders>
            <w:noWrap w:val="0"/>
            <w:vAlign w:val="center"/>
          </w:tcPr>
          <w:p>
            <w:pPr>
              <w:keepNext w:val="0"/>
              <w:keepLines w:val="0"/>
              <w:widowControl/>
              <w:suppressLineNumbers w:val="0"/>
              <w:shd w:val="clear" w:color="auto" w:fill="auto"/>
              <w:spacing w:line="310" w:lineRule="exact"/>
              <w:jc w:val="center"/>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p>
        </w:tc>
        <w:tc>
          <w:tcPr>
            <w:tcW w:w="1235" w:type="dxa"/>
            <w:vMerge w:val="continue"/>
            <w:tcBorders>
              <w:left w:val="single" w:color="000000" w:sz="8" w:space="0"/>
              <w:right w:val="single" w:color="000000" w:sz="8" w:space="0"/>
            </w:tcBorders>
            <w:noWrap w:val="0"/>
            <w:vAlign w:val="center"/>
          </w:tcPr>
          <w:p>
            <w:pPr>
              <w:keepNext w:val="0"/>
              <w:keepLines w:val="0"/>
              <w:widowControl/>
              <w:suppressLineNumbers w:val="0"/>
              <w:shd w:val="clear" w:color="auto" w:fill="auto"/>
              <w:spacing w:line="310" w:lineRule="exact"/>
              <w:jc w:val="center"/>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p>
        </w:tc>
        <w:tc>
          <w:tcPr>
            <w:tcW w:w="677" w:type="dxa"/>
            <w:vMerge w:val="continue"/>
            <w:tcBorders>
              <w:left w:val="single" w:color="000000" w:sz="8" w:space="0"/>
              <w:right w:val="single" w:color="000000" w:sz="8" w:space="0"/>
            </w:tcBorders>
            <w:noWrap w:val="0"/>
            <w:vAlign w:val="center"/>
          </w:tcPr>
          <w:p>
            <w:pPr>
              <w:keepNext w:val="0"/>
              <w:keepLines w:val="0"/>
              <w:widowControl/>
              <w:suppressLineNumbers w:val="0"/>
              <w:shd w:val="clear" w:color="auto" w:fill="auto"/>
              <w:spacing w:line="310" w:lineRule="exact"/>
              <w:jc w:val="center"/>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p>
        </w:tc>
        <w:tc>
          <w:tcPr>
            <w:tcW w:w="15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10" w:lineRule="exact"/>
              <w:jc w:val="center"/>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服务用户数</w:t>
            </w:r>
          </w:p>
        </w:tc>
        <w:tc>
          <w:tcPr>
            <w:tcW w:w="6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10" w:lineRule="exact"/>
              <w:jc w:val="center"/>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2</w:t>
            </w:r>
          </w:p>
        </w:tc>
        <w:tc>
          <w:tcPr>
            <w:tcW w:w="25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1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评价周期末的售电公司绑定用户数量（户）</w:t>
            </w:r>
          </w:p>
        </w:tc>
        <w:tc>
          <w:tcPr>
            <w:tcW w:w="55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1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计算售电公司评价周期内平均代理用户数量。</w:t>
            </w:r>
          </w:p>
          <w:p>
            <w:pPr>
              <w:keepNext w:val="0"/>
              <w:keepLines w:val="0"/>
              <w:widowControl/>
              <w:suppressLineNumbers w:val="0"/>
              <w:shd w:val="clear" w:color="auto" w:fill="auto"/>
              <w:spacing w:line="31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代理用户数≥平均数*2,得2分；</w:t>
            </w:r>
          </w:p>
          <w:p>
            <w:pPr>
              <w:keepNext w:val="0"/>
              <w:keepLines w:val="0"/>
              <w:widowControl/>
              <w:suppressLineNumbers w:val="0"/>
              <w:shd w:val="clear" w:color="auto" w:fill="auto"/>
              <w:spacing w:line="31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平均数≤代理用户数＜平均数*2,得1.5分；</w:t>
            </w:r>
          </w:p>
          <w:p>
            <w:pPr>
              <w:keepNext w:val="0"/>
              <w:keepLines w:val="0"/>
              <w:widowControl/>
              <w:suppressLineNumbers w:val="0"/>
              <w:shd w:val="clear" w:color="auto" w:fill="auto"/>
              <w:spacing w:line="31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平均数*0.5≤代理用户数＜平均数,得1分；</w:t>
            </w:r>
          </w:p>
          <w:p>
            <w:pPr>
              <w:keepNext w:val="0"/>
              <w:keepLines w:val="0"/>
              <w:widowControl/>
              <w:suppressLineNumbers w:val="0"/>
              <w:shd w:val="clear" w:color="auto" w:fill="auto"/>
              <w:spacing w:line="31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代理用户数＜平均数*0.5,得0.5分。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26" w:type="dxa"/>
            <w:vMerge w:val="continue"/>
            <w:tcBorders>
              <w:top w:val="single" w:color="000000" w:sz="8" w:space="0"/>
              <w:left w:val="single" w:color="000000" w:sz="8" w:space="0"/>
              <w:bottom w:val="single" w:color="000000" w:sz="8" w:space="0"/>
              <w:right w:val="single" w:color="000000" w:sz="8" w:space="0"/>
            </w:tcBorders>
            <w:noWrap w:val="0"/>
            <w:vAlign w:val="center"/>
          </w:tcPr>
          <w:p>
            <w:pPr>
              <w:shd w:val="clear" w:color="auto" w:fill="auto"/>
              <w:spacing w:line="310" w:lineRule="exact"/>
              <w:jc w:val="center"/>
              <w:rPr>
                <w:rFonts w:hint="default" w:ascii="Times New Roman" w:hAnsi="Times New Roman" w:eastAsia="仿宋_GB2312" w:cs="Times New Roman"/>
                <w:i w:val="0"/>
                <w:color w:val="000000"/>
                <w:sz w:val="21"/>
                <w:szCs w:val="21"/>
                <w:highlight w:val="none"/>
                <w:u w:val="none"/>
              </w:rPr>
            </w:pPr>
          </w:p>
        </w:tc>
        <w:tc>
          <w:tcPr>
            <w:tcW w:w="688" w:type="dxa"/>
            <w:vMerge w:val="continue"/>
            <w:tcBorders>
              <w:top w:val="single" w:color="000000" w:sz="8" w:space="0"/>
              <w:left w:val="single" w:color="000000" w:sz="8" w:space="0"/>
              <w:bottom w:val="single" w:color="000000" w:sz="8" w:space="0"/>
              <w:right w:val="single" w:color="000000" w:sz="8" w:space="0"/>
            </w:tcBorders>
            <w:noWrap w:val="0"/>
            <w:vAlign w:val="center"/>
          </w:tcPr>
          <w:p>
            <w:pPr>
              <w:shd w:val="clear" w:color="auto" w:fill="auto"/>
              <w:spacing w:line="310" w:lineRule="exact"/>
              <w:jc w:val="center"/>
              <w:rPr>
                <w:rFonts w:hint="default" w:ascii="Times New Roman" w:hAnsi="Times New Roman" w:eastAsia="仿宋_GB2312" w:cs="Times New Roman"/>
                <w:i w:val="0"/>
                <w:color w:val="000000"/>
                <w:sz w:val="21"/>
                <w:szCs w:val="21"/>
                <w:highlight w:val="none"/>
                <w:u w:val="none"/>
              </w:rPr>
            </w:pPr>
          </w:p>
        </w:tc>
        <w:tc>
          <w:tcPr>
            <w:tcW w:w="1235" w:type="dxa"/>
            <w:vMerge w:val="continue"/>
            <w:tcBorders>
              <w:top w:val="single" w:color="000000" w:sz="8" w:space="0"/>
              <w:left w:val="single" w:color="000000" w:sz="8" w:space="0"/>
              <w:bottom w:val="single" w:color="000000" w:sz="8" w:space="0"/>
              <w:right w:val="single" w:color="000000" w:sz="8" w:space="0"/>
            </w:tcBorders>
            <w:noWrap w:val="0"/>
            <w:vAlign w:val="center"/>
          </w:tcPr>
          <w:p>
            <w:pPr>
              <w:shd w:val="clear" w:color="auto" w:fill="auto"/>
              <w:spacing w:line="310" w:lineRule="exact"/>
              <w:jc w:val="center"/>
              <w:rPr>
                <w:rFonts w:hint="default" w:ascii="Times New Roman" w:hAnsi="Times New Roman" w:eastAsia="仿宋_GB2312" w:cs="Times New Roman"/>
                <w:i w:val="0"/>
                <w:color w:val="000000"/>
                <w:sz w:val="21"/>
                <w:szCs w:val="21"/>
                <w:highlight w:val="none"/>
                <w:u w:val="none"/>
              </w:rPr>
            </w:pPr>
          </w:p>
        </w:tc>
        <w:tc>
          <w:tcPr>
            <w:tcW w:w="677" w:type="dxa"/>
            <w:vMerge w:val="continue"/>
            <w:tcBorders>
              <w:top w:val="single" w:color="000000" w:sz="8" w:space="0"/>
              <w:left w:val="single" w:color="000000" w:sz="8" w:space="0"/>
              <w:bottom w:val="single" w:color="000000" w:sz="8" w:space="0"/>
              <w:right w:val="single" w:color="000000" w:sz="8" w:space="0"/>
            </w:tcBorders>
            <w:noWrap w:val="0"/>
            <w:vAlign w:val="center"/>
          </w:tcPr>
          <w:p>
            <w:pPr>
              <w:shd w:val="clear" w:color="auto" w:fill="auto"/>
              <w:spacing w:line="310" w:lineRule="exact"/>
              <w:jc w:val="center"/>
              <w:rPr>
                <w:rFonts w:hint="default" w:ascii="Times New Roman" w:hAnsi="Times New Roman" w:eastAsia="仿宋_GB2312" w:cs="Times New Roman"/>
                <w:i w:val="0"/>
                <w:color w:val="000000"/>
                <w:sz w:val="21"/>
                <w:szCs w:val="21"/>
                <w:highlight w:val="none"/>
                <w:u w:val="none"/>
              </w:rPr>
            </w:pPr>
          </w:p>
        </w:tc>
        <w:tc>
          <w:tcPr>
            <w:tcW w:w="15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1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用户粘性</w:t>
            </w:r>
          </w:p>
        </w:tc>
        <w:tc>
          <w:tcPr>
            <w:tcW w:w="6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1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2</w:t>
            </w:r>
          </w:p>
        </w:tc>
        <w:tc>
          <w:tcPr>
            <w:tcW w:w="25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10" w:lineRule="exact"/>
              <w:jc w:val="left"/>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用户粘性=（当年年度代理的用户数量-上年年度代理的用户数量）/上年年度代理的用户数量*100%</w:t>
            </w:r>
          </w:p>
        </w:tc>
        <w:tc>
          <w:tcPr>
            <w:tcW w:w="55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1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用户粘性平均数为当年年度参与市场的所有售电公司用户粘性的算数平均值；</w:t>
            </w:r>
          </w:p>
          <w:p>
            <w:pPr>
              <w:keepNext w:val="0"/>
              <w:keepLines w:val="0"/>
              <w:widowControl/>
              <w:suppressLineNumbers w:val="0"/>
              <w:shd w:val="clear" w:color="auto" w:fill="auto"/>
              <w:spacing w:line="31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用户粘性≥平均数*2,得2分；</w:t>
            </w:r>
          </w:p>
          <w:p>
            <w:pPr>
              <w:keepNext w:val="0"/>
              <w:keepLines w:val="0"/>
              <w:widowControl/>
              <w:suppressLineNumbers w:val="0"/>
              <w:shd w:val="clear" w:color="auto" w:fill="auto"/>
              <w:spacing w:line="31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平均数≤用户粘性＜平均数*2,得1.5分；</w:t>
            </w:r>
          </w:p>
          <w:p>
            <w:pPr>
              <w:keepNext w:val="0"/>
              <w:keepLines w:val="0"/>
              <w:widowControl/>
              <w:suppressLineNumbers w:val="0"/>
              <w:shd w:val="clear" w:color="auto" w:fill="auto"/>
              <w:spacing w:line="31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平均数*0.5≤用户粘性＜平均数,得1分；</w:t>
            </w:r>
          </w:p>
          <w:p>
            <w:pPr>
              <w:keepNext w:val="0"/>
              <w:keepLines w:val="0"/>
              <w:widowControl/>
              <w:suppressLineNumbers w:val="0"/>
              <w:shd w:val="clear" w:color="auto" w:fill="auto"/>
              <w:spacing w:line="310" w:lineRule="exact"/>
              <w:jc w:val="left"/>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用户粘性＜平均数*0.5,得0.5分。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26"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688"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1235"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677"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15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专业人员结构</w:t>
            </w:r>
          </w:p>
        </w:tc>
        <w:tc>
          <w:tcPr>
            <w:tcW w:w="6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w:t>
            </w:r>
          </w:p>
        </w:tc>
        <w:tc>
          <w:tcPr>
            <w:tcW w:w="25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取得高级专业职称（且能够提供社保证明）的人数</w:t>
            </w:r>
          </w:p>
        </w:tc>
        <w:tc>
          <w:tcPr>
            <w:tcW w:w="55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（1）专业人员职称满足1名高级职称和3名中级职称，且有额外3名人员及以上取得高级专业职称的，得2分；</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（2）专业人员职称满足1名高级职称和3名中级职称，且有额外2名人员取得高级专业职称的，得1.8分；</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（3）专业人员职称满足1名高级职称和3名中级职称，且有额外1名人员取得高级专业职称的，得1.5分；</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（4）专业人员职称满足1名高级职称和3名中级职称要求的，得1.2分。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26"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688"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123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注册信息</w:t>
            </w:r>
          </w:p>
        </w:tc>
        <w:tc>
          <w:tcPr>
            <w:tcW w:w="67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w:t>
            </w:r>
          </w:p>
        </w:tc>
        <w:tc>
          <w:tcPr>
            <w:tcW w:w="15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注册变更规范性</w:t>
            </w:r>
          </w:p>
        </w:tc>
        <w:tc>
          <w:tcPr>
            <w:tcW w:w="6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w:t>
            </w:r>
          </w:p>
        </w:tc>
        <w:tc>
          <w:tcPr>
            <w:tcW w:w="25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注册或变更资料驳回次数和注册信息变更及时性</w:t>
            </w:r>
          </w:p>
        </w:tc>
        <w:tc>
          <w:tcPr>
            <w:tcW w:w="55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注册或变更申请驳回次数2次及以下，得2分；</w:t>
            </w:r>
          </w:p>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驳回2次以上的，每驳回1次，扣1分，扣完为止。</w:t>
            </w:r>
          </w:p>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注册信息变更时，应在5个工作日内向电力交易中心申请变更。每发生一次未及时变更，扣0.5分，扣完为止。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26"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688"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1235"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677"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15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注册信息完整性</w:t>
            </w:r>
          </w:p>
        </w:tc>
        <w:tc>
          <w:tcPr>
            <w:tcW w:w="6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w:t>
            </w:r>
          </w:p>
        </w:tc>
        <w:tc>
          <w:tcPr>
            <w:tcW w:w="25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注册信息完整无缺失</w:t>
            </w:r>
          </w:p>
        </w:tc>
        <w:tc>
          <w:tcPr>
            <w:tcW w:w="55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交易平台注册信息完整，得2分；</w:t>
            </w:r>
          </w:p>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每缺失1项信息，扣1分，扣完为止。</w:t>
            </w:r>
          </w:p>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联系人信息错误或手机号码空号，扣1分。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26"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688"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123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信用优势</w:t>
            </w:r>
          </w:p>
        </w:tc>
        <w:tc>
          <w:tcPr>
            <w:tcW w:w="6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8</w:t>
            </w:r>
          </w:p>
        </w:tc>
        <w:tc>
          <w:tcPr>
            <w:tcW w:w="15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欠费缴纳及时性</w:t>
            </w:r>
          </w:p>
        </w:tc>
        <w:tc>
          <w:tcPr>
            <w:tcW w:w="6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8</w:t>
            </w:r>
          </w:p>
        </w:tc>
        <w:tc>
          <w:tcPr>
            <w:tcW w:w="25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评价周期内售电公司欠费缴纳及时性</w:t>
            </w:r>
          </w:p>
        </w:tc>
        <w:tc>
          <w:tcPr>
            <w:tcW w:w="55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需要支付欠费的售电公司应及时缴纳欠费，出现1次使用履约保函情况，本项得0分；</w:t>
            </w:r>
          </w:p>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发生2次使用履约保函情况，直接降为C级。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26"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服务能力</w:t>
            </w:r>
          </w:p>
        </w:tc>
        <w:tc>
          <w:tcPr>
            <w:tcW w:w="688"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8</w:t>
            </w:r>
          </w:p>
        </w:tc>
        <w:tc>
          <w:tcPr>
            <w:tcW w:w="123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服务渠道</w:t>
            </w:r>
          </w:p>
        </w:tc>
        <w:tc>
          <w:tcPr>
            <w:tcW w:w="67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w:t>
            </w:r>
          </w:p>
        </w:tc>
        <w:tc>
          <w:tcPr>
            <w:tcW w:w="15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线下服务渠道</w:t>
            </w:r>
          </w:p>
        </w:tc>
        <w:tc>
          <w:tcPr>
            <w:tcW w:w="6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w:t>
            </w:r>
          </w:p>
        </w:tc>
        <w:tc>
          <w:tcPr>
            <w:tcW w:w="25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对外公布客服电话、营业场所地址</w:t>
            </w:r>
          </w:p>
        </w:tc>
        <w:tc>
          <w:tcPr>
            <w:tcW w:w="55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交易中心抽查联络电话、客服电话工作时间能是否保持接通，每发现一次扣0.1分。抽查时间为工作日（法定节假日除外）上午9：00-11：30、下午14：00-17：00。</w:t>
            </w:r>
          </w:p>
          <w:p>
            <w:pPr>
              <w:keepNext w:val="0"/>
              <w:keepLines w:val="0"/>
              <w:widowControl/>
              <w:suppressLineNumbers w:val="0"/>
              <w:spacing w:line="310" w:lineRule="exact"/>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以下情况不得分：</w:t>
            </w:r>
          </w:p>
          <w:p>
            <w:pPr>
              <w:keepNext w:val="0"/>
              <w:keepLines w:val="0"/>
              <w:widowControl/>
              <w:suppressLineNumbers w:val="0"/>
              <w:spacing w:line="310" w:lineRule="exact"/>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1.未公布客服电话或营业场所地址；</w:t>
            </w:r>
          </w:p>
          <w:p>
            <w:pPr>
              <w:keepNext w:val="0"/>
              <w:keepLines w:val="0"/>
              <w:widowControl/>
              <w:suppressLineNumbers w:val="0"/>
              <w:spacing w:line="310" w:lineRule="exact"/>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2.客服电话为空号；</w:t>
            </w:r>
          </w:p>
          <w:p>
            <w:pPr>
              <w:keepNext w:val="0"/>
              <w:keepLines w:val="0"/>
              <w:widowControl/>
              <w:suppressLineNumbers w:val="0"/>
              <w:spacing w:line="310" w:lineRule="exact"/>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3.营业场所人去楼空或实际为其他企业。</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26"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688"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1235"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677"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15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线上服务渠道</w:t>
            </w:r>
          </w:p>
        </w:tc>
        <w:tc>
          <w:tcPr>
            <w:tcW w:w="6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w:t>
            </w:r>
          </w:p>
        </w:tc>
        <w:tc>
          <w:tcPr>
            <w:tcW w:w="25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是否具备网站、APP等网上办事渠道</w:t>
            </w:r>
          </w:p>
        </w:tc>
        <w:tc>
          <w:tcPr>
            <w:tcW w:w="55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具备网站或APP，且可以正常登录及进入办事流程，得2分；</w:t>
            </w:r>
          </w:p>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交易中心不定时登录网址或者APP，在正常服务期间（不包括系统检修）无法正常登陆或不能正常进入办事流程，每发现一次扣0.1分；</w:t>
            </w:r>
          </w:p>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不具备网站或APP的，不得分。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26"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688"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123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服务建设</w:t>
            </w:r>
          </w:p>
        </w:tc>
        <w:tc>
          <w:tcPr>
            <w:tcW w:w="67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w:t>
            </w:r>
          </w:p>
        </w:tc>
        <w:tc>
          <w:tcPr>
            <w:tcW w:w="15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对外服务手册</w:t>
            </w:r>
          </w:p>
        </w:tc>
        <w:tc>
          <w:tcPr>
            <w:tcW w:w="6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w:t>
            </w:r>
          </w:p>
        </w:tc>
        <w:tc>
          <w:tcPr>
            <w:tcW w:w="25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对外公布的服务标准、规范</w:t>
            </w:r>
          </w:p>
        </w:tc>
        <w:tc>
          <w:tcPr>
            <w:tcW w:w="55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有对外公布的服务标准或规范手册，得1分；如没有则不得分。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26"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688"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1235"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677"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15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客户服务团队</w:t>
            </w:r>
          </w:p>
        </w:tc>
        <w:tc>
          <w:tcPr>
            <w:tcW w:w="6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w:t>
            </w:r>
          </w:p>
        </w:tc>
        <w:tc>
          <w:tcPr>
            <w:tcW w:w="25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是否有专业的客户咨询服务团队</w:t>
            </w:r>
          </w:p>
        </w:tc>
        <w:tc>
          <w:tcPr>
            <w:tcW w:w="55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售电公司有专业的客户咨询服务团队，可以有效解答代理用户关于电力市场、注册、绑定、电费等相关问题，得2分；</w:t>
            </w:r>
          </w:p>
          <w:p>
            <w:pPr>
              <w:keepNext w:val="0"/>
              <w:keepLines w:val="0"/>
              <w:widowControl/>
              <w:suppressLineNumbers w:val="0"/>
              <w:spacing w:line="310" w:lineRule="exact"/>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无法解答代理用户相关问题的，每发生1起扣0.1分，扣完为止；</w:t>
            </w:r>
          </w:p>
          <w:p>
            <w:pPr>
              <w:keepNext w:val="0"/>
              <w:keepLines w:val="0"/>
              <w:widowControl/>
              <w:suppressLineNumbers w:val="0"/>
              <w:spacing w:line="310" w:lineRule="exact"/>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无客户咨询服务团队的，得0分。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26"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688"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1235"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677"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15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培训参与率</w:t>
            </w:r>
          </w:p>
        </w:tc>
        <w:tc>
          <w:tcPr>
            <w:tcW w:w="6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w:t>
            </w:r>
          </w:p>
        </w:tc>
        <w:tc>
          <w:tcPr>
            <w:tcW w:w="25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培训参与率=参加交易中心组织的培训次数/交易中心组织培训的总次数*100%</w:t>
            </w:r>
          </w:p>
        </w:tc>
        <w:tc>
          <w:tcPr>
            <w:tcW w:w="55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培训参与率=100%，得1分；</w:t>
            </w:r>
          </w:p>
          <w:p>
            <w:pPr>
              <w:keepNext w:val="0"/>
              <w:keepLines w:val="0"/>
              <w:widowControl/>
              <w:suppressLineNumbers w:val="0"/>
              <w:spacing w:line="310" w:lineRule="exact"/>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50%≤培训参与率&lt;100%，得0.5分；</w:t>
            </w:r>
          </w:p>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培训参与率＜50%，得0分。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26"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交易管理</w:t>
            </w:r>
          </w:p>
        </w:tc>
        <w:tc>
          <w:tcPr>
            <w:tcW w:w="688"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lang w:val="en-US"/>
              </w:rPr>
            </w:pPr>
            <w:r>
              <w:rPr>
                <w:rFonts w:hint="default" w:ascii="Times New Roman" w:hAnsi="Times New Roman" w:eastAsia="仿宋_GB2312" w:cs="Times New Roman"/>
                <w:i w:val="0"/>
                <w:color w:val="000000"/>
                <w:kern w:val="0"/>
                <w:sz w:val="21"/>
                <w:szCs w:val="21"/>
                <w:u w:val="none"/>
                <w:lang w:val="en-US" w:eastAsia="zh-CN" w:bidi="ar"/>
              </w:rPr>
              <w:t>12</w:t>
            </w:r>
          </w:p>
        </w:tc>
        <w:tc>
          <w:tcPr>
            <w:tcW w:w="123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交易规范</w:t>
            </w:r>
          </w:p>
        </w:tc>
        <w:tc>
          <w:tcPr>
            <w:tcW w:w="6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w:t>
            </w:r>
          </w:p>
        </w:tc>
        <w:tc>
          <w:tcPr>
            <w:tcW w:w="15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交易规范性</w:t>
            </w:r>
          </w:p>
        </w:tc>
        <w:tc>
          <w:tcPr>
            <w:tcW w:w="6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w:t>
            </w:r>
          </w:p>
        </w:tc>
        <w:tc>
          <w:tcPr>
            <w:tcW w:w="25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规范参与电力市场交易的能力</w:t>
            </w:r>
          </w:p>
        </w:tc>
        <w:tc>
          <w:tcPr>
            <w:tcW w:w="55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在参与市场交易时发生不按要求申报、错误申报、不按要求提交资料等行为，每发生1次扣2分，扣完为止。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26"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688"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123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市场活跃</w:t>
            </w:r>
          </w:p>
        </w:tc>
        <w:tc>
          <w:tcPr>
            <w:tcW w:w="6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w:t>
            </w:r>
          </w:p>
        </w:tc>
        <w:tc>
          <w:tcPr>
            <w:tcW w:w="15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市场活跃性</w:t>
            </w:r>
          </w:p>
        </w:tc>
        <w:tc>
          <w:tcPr>
            <w:tcW w:w="6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w:t>
            </w:r>
          </w:p>
        </w:tc>
        <w:tc>
          <w:tcPr>
            <w:tcW w:w="25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评价周期内售电公司参与市场化交易情况</w:t>
            </w:r>
          </w:p>
        </w:tc>
        <w:tc>
          <w:tcPr>
            <w:tcW w:w="55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售电公司成功参与市场化交易次数≥平均值*1.2，得2分；</w:t>
            </w:r>
          </w:p>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平均值*1.2＞售电公司成功参与市场化交易次数≥平均值*0.8，得1分；</w:t>
            </w:r>
          </w:p>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售电公司成功参与市场化交易次数＜平均值*0.8，得0.5分。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26"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688"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123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需求申报</w:t>
            </w:r>
          </w:p>
        </w:tc>
        <w:tc>
          <w:tcPr>
            <w:tcW w:w="6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w:t>
            </w:r>
          </w:p>
        </w:tc>
        <w:tc>
          <w:tcPr>
            <w:tcW w:w="15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需求申报准确性</w:t>
            </w:r>
          </w:p>
        </w:tc>
        <w:tc>
          <w:tcPr>
            <w:tcW w:w="6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w:t>
            </w:r>
          </w:p>
        </w:tc>
        <w:tc>
          <w:tcPr>
            <w:tcW w:w="25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预测用电量与实际用电量的偏差</w:t>
            </w:r>
          </w:p>
        </w:tc>
        <w:tc>
          <w:tcPr>
            <w:tcW w:w="55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每月预测偏差在±5%以内，得0.5分；每月预测偏差在±5%至±10%之间（包含±5%和±10%），得0.3分；每月预测偏差在±10%至±15%之间（包含±15%），得0.1分；每月预测偏差在±15%以上，不得分。</w:t>
            </w:r>
          </w:p>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该指标按月评价，评价周期内得分累加；评价周期按1年计，如评价周期调整，合计分值等比例调整。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26"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结算管理</w:t>
            </w:r>
          </w:p>
        </w:tc>
        <w:tc>
          <w:tcPr>
            <w:tcW w:w="688"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lang w:val="en-US"/>
              </w:rPr>
            </w:pPr>
            <w:r>
              <w:rPr>
                <w:rFonts w:hint="default" w:ascii="Times New Roman" w:hAnsi="Times New Roman" w:eastAsia="仿宋_GB2312" w:cs="Times New Roman"/>
                <w:i w:val="0"/>
                <w:color w:val="000000"/>
                <w:kern w:val="0"/>
                <w:sz w:val="21"/>
                <w:szCs w:val="21"/>
                <w:u w:val="none"/>
                <w:lang w:val="en-US" w:eastAsia="zh-CN" w:bidi="ar"/>
              </w:rPr>
              <w:t>9</w:t>
            </w:r>
          </w:p>
        </w:tc>
        <w:tc>
          <w:tcPr>
            <w:tcW w:w="123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合同执行</w:t>
            </w:r>
          </w:p>
        </w:tc>
        <w:tc>
          <w:tcPr>
            <w:tcW w:w="6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w:t>
            </w:r>
          </w:p>
        </w:tc>
        <w:tc>
          <w:tcPr>
            <w:tcW w:w="15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合同执行情况</w:t>
            </w:r>
          </w:p>
        </w:tc>
        <w:tc>
          <w:tcPr>
            <w:tcW w:w="6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w:t>
            </w:r>
          </w:p>
        </w:tc>
        <w:tc>
          <w:tcPr>
            <w:tcW w:w="25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评价周期内售电公司合同执行情况</w:t>
            </w:r>
          </w:p>
        </w:tc>
        <w:tc>
          <w:tcPr>
            <w:tcW w:w="55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分尖峰、高峰、低谷、一口价按月统计售电公司合同执行情况；</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售电公司尖峰（高峰、低谷、一口价）合同执行情况=售电公司当月尖峰（高峰、低谷、一口价）实际用电量/售电公司当月尖峰（高峰、低谷、一口价）合同电量；</w:t>
            </w:r>
          </w:p>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售电公司尖峰（高峰、低谷、一口价）合同执行情况&lt;0.8或售电公司尖峰（高峰、低谷、一口价）合同执行情况&gt;1.2，每次扣0.5分，扣完为止。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26"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688"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123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结算依据确认</w:t>
            </w:r>
          </w:p>
        </w:tc>
        <w:tc>
          <w:tcPr>
            <w:tcW w:w="6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w:t>
            </w:r>
          </w:p>
        </w:tc>
        <w:tc>
          <w:tcPr>
            <w:tcW w:w="15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结算依据确认</w:t>
            </w:r>
          </w:p>
        </w:tc>
        <w:tc>
          <w:tcPr>
            <w:tcW w:w="6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w:t>
            </w:r>
          </w:p>
        </w:tc>
        <w:tc>
          <w:tcPr>
            <w:tcW w:w="25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评价周期内售电公司结算依据确认情况</w:t>
            </w:r>
          </w:p>
        </w:tc>
        <w:tc>
          <w:tcPr>
            <w:tcW w:w="55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统计周期内售电公司结算依据确认情况；</w:t>
            </w:r>
          </w:p>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每月售电公司结算依据发布后，在3个工作日内未完成结算依据确认的，每次扣0.5分，扣完为止。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26"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信息披露</w:t>
            </w:r>
          </w:p>
        </w:tc>
        <w:tc>
          <w:tcPr>
            <w:tcW w:w="688"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lang w:val="en-US"/>
              </w:rPr>
            </w:pPr>
            <w:r>
              <w:rPr>
                <w:rFonts w:hint="default" w:ascii="Times New Roman" w:hAnsi="Times New Roman" w:eastAsia="仿宋_GB2312" w:cs="Times New Roman"/>
                <w:i w:val="0"/>
                <w:color w:val="000000"/>
                <w:kern w:val="0"/>
                <w:sz w:val="21"/>
                <w:szCs w:val="21"/>
                <w:u w:val="none"/>
                <w:lang w:val="en-US" w:eastAsia="zh-CN" w:bidi="ar"/>
              </w:rPr>
              <w:t>9</w:t>
            </w:r>
          </w:p>
        </w:tc>
        <w:tc>
          <w:tcPr>
            <w:tcW w:w="123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信息公开</w:t>
            </w:r>
          </w:p>
        </w:tc>
        <w:tc>
          <w:tcPr>
            <w:tcW w:w="67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w:t>
            </w:r>
          </w:p>
        </w:tc>
        <w:tc>
          <w:tcPr>
            <w:tcW w:w="15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信息公开规范性</w:t>
            </w:r>
          </w:p>
        </w:tc>
        <w:tc>
          <w:tcPr>
            <w:tcW w:w="6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w:t>
            </w:r>
          </w:p>
        </w:tc>
        <w:tc>
          <w:tcPr>
            <w:tcW w:w="25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按照信息披露管理办法要求，规范公开必须披露的信息</w:t>
            </w:r>
          </w:p>
        </w:tc>
        <w:tc>
          <w:tcPr>
            <w:tcW w:w="55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必须披露的信息在电力交易平台按照标准格式规范公开，得2分；</w:t>
            </w:r>
          </w:p>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公开信息不规范、不按照国家及地方相关政策文件要求公开信息的，每发生一次扣1分，扣完为止。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26"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688"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1235"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677"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15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信息公开及时性</w:t>
            </w:r>
          </w:p>
        </w:tc>
        <w:tc>
          <w:tcPr>
            <w:tcW w:w="6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w:t>
            </w:r>
          </w:p>
        </w:tc>
        <w:tc>
          <w:tcPr>
            <w:tcW w:w="25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按照信息披露管理办法要求，及时公开必须披露的信息</w:t>
            </w:r>
          </w:p>
        </w:tc>
        <w:tc>
          <w:tcPr>
            <w:tcW w:w="55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必须披露的信息在规定时间之前完成信息公开，得2分；</w:t>
            </w:r>
          </w:p>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公开信息不及时的，每发生一次扣0.5分，扣完为止。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26"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688"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1235"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677"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15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信息公开完整性</w:t>
            </w:r>
          </w:p>
        </w:tc>
        <w:tc>
          <w:tcPr>
            <w:tcW w:w="6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w:t>
            </w:r>
          </w:p>
        </w:tc>
        <w:tc>
          <w:tcPr>
            <w:tcW w:w="25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按照信息披露管理办法要求，完整公开必须披露的信息</w:t>
            </w:r>
          </w:p>
        </w:tc>
        <w:tc>
          <w:tcPr>
            <w:tcW w:w="55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必须披露的信息完整公开的，得2分；</w:t>
            </w:r>
          </w:p>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公开信息不完整的，每存在一项，扣0.5分，扣完为止。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26"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688"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123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信息管理</w:t>
            </w:r>
          </w:p>
        </w:tc>
        <w:tc>
          <w:tcPr>
            <w:tcW w:w="67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w:t>
            </w:r>
          </w:p>
        </w:tc>
        <w:tc>
          <w:tcPr>
            <w:tcW w:w="15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负责人信息</w:t>
            </w:r>
          </w:p>
        </w:tc>
        <w:tc>
          <w:tcPr>
            <w:tcW w:w="6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w:t>
            </w:r>
          </w:p>
        </w:tc>
        <w:tc>
          <w:tcPr>
            <w:tcW w:w="25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各市场主体应设置专职或兼职信息披露管理人</w:t>
            </w:r>
          </w:p>
        </w:tc>
        <w:tc>
          <w:tcPr>
            <w:tcW w:w="55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各市场主体上报联系人及联系方式，若有，得1分；</w:t>
            </w:r>
          </w:p>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若未设置或者设置了但联系不上得0分。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26"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688"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1235"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677"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15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管理规范</w:t>
            </w:r>
          </w:p>
        </w:tc>
        <w:tc>
          <w:tcPr>
            <w:tcW w:w="6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w:t>
            </w:r>
          </w:p>
        </w:tc>
        <w:tc>
          <w:tcPr>
            <w:tcW w:w="25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制定本单位信息披露工作管理规范，明确职责</w:t>
            </w:r>
          </w:p>
        </w:tc>
        <w:tc>
          <w:tcPr>
            <w:tcW w:w="55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各市场主体可通过信息披露平台上报佐证材料，若有盖章版管理办法，得1分，若没有，得0分。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26"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688"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1235"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677"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15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信息披露工作配合度</w:t>
            </w:r>
          </w:p>
        </w:tc>
        <w:tc>
          <w:tcPr>
            <w:tcW w:w="6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w:t>
            </w:r>
          </w:p>
        </w:tc>
        <w:tc>
          <w:tcPr>
            <w:tcW w:w="25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及时回复其他市场主体、交易中心问询</w:t>
            </w:r>
          </w:p>
        </w:tc>
        <w:tc>
          <w:tcPr>
            <w:tcW w:w="55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售电公司应当天回复市场主体问询，特殊问题无法回复的应当天告知市场主体无法回复的原因，最晚3个工作日内回复。电力交易中心根据市场主体反馈，及日常工作情况评分，如未及时反馈市场主体和交易中心问询，发现1次扣0.2分，扣完为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26"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合规管理</w:t>
            </w:r>
          </w:p>
        </w:tc>
        <w:tc>
          <w:tcPr>
            <w:tcW w:w="688"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lang w:val="en-US"/>
              </w:rPr>
            </w:pPr>
            <w:r>
              <w:rPr>
                <w:rFonts w:hint="default" w:ascii="Times New Roman" w:hAnsi="Times New Roman" w:eastAsia="仿宋_GB2312" w:cs="Times New Roman"/>
                <w:i w:val="0"/>
                <w:color w:val="000000"/>
                <w:kern w:val="0"/>
                <w:sz w:val="21"/>
                <w:szCs w:val="21"/>
                <w:u w:val="none"/>
                <w:lang w:val="en-US" w:eastAsia="zh-CN" w:bidi="ar"/>
              </w:rPr>
              <w:t>12</w:t>
            </w:r>
          </w:p>
        </w:tc>
        <w:tc>
          <w:tcPr>
            <w:tcW w:w="123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投诉情况</w:t>
            </w:r>
          </w:p>
        </w:tc>
        <w:tc>
          <w:tcPr>
            <w:tcW w:w="6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w:t>
            </w:r>
          </w:p>
        </w:tc>
        <w:tc>
          <w:tcPr>
            <w:tcW w:w="15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投诉举报</w:t>
            </w:r>
          </w:p>
        </w:tc>
        <w:tc>
          <w:tcPr>
            <w:tcW w:w="6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w:t>
            </w:r>
          </w:p>
        </w:tc>
        <w:tc>
          <w:tcPr>
            <w:tcW w:w="25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评价周期内是否存在被投诉、被举报情形</w:t>
            </w:r>
          </w:p>
        </w:tc>
        <w:tc>
          <w:tcPr>
            <w:tcW w:w="55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无被投诉、被举报记录，得4分；</w:t>
            </w:r>
          </w:p>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被匿名投诉1次且经查实的，扣0.5分；</w:t>
            </w:r>
          </w:p>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被实名投诉1次且经查实的，扣1分；扣完为止。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26"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688"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123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市场秩序</w:t>
            </w:r>
          </w:p>
        </w:tc>
        <w:tc>
          <w:tcPr>
            <w:tcW w:w="6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w:t>
            </w:r>
          </w:p>
        </w:tc>
        <w:tc>
          <w:tcPr>
            <w:tcW w:w="15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违规记录</w:t>
            </w:r>
          </w:p>
        </w:tc>
        <w:tc>
          <w:tcPr>
            <w:tcW w:w="6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w:t>
            </w:r>
          </w:p>
        </w:tc>
        <w:tc>
          <w:tcPr>
            <w:tcW w:w="25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评价周期内是否存在扰乱市场秩序的不良市场行为</w:t>
            </w:r>
          </w:p>
        </w:tc>
        <w:tc>
          <w:tcPr>
            <w:tcW w:w="55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无不良市场行为，得4分；</w:t>
            </w:r>
          </w:p>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认定存在不良市场行为，每发生1次扣1分；</w:t>
            </w:r>
          </w:p>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发生3次及以上，评价不高于B级。</w:t>
            </w:r>
          </w:p>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经认定，存在哄抬电价、欺骗签约、威胁签约等违规行为，或存在虚假信息申报、虚假信息宣传、不正当竞争等严重扰乱市场秩序行为的，发生1次降一级。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26"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688"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10" w:lineRule="exact"/>
              <w:jc w:val="center"/>
              <w:rPr>
                <w:rFonts w:hint="default" w:ascii="Times New Roman" w:hAnsi="Times New Roman" w:eastAsia="仿宋_GB2312" w:cs="Times New Roman"/>
                <w:i w:val="0"/>
                <w:color w:val="000000"/>
                <w:sz w:val="21"/>
                <w:szCs w:val="21"/>
                <w:u w:val="none"/>
              </w:rPr>
            </w:pPr>
          </w:p>
        </w:tc>
        <w:tc>
          <w:tcPr>
            <w:tcW w:w="123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司法案件</w:t>
            </w:r>
          </w:p>
        </w:tc>
        <w:tc>
          <w:tcPr>
            <w:tcW w:w="6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w:t>
            </w:r>
          </w:p>
        </w:tc>
        <w:tc>
          <w:tcPr>
            <w:tcW w:w="15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纠纷频次</w:t>
            </w:r>
          </w:p>
        </w:tc>
        <w:tc>
          <w:tcPr>
            <w:tcW w:w="6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w:t>
            </w:r>
          </w:p>
        </w:tc>
        <w:tc>
          <w:tcPr>
            <w:tcW w:w="25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评价周期内发生司法案件的次数</w:t>
            </w:r>
          </w:p>
        </w:tc>
        <w:tc>
          <w:tcPr>
            <w:tcW w:w="55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无法律纠纷，得4分；</w:t>
            </w:r>
          </w:p>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每发生1次民事诉讼（仲裁）案件且被判决（裁决）承担民事责任的，扣1分；被追究行政或刑事法律责任的，扣2分；</w:t>
            </w:r>
          </w:p>
          <w:p>
            <w:pPr>
              <w:keepNext w:val="0"/>
              <w:keepLines w:val="0"/>
              <w:widowControl/>
              <w:suppressLineNumbers w:val="0"/>
              <w:spacing w:line="31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发生3次以上民事案件或者1次以上行政、刑事案件的，评价不高于B级。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5239" w:type="dxa"/>
            <w:gridSpan w:val="5"/>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分值总计</w:t>
            </w:r>
          </w:p>
        </w:tc>
        <w:tc>
          <w:tcPr>
            <w:tcW w:w="6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10" w:lineRule="exact"/>
              <w:jc w:val="center"/>
              <w:textAlignment w:val="center"/>
              <w:rPr>
                <w:rFonts w:hint="default" w:ascii="Times New Roman" w:hAnsi="Times New Roman" w:eastAsia="仿宋_GB2312" w:cs="Times New Roman"/>
                <w:b/>
                <w:i w:val="0"/>
                <w:color w:val="000000"/>
                <w:sz w:val="21"/>
                <w:szCs w:val="21"/>
                <w:highlight w:val="none"/>
                <w:u w:val="none"/>
                <w:lang w:val="en-US"/>
              </w:rPr>
            </w:pPr>
            <w:r>
              <w:rPr>
                <w:rFonts w:hint="default" w:ascii="Times New Roman" w:hAnsi="Times New Roman" w:eastAsia="仿宋_GB2312" w:cs="Times New Roman"/>
                <w:b/>
                <w:i w:val="0"/>
                <w:color w:val="000000"/>
                <w:kern w:val="0"/>
                <w:sz w:val="21"/>
                <w:szCs w:val="21"/>
                <w:highlight w:val="none"/>
                <w:u w:val="none"/>
                <w:lang w:val="en-US" w:eastAsia="zh-CN" w:bidi="ar"/>
              </w:rPr>
              <w:t>70</w:t>
            </w:r>
          </w:p>
        </w:tc>
        <w:tc>
          <w:tcPr>
            <w:tcW w:w="2550" w:type="dxa"/>
            <w:tcBorders>
              <w:top w:val="single" w:color="000000" w:sz="8" w:space="0"/>
              <w:left w:val="single" w:color="000000" w:sz="8" w:space="0"/>
              <w:bottom w:val="single" w:color="000000" w:sz="8" w:space="0"/>
              <w:right w:val="single" w:color="000000" w:sz="8" w:space="0"/>
            </w:tcBorders>
            <w:noWrap w:val="0"/>
            <w:vAlign w:val="center"/>
          </w:tcPr>
          <w:p>
            <w:pPr>
              <w:spacing w:line="310" w:lineRule="exact"/>
              <w:rPr>
                <w:rFonts w:hint="default" w:ascii="Times New Roman" w:hAnsi="Times New Roman" w:eastAsia="仿宋_GB2312" w:cs="Times New Roman"/>
                <w:b/>
                <w:i w:val="0"/>
                <w:color w:val="000000"/>
                <w:sz w:val="21"/>
                <w:szCs w:val="21"/>
                <w:highlight w:val="none"/>
                <w:u w:val="none"/>
              </w:rPr>
            </w:pPr>
          </w:p>
        </w:tc>
        <w:tc>
          <w:tcPr>
            <w:tcW w:w="5512" w:type="dxa"/>
            <w:tcBorders>
              <w:top w:val="single" w:color="000000" w:sz="8" w:space="0"/>
              <w:left w:val="single" w:color="000000" w:sz="8" w:space="0"/>
              <w:bottom w:val="single" w:color="000000" w:sz="8" w:space="0"/>
              <w:right w:val="single" w:color="000000" w:sz="8" w:space="0"/>
            </w:tcBorders>
            <w:noWrap w:val="0"/>
            <w:vAlign w:val="center"/>
          </w:tcPr>
          <w:p>
            <w:pPr>
              <w:spacing w:line="310" w:lineRule="exact"/>
              <w:rPr>
                <w:rFonts w:hint="default" w:ascii="Times New Roman" w:hAnsi="Times New Roman" w:eastAsia="仿宋_GB2312" w:cs="Times New Roman"/>
                <w:b/>
                <w:i w:val="0"/>
                <w:color w:val="000000"/>
                <w:sz w:val="21"/>
                <w:szCs w:val="21"/>
                <w:u w:val="none"/>
              </w:rPr>
            </w:pPr>
          </w:p>
        </w:tc>
      </w:tr>
    </w:tbl>
    <w:p>
      <w:pPr>
        <w:keepNext w:val="0"/>
        <w:keepLines w:val="0"/>
        <w:pageBreakBefore w:val="0"/>
        <w:widowControl w:val="0"/>
        <w:kinsoku/>
        <w:wordWrap/>
        <w:overflowPunct/>
        <w:topLinePunct w:val="0"/>
        <w:autoSpaceDE/>
        <w:bidi w:val="0"/>
        <w:adjustRightInd w:val="0"/>
        <w:snapToGrid/>
        <w:spacing w:before="0" w:after="0" w:line="20" w:lineRule="exact"/>
        <w:ind w:right="0" w:rightChars="0" w:firstLine="286" w:firstLineChars="100"/>
        <w:jc w:val="both"/>
        <w:textAlignment w:val="auto"/>
        <w:outlineLvl w:val="0"/>
        <w:rPr>
          <w:rFonts w:hint="default" w:ascii="Times New Roman" w:hAnsi="Times New Roman" w:cs="Times New Roman"/>
          <w:snapToGrid/>
          <w:spacing w:val="0"/>
          <w:kern w:val="2"/>
          <w:sz w:val="28"/>
          <w:szCs w:val="28"/>
          <w:lang w:val="en-US" w:eastAsia="zh-CN"/>
        </w:rPr>
      </w:pPr>
    </w:p>
    <w:p>
      <w:bookmarkStart w:id="0" w:name="_GoBack"/>
      <w:bookmarkEnd w:id="0"/>
    </w:p>
    <w:sectPr>
      <w:headerReference r:id="rId6" w:type="default"/>
      <w:footerReference r:id="rId8" w:type="default"/>
      <w:headerReference r:id="rId7" w:type="even"/>
      <w:footerReference r:id="rId9" w:type="even"/>
      <w:pgSz w:w="16838" w:h="11906" w:orient="landscape"/>
      <w:pgMar w:top="1588" w:right="2098" w:bottom="1474" w:left="1984" w:header="851" w:footer="1587" w:gutter="0"/>
      <w:pgBorders>
        <w:top w:val="none" w:sz="0" w:space="0"/>
        <w:left w:val="none" w:sz="0" w:space="0"/>
        <w:bottom w:val="none" w:sz="0" w:space="0"/>
        <w:right w:val="none" w:sz="0" w:space="0"/>
      </w:pgBorders>
      <w:pgNumType w:fmt="decimal"/>
      <w:cols w:space="720" w:num="1"/>
      <w:rtlGutter w:val="0"/>
      <w:docGrid w:type="linesAndChars" w:linePitch="579"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slDbw0QEAAKIDAAAOAAAAAAAAAAEAIAAAAB8BAABk&#10;cnMvZTJvRG9jLnhtbFBLBQYAAAAABgAGAFkBAABiBQAAAAA=&#10;">
              <v:path/>
              <v:fill on="f" focussize="0,0"/>
              <v:stroke on="f" weight="0.5pt"/>
              <v:imagedata o:title=""/>
              <o:lock v:ext="edit" aspectratio="f"/>
              <v:textbox inset="0mm,0mm,0mm,0mm" style="mso-fit-shape-to-text:t;">
                <w:txbxContent>
                  <w:p>
                    <w:pPr>
                      <w:pStyle w:val="4"/>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val="0"/>
      <w:topLinePunct w:val="0"/>
      <w:autoSpaceDE w:val="0"/>
      <w:autoSpaceDN w:val="0"/>
      <w:bidi w:val="0"/>
      <w:adjustRightInd w:val="0"/>
      <w:snapToGrid/>
      <w:spacing w:line="400" w:lineRule="exact"/>
      <w:jc w:val="right"/>
      <w:textAlignment w:val="baseline"/>
      <w:outlineLvl w:val="9"/>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0" w:rightChars="0" w:firstLine="0" w:firstLineChars="0"/>
                            <w:jc w:val="right"/>
                            <w:textAlignment w:val="baseline"/>
                            <w:outlineLvl w:val="9"/>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fldChar w:fldCharType="begin"/>
                          </w:r>
                          <w:r>
                            <w:rPr>
                              <w:rStyle w:val="9"/>
                              <w:rFonts w:hint="default" w:ascii="Times New Roman" w:hAnsi="Times New Roman" w:eastAsia="宋体" w:cs="Times New Roman"/>
                              <w:sz w:val="18"/>
                              <w:szCs w:val="18"/>
                            </w:rPr>
                            <w:instrText xml:space="preserve"> PAGE </w:instrText>
                          </w:r>
                          <w:r>
                            <w:rPr>
                              <w:rFonts w:hint="default" w:ascii="Times New Roman" w:hAnsi="Times New Roman" w:eastAsia="宋体" w:cs="Times New Roman"/>
                              <w:sz w:val="18"/>
                              <w:szCs w:val="18"/>
                            </w:rPr>
                            <w:fldChar w:fldCharType="separate"/>
                          </w:r>
                          <w:r>
                            <w:rPr>
                              <w:rStyle w:val="9"/>
                              <w:rFonts w:hint="default" w:ascii="Times New Roman" w:hAnsi="Times New Roman" w:eastAsia="宋体" w:cs="Times New Roman"/>
                              <w:sz w:val="18"/>
                              <w:szCs w:val="18"/>
                            </w:rPr>
                            <w:t>2</w:t>
                          </w:r>
                          <w:r>
                            <w:rPr>
                              <w:rFonts w:hint="default" w:ascii="Times New Roman" w:hAnsi="Times New Roman" w:eastAsia="宋体" w:cs="Times New Roman"/>
                              <w:sz w:val="18"/>
                              <w:szCs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4"/>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0" w:rightChars="0" w:firstLine="0" w:firstLineChars="0"/>
                      <w:jc w:val="right"/>
                      <w:textAlignment w:val="baseline"/>
                      <w:outlineLvl w:val="9"/>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rPr>
                      <w:fldChar w:fldCharType="begin"/>
                    </w:r>
                    <w:r>
                      <w:rPr>
                        <w:rStyle w:val="9"/>
                        <w:rFonts w:hint="default" w:ascii="Times New Roman" w:hAnsi="Times New Roman" w:eastAsia="宋体" w:cs="Times New Roman"/>
                        <w:sz w:val="18"/>
                        <w:szCs w:val="18"/>
                      </w:rPr>
                      <w:instrText xml:space="preserve"> PAGE </w:instrText>
                    </w:r>
                    <w:r>
                      <w:rPr>
                        <w:rFonts w:hint="default" w:ascii="Times New Roman" w:hAnsi="Times New Roman" w:eastAsia="宋体" w:cs="Times New Roman"/>
                        <w:sz w:val="18"/>
                        <w:szCs w:val="18"/>
                      </w:rPr>
                      <w:fldChar w:fldCharType="separate"/>
                    </w:r>
                    <w:r>
                      <w:rPr>
                        <w:rStyle w:val="9"/>
                        <w:rFonts w:hint="default" w:ascii="Times New Roman" w:hAnsi="Times New Roman" w:eastAsia="宋体" w:cs="Times New Roman"/>
                        <w:sz w:val="18"/>
                        <w:szCs w:val="18"/>
                      </w:rPr>
                      <w:t>2</w:t>
                    </w:r>
                    <w:r>
                      <w:rPr>
                        <w:rFonts w:hint="default" w:ascii="Times New Roman" w:hAnsi="Times New Roman" w:eastAsia="宋体" w:cs="Times New Roman"/>
                        <w:sz w:val="18"/>
                        <w:szCs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val="0"/>
      <w:topLinePunct w:val="0"/>
      <w:autoSpaceDE w:val="0"/>
      <w:autoSpaceDN w:val="0"/>
      <w:bidi w:val="0"/>
      <w:adjustRightInd w:val="0"/>
      <w:snapToGrid/>
      <w:spacing w:line="400" w:lineRule="exact"/>
      <w:jc w:val="right"/>
      <w:textAlignment w:val="baseline"/>
      <w:outlineLvl w:val="9"/>
    </w:pPr>
    <w:r>
      <w:rPr>
        <w:sz w:val="20"/>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308" w:rightChars="100" w:firstLine="0" w:firstLineChars="0"/>
                            <w:jc w:val="right"/>
                            <w:textAlignment w:val="baseline"/>
                            <w:outlineLvl w:val="9"/>
                            <w:rPr>
                              <w:rFonts w:hint="default" w:ascii="Times New Roman" w:hAnsi="Times New Roman" w:eastAsia="宋体" w:cs="Times New Roman"/>
                              <w:sz w:val="28"/>
                              <w:szCs w:val="28"/>
                              <w:lang w:eastAsia="zh-CN"/>
                            </w:rPr>
                          </w:pPr>
                          <w:r>
                            <w:rPr>
                              <w:rStyle w:val="9"/>
                              <w:rFonts w:hint="default" w:ascii="Times New Roman" w:hAnsi="Times New Roman" w:eastAsia="宋体" w:cs="Times New Roman"/>
                              <w:sz w:val="28"/>
                              <w:szCs w:val="28"/>
                            </w:rPr>
                            <w:t xml:space="preserve">— </w:t>
                          </w:r>
                          <w:r>
                            <w:rPr>
                              <w:rStyle w:val="9"/>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fldChar w:fldCharType="begin"/>
                          </w:r>
                          <w:r>
                            <w:rPr>
                              <w:rStyle w:val="9"/>
                              <w:rFonts w:hint="default" w:ascii="Times New Roman" w:hAnsi="Times New Roman" w:eastAsia="宋体" w:cs="Times New Roman"/>
                              <w:sz w:val="28"/>
                              <w:szCs w:val="28"/>
                            </w:rPr>
                            <w:instrText xml:space="preserve"> PAGE </w:instrText>
                          </w:r>
                          <w:r>
                            <w:rPr>
                              <w:rFonts w:hint="default" w:ascii="Times New Roman" w:hAnsi="Times New Roman" w:eastAsia="宋体" w:cs="Times New Roman"/>
                              <w:sz w:val="28"/>
                              <w:szCs w:val="28"/>
                            </w:rPr>
                            <w:fldChar w:fldCharType="separate"/>
                          </w:r>
                          <w:r>
                            <w:rPr>
                              <w:rStyle w:val="9"/>
                              <w:rFonts w:hint="default" w:ascii="Times New Roman" w:hAnsi="Times New Roman" w:eastAsia="宋体" w:cs="Times New Roman"/>
                              <w:sz w:val="28"/>
                              <w:szCs w:val="28"/>
                            </w:rPr>
                            <w:t>2</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lang w:val="en-US" w:eastAsia="zh-CN"/>
                            </w:rPr>
                            <w:t xml:space="preserve"> </w:t>
                          </w:r>
                          <w:r>
                            <w:rPr>
                              <w:rStyle w:val="9"/>
                              <w:rFonts w:hint="default" w:ascii="Times New Roman" w:hAnsi="Times New Roman" w:eastAsia="宋体" w:cs="Times New Roman"/>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left:0pt;margin-top:0pt;height:144pt;width:144pt;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path/>
              <v:fill on="f" focussize="0,0"/>
              <v:stroke on="f" weight="1.25pt"/>
              <v:imagedata o:title=""/>
              <o:lock v:ext="edit" aspectratio="f"/>
              <v:textbox inset="0mm,0mm,0mm,0mm" style="mso-fit-shape-to-text:t;">
                <w:txbxContent>
                  <w:p>
                    <w:pPr>
                      <w:pStyle w:val="4"/>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308" w:rightChars="100" w:firstLine="0" w:firstLineChars="0"/>
                      <w:jc w:val="right"/>
                      <w:textAlignment w:val="baseline"/>
                      <w:outlineLvl w:val="9"/>
                      <w:rPr>
                        <w:rFonts w:hint="default" w:ascii="Times New Roman" w:hAnsi="Times New Roman" w:eastAsia="宋体" w:cs="Times New Roman"/>
                        <w:sz w:val="28"/>
                        <w:szCs w:val="28"/>
                        <w:lang w:eastAsia="zh-CN"/>
                      </w:rPr>
                    </w:pPr>
                    <w:r>
                      <w:rPr>
                        <w:rStyle w:val="9"/>
                        <w:rFonts w:hint="default" w:ascii="Times New Roman" w:hAnsi="Times New Roman" w:eastAsia="宋体" w:cs="Times New Roman"/>
                        <w:sz w:val="28"/>
                        <w:szCs w:val="28"/>
                      </w:rPr>
                      <w:t xml:space="preserve">— </w:t>
                    </w:r>
                    <w:r>
                      <w:rPr>
                        <w:rStyle w:val="9"/>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fldChar w:fldCharType="begin"/>
                    </w:r>
                    <w:r>
                      <w:rPr>
                        <w:rStyle w:val="9"/>
                        <w:rFonts w:hint="default" w:ascii="Times New Roman" w:hAnsi="Times New Roman" w:eastAsia="宋体" w:cs="Times New Roman"/>
                        <w:sz w:val="28"/>
                        <w:szCs w:val="28"/>
                      </w:rPr>
                      <w:instrText xml:space="preserve"> PAGE </w:instrText>
                    </w:r>
                    <w:r>
                      <w:rPr>
                        <w:rFonts w:hint="default" w:ascii="Times New Roman" w:hAnsi="Times New Roman" w:eastAsia="宋体" w:cs="Times New Roman"/>
                        <w:sz w:val="28"/>
                        <w:szCs w:val="28"/>
                      </w:rPr>
                      <w:fldChar w:fldCharType="separate"/>
                    </w:r>
                    <w:r>
                      <w:rPr>
                        <w:rStyle w:val="9"/>
                        <w:rFonts w:hint="default" w:ascii="Times New Roman" w:hAnsi="Times New Roman" w:eastAsia="宋体" w:cs="Times New Roman"/>
                        <w:sz w:val="28"/>
                        <w:szCs w:val="28"/>
                      </w:rPr>
                      <w:t>2</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lang w:val="en-US" w:eastAsia="zh-CN"/>
                      </w:rPr>
                      <w:t xml:space="preserve"> </w:t>
                    </w:r>
                    <w:r>
                      <w:rPr>
                        <w:rStyle w:val="9"/>
                        <w:rFonts w:hint="default" w:ascii="Times New Roman" w:hAnsi="Times New Roman" w:eastAsia="宋体" w:cs="Times New Roman"/>
                        <w:sz w:val="28"/>
                        <w:szCs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rFonts w:hint="eastAsia"/>
        <w:szCs w:val="32"/>
      </w:rPr>
    </w:pPr>
  </w:p>
  <w:p>
    <w:pPr>
      <w:pBdr>
        <w:bottom w:val="none" w:color="auto" w:sz="0" w:space="0"/>
      </w:pBdr>
      <w:rPr>
        <w:rFonts w:hint="eastAsia"/>
        <w:szCs w:val="32"/>
      </w:rPr>
    </w:pPr>
  </w:p>
  <w:p>
    <w:pPr>
      <w:pStyle w:val="5"/>
      <w:pBdr>
        <w:bottom w:val="none" w:color="auto" w:sz="0" w:space="0"/>
      </w:pBdr>
      <w:rPr>
        <w:sz w:val="38"/>
        <w:szCs w:val="3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3A3FE5"/>
    <w:multiLevelType w:val="singleLevel"/>
    <w:tmpl w:val="DA3A3FE5"/>
    <w:lvl w:ilvl="0" w:tentative="0">
      <w:start w:val="2"/>
      <w:numFmt w:val="chineseCounting"/>
      <w:suff w:val="space"/>
      <w:lvlText w:val="第%1章"/>
      <w:lvlJc w:val="left"/>
      <w:rPr>
        <w:rFonts w:hint="eastAsia"/>
      </w:rPr>
    </w:lvl>
  </w:abstractNum>
  <w:abstractNum w:abstractNumId="1">
    <w:nsid w:val="F77CB09D"/>
    <w:multiLevelType w:val="singleLevel"/>
    <w:tmpl w:val="F77CB09D"/>
    <w:lvl w:ilvl="0" w:tentative="0">
      <w:start w:val="5"/>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010B6C"/>
    <w:rsid w:val="05010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paragraph" w:styleId="3">
    <w:name w:val="heading 1"/>
    <w:basedOn w:val="1"/>
    <w:next w:val="1"/>
    <w:qFormat/>
    <w:uiPriority w:val="0"/>
    <w:pPr>
      <w:keepNext/>
      <w:keepLines/>
      <w:widowControl w:val="0"/>
      <w:spacing w:before="340" w:after="330" w:line="576" w:lineRule="auto"/>
      <w:outlineLvl w:val="0"/>
    </w:pPr>
    <w:rPr>
      <w:rFonts w:ascii="Calibri" w:hAnsi="Calibri" w:eastAsia="宋体" w:cs="宋体"/>
      <w:b/>
      <w:bCs/>
      <w:kern w:val="44"/>
      <w:sz w:val="44"/>
      <w:szCs w:val="44"/>
      <w:lang w:val="en-US"/>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5">
    <w:name w:val="head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table" w:styleId="7">
    <w:name w:val="Table Grid"/>
    <w:basedOn w:val="6"/>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2022-08-31T01:22:00Z</dcterms:created>
  <dc:creator>*</dc:creator>
  <cp:lastModifiedBy>*</cp:lastModifiedBy>
  <dcterms:modified xsi:type="dcterms:W3CDTF">2022-08-31T01:22:13Z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