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0E4" w:rsidRDefault="006B66C3">
      <w:pPr>
        <w:spacing w:line="579" w:lineRule="exact"/>
        <w:rPr>
          <w:rFonts w:eastAsia="黑体"/>
          <w:szCs w:val="32"/>
        </w:rPr>
      </w:pPr>
      <w:r>
        <w:rPr>
          <w:rFonts w:eastAsia="黑体"/>
          <w:szCs w:val="32"/>
        </w:rPr>
        <w:t>附件</w:t>
      </w:r>
      <w:r>
        <w:rPr>
          <w:rFonts w:eastAsia="黑体"/>
          <w:szCs w:val="32"/>
        </w:rPr>
        <w:t>1</w:t>
      </w:r>
    </w:p>
    <w:p w:rsidR="004F60E4" w:rsidRDefault="004F60E4">
      <w:pPr>
        <w:snapToGrid w:val="0"/>
        <w:spacing w:line="579" w:lineRule="exact"/>
        <w:jc w:val="center"/>
        <w:rPr>
          <w:b/>
          <w:bCs/>
          <w:sz w:val="48"/>
          <w:szCs w:val="48"/>
        </w:rPr>
      </w:pPr>
    </w:p>
    <w:p w:rsidR="004F60E4" w:rsidRDefault="006B66C3">
      <w:pPr>
        <w:spacing w:line="579" w:lineRule="exact"/>
        <w:jc w:val="center"/>
        <w:rPr>
          <w:rFonts w:eastAsia="方正小标宋简体"/>
          <w:sz w:val="44"/>
          <w:szCs w:val="32"/>
        </w:rPr>
      </w:pPr>
      <w:r>
        <w:rPr>
          <w:rFonts w:eastAsia="方正小标宋简体" w:hint="eastAsia"/>
          <w:sz w:val="44"/>
          <w:szCs w:val="32"/>
        </w:rPr>
        <w:t>关于进一步加强财政金融支持未来社区</w:t>
      </w:r>
    </w:p>
    <w:p w:rsidR="004F60E4" w:rsidRDefault="006B66C3">
      <w:pPr>
        <w:spacing w:line="579" w:lineRule="exact"/>
        <w:jc w:val="center"/>
        <w:rPr>
          <w:rFonts w:eastAsia="方正小标宋简体"/>
          <w:sz w:val="44"/>
          <w:szCs w:val="32"/>
        </w:rPr>
      </w:pPr>
      <w:r>
        <w:rPr>
          <w:rFonts w:eastAsia="方正小标宋简体" w:hint="eastAsia"/>
          <w:sz w:val="44"/>
          <w:szCs w:val="32"/>
        </w:rPr>
        <w:t>试点建设的意见</w:t>
      </w:r>
    </w:p>
    <w:p w:rsidR="004F60E4" w:rsidRDefault="004F60E4">
      <w:pPr>
        <w:spacing w:line="579" w:lineRule="exact"/>
        <w:jc w:val="center"/>
        <w:rPr>
          <w:rFonts w:eastAsia="楷体_GB2312"/>
          <w:szCs w:val="32"/>
        </w:rPr>
      </w:pPr>
    </w:p>
    <w:p w:rsidR="004F60E4" w:rsidRDefault="004F60E4" w:rsidP="001A1B0E">
      <w:pPr>
        <w:spacing w:line="579" w:lineRule="exact"/>
        <w:ind w:firstLineChars="200" w:firstLine="630"/>
        <w:rPr>
          <w:szCs w:val="32"/>
        </w:rPr>
      </w:pPr>
    </w:p>
    <w:p w:rsidR="004F60E4" w:rsidRDefault="006B66C3" w:rsidP="001A1B0E">
      <w:pPr>
        <w:spacing w:line="579" w:lineRule="exact"/>
        <w:ind w:firstLineChars="200" w:firstLine="630"/>
        <w:rPr>
          <w:szCs w:val="32"/>
        </w:rPr>
      </w:pPr>
      <w:r>
        <w:rPr>
          <w:rFonts w:hint="eastAsia"/>
          <w:szCs w:val="32"/>
        </w:rPr>
        <w:t>根据《浙江省人民政府关于印发浙江省未来社区建设试点工作方案的通知》（浙政发〔</w:t>
      </w:r>
      <w:r>
        <w:rPr>
          <w:szCs w:val="32"/>
        </w:rPr>
        <w:t>2019</w:t>
      </w:r>
      <w:r>
        <w:rPr>
          <w:rFonts w:hint="eastAsia"/>
          <w:szCs w:val="32"/>
        </w:rPr>
        <w:t>〕</w:t>
      </w:r>
      <w:r>
        <w:rPr>
          <w:szCs w:val="32"/>
        </w:rPr>
        <w:t>8</w:t>
      </w:r>
      <w:r>
        <w:rPr>
          <w:rFonts w:hint="eastAsia"/>
          <w:szCs w:val="32"/>
        </w:rPr>
        <w:t>号）、《浙江省人民政府办公厅关于高质量加快推进未来社区试点建设工作的意见》（浙政办发〔</w:t>
      </w:r>
      <w:r>
        <w:rPr>
          <w:szCs w:val="32"/>
        </w:rPr>
        <w:t>2019</w:t>
      </w:r>
      <w:r>
        <w:rPr>
          <w:rFonts w:hint="eastAsia"/>
          <w:szCs w:val="32"/>
        </w:rPr>
        <w:t>〕</w:t>
      </w:r>
      <w:r>
        <w:rPr>
          <w:szCs w:val="32"/>
        </w:rPr>
        <w:t>60</w:t>
      </w:r>
      <w:r>
        <w:rPr>
          <w:rFonts w:hint="eastAsia"/>
          <w:szCs w:val="32"/>
        </w:rPr>
        <w:t>号）精神，现就进一步加强财政金融支持未来社区试点建设提出以下意见：</w:t>
      </w:r>
    </w:p>
    <w:p w:rsidR="004F60E4" w:rsidRDefault="006B66C3" w:rsidP="001A1B0E">
      <w:pPr>
        <w:spacing w:line="579" w:lineRule="exact"/>
        <w:ind w:firstLineChars="200" w:firstLine="630"/>
        <w:rPr>
          <w:szCs w:val="32"/>
        </w:rPr>
      </w:pPr>
      <w:r>
        <w:rPr>
          <w:rFonts w:eastAsia="黑体"/>
          <w:szCs w:val="32"/>
        </w:rPr>
        <w:t>一、明确重大民生工程定位。</w:t>
      </w:r>
      <w:r>
        <w:rPr>
          <w:rFonts w:hint="eastAsia"/>
          <w:szCs w:val="32"/>
        </w:rPr>
        <w:t>未来社区是以人为核心的城市现代化大平台。未来社区试点建设聚焦上世纪</w:t>
      </w:r>
      <w:r>
        <w:rPr>
          <w:szCs w:val="32"/>
        </w:rPr>
        <w:t>70-90</w:t>
      </w:r>
      <w:r>
        <w:rPr>
          <w:rFonts w:hint="eastAsia"/>
          <w:szCs w:val="32"/>
        </w:rPr>
        <w:t>年代老旧小区改造更新，落实系统设计、去房地产化要求，立足建设运营资金总体平衡，着力提升广大群众生活品质，具有鲜明的民生导向性，是重大的民生工程。要积极引导财政金融支持未来社区试点建设可持续推进，确保群众搬得进、住得起、过得好。</w:t>
      </w:r>
    </w:p>
    <w:p w:rsidR="004F60E4" w:rsidRDefault="006B66C3" w:rsidP="001A1B0E">
      <w:pPr>
        <w:spacing w:line="579" w:lineRule="exact"/>
        <w:ind w:firstLineChars="200" w:firstLine="630"/>
        <w:rPr>
          <w:szCs w:val="32"/>
        </w:rPr>
      </w:pPr>
      <w:r>
        <w:rPr>
          <w:rFonts w:eastAsia="黑体"/>
          <w:szCs w:val="32"/>
        </w:rPr>
        <w:t>二、加大银行信贷支持力度。</w:t>
      </w:r>
      <w:r>
        <w:rPr>
          <w:rFonts w:hint="eastAsia"/>
          <w:szCs w:val="32"/>
        </w:rPr>
        <w:t>按市场化、商业可持续原则，鼓励金融机构积极探索，可通过专项授信、银团贷款、</w:t>
      </w:r>
      <w:proofErr w:type="gramStart"/>
      <w:r>
        <w:rPr>
          <w:rFonts w:hint="eastAsia"/>
          <w:szCs w:val="32"/>
        </w:rPr>
        <w:t>债贷结合</w:t>
      </w:r>
      <w:proofErr w:type="gramEnd"/>
      <w:r>
        <w:rPr>
          <w:rFonts w:hint="eastAsia"/>
          <w:szCs w:val="32"/>
        </w:rPr>
        <w:t>等多种方式为未来社区</w:t>
      </w:r>
      <w:r>
        <w:rPr>
          <w:rFonts w:hint="eastAsia"/>
          <w:szCs w:val="32"/>
        </w:rPr>
        <w:t>试点建设</w:t>
      </w:r>
      <w:r>
        <w:rPr>
          <w:rFonts w:hint="eastAsia"/>
          <w:szCs w:val="32"/>
        </w:rPr>
        <w:t>全过程提供融资支持。坚持“房住不炒”前提下，鼓励金融机构在国家有关信贷政策总体框架内，对未来社区相关项目实施</w:t>
      </w:r>
      <w:proofErr w:type="gramStart"/>
      <w:r>
        <w:rPr>
          <w:rFonts w:hint="eastAsia"/>
          <w:szCs w:val="32"/>
        </w:rPr>
        <w:t>差异化授信</w:t>
      </w:r>
      <w:proofErr w:type="gramEnd"/>
      <w:r>
        <w:rPr>
          <w:rFonts w:hint="eastAsia"/>
          <w:szCs w:val="32"/>
        </w:rPr>
        <w:t>管理，落实专项信贷额度，</w:t>
      </w:r>
      <w:r>
        <w:rPr>
          <w:rFonts w:hint="eastAsia"/>
          <w:szCs w:val="32"/>
        </w:rPr>
        <w:lastRenderedPageBreak/>
        <w:t>提高信贷审批和服务效率，满足相关主体合理融资需求。</w:t>
      </w:r>
    </w:p>
    <w:p w:rsidR="004F60E4" w:rsidRDefault="006B66C3" w:rsidP="001A1B0E">
      <w:pPr>
        <w:spacing w:line="579" w:lineRule="exact"/>
        <w:ind w:firstLineChars="200" w:firstLine="630"/>
        <w:rPr>
          <w:szCs w:val="32"/>
        </w:rPr>
      </w:pPr>
      <w:r>
        <w:rPr>
          <w:rFonts w:eastAsia="黑体"/>
          <w:szCs w:val="32"/>
        </w:rPr>
        <w:t>三、精准授</w:t>
      </w:r>
      <w:proofErr w:type="gramStart"/>
      <w:r>
        <w:rPr>
          <w:rFonts w:eastAsia="黑体"/>
          <w:szCs w:val="32"/>
        </w:rPr>
        <w:t>信加强</w:t>
      </w:r>
      <w:proofErr w:type="gramEnd"/>
      <w:r>
        <w:rPr>
          <w:rFonts w:eastAsia="黑体"/>
          <w:szCs w:val="32"/>
        </w:rPr>
        <w:t>还贷保障。</w:t>
      </w:r>
      <w:r>
        <w:rPr>
          <w:rFonts w:hint="eastAsia"/>
          <w:szCs w:val="32"/>
        </w:rPr>
        <w:t>加强融资需求和信贷投放精准对接，支持银行业金</w:t>
      </w:r>
      <w:r>
        <w:rPr>
          <w:szCs w:val="32"/>
        </w:rPr>
        <w:t>融机构</w:t>
      </w:r>
      <w:r>
        <w:rPr>
          <w:rFonts w:hint="eastAsia"/>
          <w:szCs w:val="32"/>
        </w:rPr>
        <w:t>在试点项目实施方案编制期间即开展</w:t>
      </w:r>
      <w:r>
        <w:rPr>
          <w:szCs w:val="32"/>
        </w:rPr>
        <w:t>信贷计划评估指导。</w:t>
      </w:r>
      <w:r>
        <w:rPr>
          <w:bCs/>
          <w:szCs w:val="32"/>
        </w:rPr>
        <w:t>建立</w:t>
      </w:r>
      <w:r>
        <w:rPr>
          <w:rFonts w:hint="eastAsia"/>
          <w:bCs/>
          <w:szCs w:val="32"/>
        </w:rPr>
        <w:t>“未来社区”</w:t>
      </w:r>
      <w:r>
        <w:rPr>
          <w:bCs/>
          <w:szCs w:val="32"/>
        </w:rPr>
        <w:t>贷款还款保障制度</w:t>
      </w:r>
      <w:r>
        <w:rPr>
          <w:rFonts w:hint="eastAsia"/>
          <w:bCs/>
          <w:szCs w:val="32"/>
        </w:rPr>
        <w:t>，</w:t>
      </w:r>
      <w:r>
        <w:rPr>
          <w:szCs w:val="32"/>
        </w:rPr>
        <w:t>支持将土地、在建工程或现房作为抵押资产，</w:t>
      </w:r>
      <w:r>
        <w:rPr>
          <w:rFonts w:hint="eastAsia"/>
          <w:szCs w:val="32"/>
        </w:rPr>
        <w:t>增强试点项目还贷保障，</w:t>
      </w:r>
      <w:r>
        <w:rPr>
          <w:szCs w:val="32"/>
        </w:rPr>
        <w:t>当抵押资产无法覆盖贷款时由第三方担保补充增信。</w:t>
      </w:r>
      <w:r>
        <w:rPr>
          <w:rFonts w:hint="eastAsia"/>
          <w:szCs w:val="32"/>
        </w:rPr>
        <w:t>给予试点项目建设单位房屋预售政策支持。</w:t>
      </w:r>
    </w:p>
    <w:p w:rsidR="004F60E4" w:rsidRDefault="006B66C3" w:rsidP="001A1B0E">
      <w:pPr>
        <w:spacing w:line="579" w:lineRule="exact"/>
        <w:ind w:left="1" w:firstLineChars="200" w:firstLine="630"/>
        <w:rPr>
          <w:szCs w:val="32"/>
        </w:rPr>
      </w:pPr>
      <w:r>
        <w:rPr>
          <w:rFonts w:eastAsia="黑体"/>
          <w:szCs w:val="32"/>
        </w:rPr>
        <w:t>四、畅通金</w:t>
      </w:r>
      <w:r>
        <w:rPr>
          <w:rFonts w:eastAsia="黑体"/>
          <w:szCs w:val="32"/>
        </w:rPr>
        <w:t>融多元支持渠道。</w:t>
      </w:r>
      <w:r>
        <w:rPr>
          <w:rFonts w:hint="eastAsia"/>
          <w:szCs w:val="32"/>
        </w:rPr>
        <w:t>鼓励多渠道加大金融支持</w:t>
      </w:r>
      <w:r>
        <w:rPr>
          <w:szCs w:val="32"/>
        </w:rPr>
        <w:t>，以股权受让和合作开发等形式联合</w:t>
      </w:r>
      <w:r>
        <w:rPr>
          <w:rFonts w:hint="eastAsia"/>
          <w:szCs w:val="32"/>
        </w:rPr>
        <w:t>未来社区市场化建设、</w:t>
      </w:r>
      <w:r>
        <w:rPr>
          <w:szCs w:val="32"/>
        </w:rPr>
        <w:t>运营主体，</w:t>
      </w:r>
      <w:r>
        <w:rPr>
          <w:rFonts w:hint="eastAsia"/>
          <w:szCs w:val="32"/>
        </w:rPr>
        <w:t>通过</w:t>
      </w:r>
      <w:r>
        <w:rPr>
          <w:szCs w:val="32"/>
        </w:rPr>
        <w:t>债权、股权和信托计划等融资方式对试点项目予以支持，形成投资</w:t>
      </w:r>
      <w:r>
        <w:rPr>
          <w:szCs w:val="32"/>
        </w:rPr>
        <w:t>-</w:t>
      </w:r>
      <w:r>
        <w:rPr>
          <w:szCs w:val="32"/>
        </w:rPr>
        <w:t>建设</w:t>
      </w:r>
      <w:r>
        <w:rPr>
          <w:szCs w:val="32"/>
        </w:rPr>
        <w:t>-</w:t>
      </w:r>
      <w:r>
        <w:rPr>
          <w:szCs w:val="32"/>
        </w:rPr>
        <w:t>运营共同体，共担风险，共享收益。探索发行未来社区</w:t>
      </w:r>
      <w:r>
        <w:rPr>
          <w:szCs w:val="32"/>
        </w:rPr>
        <w:t>REITs</w:t>
      </w:r>
      <w:r>
        <w:rPr>
          <w:szCs w:val="32"/>
        </w:rPr>
        <w:t>产品</w:t>
      </w:r>
      <w:r>
        <w:rPr>
          <w:rFonts w:hint="eastAsia"/>
          <w:szCs w:val="32"/>
        </w:rPr>
        <w:t>，推进未来社区项目融资证券化、抵押贷款证券化。</w:t>
      </w:r>
      <w:r>
        <w:rPr>
          <w:szCs w:val="32"/>
        </w:rPr>
        <w:t>引</w:t>
      </w:r>
      <w:r>
        <w:rPr>
          <w:rFonts w:hint="eastAsia"/>
          <w:szCs w:val="32"/>
        </w:rPr>
        <w:t>导</w:t>
      </w:r>
      <w:r>
        <w:rPr>
          <w:szCs w:val="32"/>
        </w:rPr>
        <w:t>保险机构、各类产业基金、上市公司资金及其他社会资金参与未来社区试点项目建设与运营，统筹社会金融资源，降低融资成本</w:t>
      </w:r>
      <w:r>
        <w:rPr>
          <w:bCs/>
          <w:szCs w:val="32"/>
        </w:rPr>
        <w:t>。</w:t>
      </w:r>
    </w:p>
    <w:p w:rsidR="004F60E4" w:rsidRDefault="006B66C3" w:rsidP="001A1B0E">
      <w:pPr>
        <w:spacing w:line="579" w:lineRule="exact"/>
        <w:ind w:firstLineChars="200" w:firstLine="630"/>
        <w:rPr>
          <w:szCs w:val="32"/>
        </w:rPr>
      </w:pPr>
      <w:r>
        <w:rPr>
          <w:rFonts w:eastAsia="黑体"/>
          <w:szCs w:val="32"/>
        </w:rPr>
        <w:t>五、规范土地出让收益管理。</w:t>
      </w:r>
      <w:r>
        <w:rPr>
          <w:szCs w:val="32"/>
        </w:rPr>
        <w:t>严格执行现行土地出让收</w:t>
      </w:r>
      <w:r>
        <w:rPr>
          <w:rFonts w:hint="eastAsia"/>
          <w:szCs w:val="32"/>
        </w:rPr>
        <w:t>入</w:t>
      </w:r>
      <w:r>
        <w:rPr>
          <w:szCs w:val="32"/>
        </w:rPr>
        <w:t>“</w:t>
      </w:r>
      <w:r>
        <w:rPr>
          <w:szCs w:val="32"/>
        </w:rPr>
        <w:t>收支两条线</w:t>
      </w:r>
      <w:r>
        <w:rPr>
          <w:szCs w:val="32"/>
        </w:rPr>
        <w:t>”</w:t>
      </w:r>
      <w:r>
        <w:rPr>
          <w:szCs w:val="32"/>
        </w:rPr>
        <w:t>管理制度</w:t>
      </w:r>
      <w:r>
        <w:rPr>
          <w:rFonts w:hint="eastAsia"/>
          <w:szCs w:val="32"/>
        </w:rPr>
        <w:t>，</w:t>
      </w:r>
      <w:r>
        <w:rPr>
          <w:szCs w:val="32"/>
        </w:rPr>
        <w:t>除国家和省另有规定外，改造更新类试点项目</w:t>
      </w:r>
      <w:r>
        <w:rPr>
          <w:rFonts w:hint="eastAsia"/>
          <w:szCs w:val="32"/>
        </w:rPr>
        <w:t>对应</w:t>
      </w:r>
      <w:r>
        <w:rPr>
          <w:szCs w:val="32"/>
        </w:rPr>
        <w:t>土地出让收益，剔除上缴国家部分，其余全部用于</w:t>
      </w:r>
      <w:r>
        <w:rPr>
          <w:rFonts w:hint="eastAsia"/>
          <w:szCs w:val="32"/>
        </w:rPr>
        <w:t>支持</w:t>
      </w:r>
      <w:r>
        <w:rPr>
          <w:szCs w:val="32"/>
        </w:rPr>
        <w:t>试点项目建设</w:t>
      </w:r>
      <w:r>
        <w:rPr>
          <w:rFonts w:hint="eastAsia"/>
          <w:szCs w:val="32"/>
        </w:rPr>
        <w:t>，其中，按国家和省规定计提留存</w:t>
      </w:r>
      <w:r>
        <w:rPr>
          <w:rFonts w:hint="eastAsia"/>
          <w:szCs w:val="32"/>
        </w:rPr>
        <w:t>市县</w:t>
      </w:r>
      <w:r>
        <w:rPr>
          <w:rFonts w:hint="eastAsia"/>
          <w:szCs w:val="32"/>
        </w:rPr>
        <w:t>部分，按规定用途依申请用于未来社区建设，保障资金总体平衡。</w:t>
      </w:r>
    </w:p>
    <w:p w:rsidR="004F60E4" w:rsidRDefault="006B66C3" w:rsidP="001A1B0E">
      <w:pPr>
        <w:spacing w:line="579" w:lineRule="exact"/>
        <w:ind w:firstLineChars="200" w:firstLine="630"/>
      </w:pPr>
      <w:r>
        <w:rPr>
          <w:rFonts w:eastAsia="黑体"/>
          <w:szCs w:val="32"/>
        </w:rPr>
        <w:t>六、建立完善监管激励机制。</w:t>
      </w:r>
      <w:r>
        <w:rPr>
          <w:szCs w:val="32"/>
        </w:rPr>
        <w:t>设定</w:t>
      </w:r>
      <w:r>
        <w:rPr>
          <w:szCs w:val="32"/>
        </w:rPr>
        <w:t>“</w:t>
      </w:r>
      <w:r>
        <w:rPr>
          <w:szCs w:val="32"/>
        </w:rPr>
        <w:t>三级监管责任</w:t>
      </w:r>
      <w:r>
        <w:rPr>
          <w:szCs w:val="32"/>
        </w:rPr>
        <w:t>”</w:t>
      </w:r>
      <w:r>
        <w:rPr>
          <w:szCs w:val="32"/>
        </w:rPr>
        <w:t>，从省级、县（市、区）级、社区级等层面确保资金管理有序，</w:t>
      </w:r>
      <w:r>
        <w:rPr>
          <w:rFonts w:hint="eastAsia"/>
          <w:szCs w:val="32"/>
        </w:rPr>
        <w:t>实施全过程</w:t>
      </w:r>
      <w:r>
        <w:rPr>
          <w:rFonts w:hint="eastAsia"/>
          <w:szCs w:val="32"/>
        </w:rPr>
        <w:lastRenderedPageBreak/>
        <w:t>预算绩效管理，</w:t>
      </w:r>
      <w:r>
        <w:rPr>
          <w:szCs w:val="32"/>
        </w:rPr>
        <w:t>提高</w:t>
      </w:r>
      <w:r>
        <w:rPr>
          <w:rFonts w:hint="eastAsia"/>
          <w:szCs w:val="32"/>
        </w:rPr>
        <w:t>财政</w:t>
      </w:r>
      <w:r>
        <w:rPr>
          <w:szCs w:val="32"/>
        </w:rPr>
        <w:t>资金使用绩效。项目</w:t>
      </w:r>
      <w:r>
        <w:rPr>
          <w:rFonts w:hint="eastAsia"/>
          <w:szCs w:val="32"/>
        </w:rPr>
        <w:t>建设单位为试点建设承担的负债</w:t>
      </w:r>
      <w:r>
        <w:rPr>
          <w:szCs w:val="32"/>
        </w:rPr>
        <w:t>，</w:t>
      </w:r>
      <w:r>
        <w:rPr>
          <w:rFonts w:hint="eastAsia"/>
          <w:szCs w:val="32"/>
        </w:rPr>
        <w:t>由项目建设单位自行承担偿还责任</w:t>
      </w:r>
      <w:r>
        <w:rPr>
          <w:szCs w:val="32"/>
        </w:rPr>
        <w:t>。</w:t>
      </w:r>
      <w:r>
        <w:rPr>
          <w:rFonts w:hint="eastAsia"/>
        </w:rPr>
        <w:t>银行业金融机构要按照有关规定，切实加强风险识别和风险管理，会同地方政府做好资金封闭监管。</w:t>
      </w:r>
      <w:r>
        <w:rPr>
          <w:rFonts w:hint="eastAsia"/>
          <w:szCs w:val="32"/>
        </w:rPr>
        <w:t>积极争取</w:t>
      </w:r>
      <w:r>
        <w:rPr>
          <w:szCs w:val="32"/>
        </w:rPr>
        <w:t>国家</w:t>
      </w:r>
      <w:r>
        <w:rPr>
          <w:rFonts w:hint="eastAsia"/>
          <w:szCs w:val="32"/>
        </w:rPr>
        <w:t>城市更新等</w:t>
      </w:r>
      <w:r>
        <w:rPr>
          <w:szCs w:val="32"/>
        </w:rPr>
        <w:t>相关资金补助</w:t>
      </w:r>
      <w:r>
        <w:rPr>
          <w:rFonts w:hint="eastAsia"/>
          <w:szCs w:val="32"/>
        </w:rPr>
        <w:t>，</w:t>
      </w:r>
      <w:r>
        <w:rPr>
          <w:szCs w:val="32"/>
        </w:rPr>
        <w:t>科学引导省市各类</w:t>
      </w:r>
      <w:r>
        <w:rPr>
          <w:szCs w:val="32"/>
        </w:rPr>
        <w:t>专项资金优先</w:t>
      </w:r>
      <w:r>
        <w:rPr>
          <w:rFonts w:hint="eastAsia"/>
          <w:szCs w:val="32"/>
        </w:rPr>
        <w:t>支持</w:t>
      </w:r>
      <w:r>
        <w:rPr>
          <w:szCs w:val="32"/>
        </w:rPr>
        <w:t>试点项目。</w:t>
      </w:r>
      <w:r>
        <w:rPr>
          <w:rFonts w:hint="eastAsia"/>
          <w:szCs w:val="32"/>
        </w:rPr>
        <w:t>省财政通过注资支持成立未来社区建设基金，同时对</w:t>
      </w:r>
      <w:proofErr w:type="gramStart"/>
      <w:r>
        <w:rPr>
          <w:rFonts w:hint="eastAsia"/>
          <w:szCs w:val="32"/>
        </w:rPr>
        <w:t>进展成效</w:t>
      </w:r>
      <w:proofErr w:type="gramEnd"/>
      <w:r>
        <w:rPr>
          <w:rFonts w:hint="eastAsia"/>
          <w:szCs w:val="32"/>
        </w:rPr>
        <w:t>突出的县（市、区）</w:t>
      </w:r>
      <w:r>
        <w:rPr>
          <w:szCs w:val="32"/>
        </w:rPr>
        <w:t>予以奖励并适当</w:t>
      </w:r>
      <w:proofErr w:type="gramStart"/>
      <w:r>
        <w:rPr>
          <w:szCs w:val="32"/>
        </w:rPr>
        <w:t>向加快</w:t>
      </w:r>
      <w:proofErr w:type="gramEnd"/>
      <w:r>
        <w:rPr>
          <w:szCs w:val="32"/>
        </w:rPr>
        <w:t>发展</w:t>
      </w:r>
      <w:r>
        <w:rPr>
          <w:rFonts w:hint="eastAsia"/>
          <w:szCs w:val="32"/>
        </w:rPr>
        <w:t>地区</w:t>
      </w:r>
      <w:r>
        <w:rPr>
          <w:szCs w:val="32"/>
        </w:rPr>
        <w:t>倾斜</w:t>
      </w:r>
      <w:r>
        <w:rPr>
          <w:rFonts w:hint="eastAsia"/>
          <w:szCs w:val="32"/>
        </w:rPr>
        <w:t>。</w:t>
      </w:r>
      <w:r>
        <w:rPr>
          <w:szCs w:val="32"/>
        </w:rPr>
        <w:t xml:space="preserve"> </w:t>
      </w:r>
    </w:p>
    <w:sectPr w:rsidR="004F60E4" w:rsidSect="004F60E4">
      <w:footerReference w:type="even" r:id="rId7"/>
      <w:footerReference w:type="default" r:id="rId8"/>
      <w:pgSz w:w="11906" w:h="16838"/>
      <w:pgMar w:top="2098" w:right="1474" w:bottom="1985" w:left="1588" w:header="851" w:footer="1588" w:gutter="0"/>
      <w:cols w:space="720"/>
      <w:docGrid w:type="linesAndChars" w:linePitch="579"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6C3" w:rsidRDefault="006B66C3" w:rsidP="004F60E4">
      <w:r>
        <w:separator/>
      </w:r>
    </w:p>
  </w:endnote>
  <w:endnote w:type="continuationSeparator" w:id="0">
    <w:p w:rsidR="006B66C3" w:rsidRDefault="006B66C3" w:rsidP="004F60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E4" w:rsidRDefault="006B66C3">
    <w:pPr>
      <w:pStyle w:val="a6"/>
      <w:framePr w:wrap="around" w:vAnchor="text" w:hAnchor="margin" w:xAlign="outside" w:y="1"/>
      <w:ind w:firstLineChars="100" w:firstLine="280"/>
      <w:rPr>
        <w:rStyle w:val="aa"/>
        <w:sz w:val="28"/>
        <w:szCs w:val="28"/>
      </w:rPr>
    </w:pPr>
    <w:proofErr w:type="gramStart"/>
    <w:r>
      <w:rPr>
        <w:rStyle w:val="aa"/>
        <w:sz w:val="28"/>
        <w:szCs w:val="28"/>
      </w:rPr>
      <w:t xml:space="preserve">— </w:t>
    </w:r>
    <w:r>
      <w:rPr>
        <w:rStyle w:val="aa"/>
        <w:rFonts w:hint="eastAsia"/>
        <w:sz w:val="28"/>
        <w:szCs w:val="28"/>
      </w:rPr>
      <w:t xml:space="preserve"> </w:t>
    </w:r>
    <w:proofErr w:type="gramEnd"/>
    <w:r w:rsidR="004F60E4">
      <w:rPr>
        <w:sz w:val="28"/>
        <w:szCs w:val="28"/>
      </w:rPr>
      <w:fldChar w:fldCharType="begin"/>
    </w:r>
    <w:r>
      <w:rPr>
        <w:rStyle w:val="aa"/>
        <w:sz w:val="28"/>
        <w:szCs w:val="28"/>
      </w:rPr>
      <w:instrText xml:space="preserve">PAGE  </w:instrText>
    </w:r>
    <w:r w:rsidR="004F60E4">
      <w:rPr>
        <w:sz w:val="28"/>
        <w:szCs w:val="28"/>
      </w:rPr>
      <w:fldChar w:fldCharType="separate"/>
    </w:r>
    <w:r w:rsidR="001A1B0E">
      <w:rPr>
        <w:rStyle w:val="aa"/>
        <w:noProof/>
        <w:sz w:val="28"/>
        <w:szCs w:val="28"/>
      </w:rPr>
      <w:t>2</w:t>
    </w:r>
    <w:r w:rsidR="004F60E4">
      <w:rPr>
        <w:sz w:val="28"/>
        <w:szCs w:val="28"/>
      </w:rPr>
      <w:fldChar w:fldCharType="end"/>
    </w:r>
    <w:r>
      <w:rPr>
        <w:rStyle w:val="aa"/>
        <w:sz w:val="28"/>
        <w:szCs w:val="28"/>
      </w:rPr>
      <w:t xml:space="preserve"> </w:t>
    </w:r>
    <w:r>
      <w:rPr>
        <w:rStyle w:val="aa"/>
        <w:rFonts w:hint="eastAsia"/>
        <w:sz w:val="28"/>
        <w:szCs w:val="28"/>
      </w:rPr>
      <w:t xml:space="preserve"> </w:t>
    </w:r>
    <w:r>
      <w:rPr>
        <w:rStyle w:val="aa"/>
        <w:sz w:val="28"/>
        <w:szCs w:val="28"/>
      </w:rPr>
      <w:t>—</w:t>
    </w:r>
  </w:p>
  <w:p w:rsidR="004F60E4" w:rsidRDefault="004F60E4">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E4" w:rsidRDefault="006B66C3">
    <w:pPr>
      <w:pStyle w:val="a6"/>
      <w:framePr w:wrap="around" w:vAnchor="text" w:hAnchor="page" w:x="8806" w:y="3"/>
      <w:rPr>
        <w:rStyle w:val="aa"/>
        <w:sz w:val="28"/>
        <w:szCs w:val="28"/>
      </w:rPr>
    </w:pPr>
    <w:proofErr w:type="gramStart"/>
    <w:r>
      <w:rPr>
        <w:rStyle w:val="aa"/>
        <w:sz w:val="28"/>
        <w:szCs w:val="28"/>
      </w:rPr>
      <w:t>—</w:t>
    </w:r>
    <w:r>
      <w:rPr>
        <w:rStyle w:val="aa"/>
        <w:rFonts w:hint="eastAsia"/>
        <w:sz w:val="28"/>
        <w:szCs w:val="28"/>
      </w:rPr>
      <w:t xml:space="preserve"> </w:t>
    </w:r>
    <w:r>
      <w:rPr>
        <w:rStyle w:val="aa"/>
        <w:sz w:val="28"/>
        <w:szCs w:val="28"/>
      </w:rPr>
      <w:t xml:space="preserve"> </w:t>
    </w:r>
    <w:proofErr w:type="gramEnd"/>
    <w:r w:rsidR="004F60E4">
      <w:rPr>
        <w:sz w:val="28"/>
        <w:szCs w:val="28"/>
      </w:rPr>
      <w:fldChar w:fldCharType="begin"/>
    </w:r>
    <w:r>
      <w:rPr>
        <w:rStyle w:val="aa"/>
        <w:sz w:val="28"/>
        <w:szCs w:val="28"/>
      </w:rPr>
      <w:instrText xml:space="preserve">PAGE  </w:instrText>
    </w:r>
    <w:r w:rsidR="004F60E4">
      <w:rPr>
        <w:sz w:val="28"/>
        <w:szCs w:val="28"/>
      </w:rPr>
      <w:fldChar w:fldCharType="separate"/>
    </w:r>
    <w:r w:rsidR="001A1B0E">
      <w:rPr>
        <w:rStyle w:val="aa"/>
        <w:noProof/>
        <w:sz w:val="28"/>
        <w:szCs w:val="28"/>
      </w:rPr>
      <w:t>1</w:t>
    </w:r>
    <w:r w:rsidR="004F60E4">
      <w:rPr>
        <w:sz w:val="28"/>
        <w:szCs w:val="28"/>
      </w:rPr>
      <w:fldChar w:fldCharType="end"/>
    </w:r>
    <w:r>
      <w:rPr>
        <w:rStyle w:val="aa"/>
        <w:rFonts w:hint="eastAsia"/>
        <w:sz w:val="28"/>
        <w:szCs w:val="28"/>
      </w:rPr>
      <w:t xml:space="preserve"> </w:t>
    </w:r>
    <w:r>
      <w:rPr>
        <w:rStyle w:val="aa"/>
        <w:sz w:val="28"/>
        <w:szCs w:val="28"/>
      </w:rPr>
      <w:t xml:space="preserve"> —</w:t>
    </w:r>
  </w:p>
  <w:p w:rsidR="004F60E4" w:rsidRDefault="004F60E4">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6C3" w:rsidRDefault="006B66C3" w:rsidP="004F60E4">
      <w:r>
        <w:separator/>
      </w:r>
    </w:p>
  </w:footnote>
  <w:footnote w:type="continuationSeparator" w:id="0">
    <w:p w:rsidR="006B66C3" w:rsidRDefault="006B66C3" w:rsidP="004F60E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钟国群">
    <w15:presenceInfo w15:providerId="None" w15:userId="钟国群"/>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forms" w:enforcement="0"/>
  <w:defaultTabStop w:val="425"/>
  <w:evenAndOddHeaders/>
  <w:drawingGridHorizontalSpacing w:val="315"/>
  <w:drawingGridVerticalSpacing w:val="579"/>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KGWebUrl" w:val="http://10.200.0.150:80/seeyon/officeservlet"/>
  </w:docVars>
  <w:rsids>
    <w:rsidRoot w:val="004609E5"/>
    <w:rsid w:val="00062EFC"/>
    <w:rsid w:val="000854CA"/>
    <w:rsid w:val="00087020"/>
    <w:rsid w:val="000A5205"/>
    <w:rsid w:val="00115E31"/>
    <w:rsid w:val="001636AA"/>
    <w:rsid w:val="001A1B0E"/>
    <w:rsid w:val="001C5ABE"/>
    <w:rsid w:val="002015A0"/>
    <w:rsid w:val="00233B6C"/>
    <w:rsid w:val="0023542C"/>
    <w:rsid w:val="0026799A"/>
    <w:rsid w:val="00295E99"/>
    <w:rsid w:val="002A2841"/>
    <w:rsid w:val="00320D3E"/>
    <w:rsid w:val="003274F5"/>
    <w:rsid w:val="00386714"/>
    <w:rsid w:val="00392AAC"/>
    <w:rsid w:val="003B0A8D"/>
    <w:rsid w:val="003E7117"/>
    <w:rsid w:val="003F0015"/>
    <w:rsid w:val="004420F4"/>
    <w:rsid w:val="004609E5"/>
    <w:rsid w:val="00487C5F"/>
    <w:rsid w:val="0049017D"/>
    <w:rsid w:val="004A3766"/>
    <w:rsid w:val="004D543C"/>
    <w:rsid w:val="004F60E4"/>
    <w:rsid w:val="00555EB6"/>
    <w:rsid w:val="005772F1"/>
    <w:rsid w:val="005A6D21"/>
    <w:rsid w:val="005F48E9"/>
    <w:rsid w:val="006111C1"/>
    <w:rsid w:val="00615DA3"/>
    <w:rsid w:val="006160CC"/>
    <w:rsid w:val="0062085E"/>
    <w:rsid w:val="00637484"/>
    <w:rsid w:val="006B244B"/>
    <w:rsid w:val="006B66C3"/>
    <w:rsid w:val="006E284E"/>
    <w:rsid w:val="006F1DB1"/>
    <w:rsid w:val="00764926"/>
    <w:rsid w:val="0086131E"/>
    <w:rsid w:val="00872774"/>
    <w:rsid w:val="00873E06"/>
    <w:rsid w:val="008918EB"/>
    <w:rsid w:val="008A30B9"/>
    <w:rsid w:val="008F468D"/>
    <w:rsid w:val="00936ABE"/>
    <w:rsid w:val="009559E7"/>
    <w:rsid w:val="00992766"/>
    <w:rsid w:val="009A17CE"/>
    <w:rsid w:val="009B0E13"/>
    <w:rsid w:val="009B67BA"/>
    <w:rsid w:val="009D05BE"/>
    <w:rsid w:val="009D0DAE"/>
    <w:rsid w:val="009E7F6C"/>
    <w:rsid w:val="009F5CE4"/>
    <w:rsid w:val="00A27CCA"/>
    <w:rsid w:val="00A4175E"/>
    <w:rsid w:val="00A51082"/>
    <w:rsid w:val="00A937ED"/>
    <w:rsid w:val="00AA455E"/>
    <w:rsid w:val="00B066B3"/>
    <w:rsid w:val="00B16036"/>
    <w:rsid w:val="00B3210D"/>
    <w:rsid w:val="00B35A59"/>
    <w:rsid w:val="00B568D4"/>
    <w:rsid w:val="00B6170C"/>
    <w:rsid w:val="00B85DBE"/>
    <w:rsid w:val="00C20B05"/>
    <w:rsid w:val="00C26149"/>
    <w:rsid w:val="00C32EFF"/>
    <w:rsid w:val="00D260CF"/>
    <w:rsid w:val="00D860E5"/>
    <w:rsid w:val="00DC3424"/>
    <w:rsid w:val="00E141C1"/>
    <w:rsid w:val="00E236D4"/>
    <w:rsid w:val="00E2621F"/>
    <w:rsid w:val="00E8329E"/>
    <w:rsid w:val="00EB1C6D"/>
    <w:rsid w:val="00EF1FCF"/>
    <w:rsid w:val="00F057C1"/>
    <w:rsid w:val="00F14BD8"/>
    <w:rsid w:val="00F23639"/>
    <w:rsid w:val="00F24574"/>
    <w:rsid w:val="00F44510"/>
    <w:rsid w:val="00F47701"/>
    <w:rsid w:val="00F47A54"/>
    <w:rsid w:val="00F7071D"/>
    <w:rsid w:val="00F709BB"/>
    <w:rsid w:val="00F763F4"/>
    <w:rsid w:val="00F90F8E"/>
    <w:rsid w:val="00FB7489"/>
    <w:rsid w:val="00FD5073"/>
    <w:rsid w:val="07BC6B86"/>
    <w:rsid w:val="180709DE"/>
    <w:rsid w:val="1E0B458B"/>
    <w:rsid w:val="26157631"/>
    <w:rsid w:val="30C146D3"/>
    <w:rsid w:val="366C086C"/>
    <w:rsid w:val="42615989"/>
    <w:rsid w:val="4436727B"/>
    <w:rsid w:val="44755057"/>
    <w:rsid w:val="46BB6557"/>
    <w:rsid w:val="4DE15BAD"/>
    <w:rsid w:val="53F67043"/>
    <w:rsid w:val="58AA778F"/>
    <w:rsid w:val="5EFD6A9D"/>
    <w:rsid w:val="6EBF5558"/>
    <w:rsid w:val="7FD133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uiPriority="1" w:unhideWhenUsed="1"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60E4"/>
    <w:pPr>
      <w:widowControl w:val="0"/>
      <w:jc w:val="both"/>
    </w:pPr>
    <w:rPr>
      <w:rFonts w:eastAsia="仿宋_GB2312"/>
      <w:kern w:val="2"/>
      <w:sz w:val="32"/>
    </w:rPr>
  </w:style>
  <w:style w:type="paragraph" w:styleId="2">
    <w:name w:val="heading 2"/>
    <w:basedOn w:val="a"/>
    <w:next w:val="a"/>
    <w:unhideWhenUsed/>
    <w:qFormat/>
    <w:rsid w:val="004F60E4"/>
    <w:pPr>
      <w:spacing w:beforeAutospacing="1" w:afterAutospacing="1"/>
      <w:jc w:val="left"/>
      <w:outlineLvl w:val="1"/>
    </w:pPr>
    <w:rPr>
      <w:rFonts w:ascii="宋体" w:eastAsia="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4F60E4"/>
    <w:pPr>
      <w:jc w:val="left"/>
    </w:pPr>
  </w:style>
  <w:style w:type="paragraph" w:styleId="a4">
    <w:name w:val="Date"/>
    <w:basedOn w:val="a"/>
    <w:next w:val="a"/>
    <w:link w:val="Char"/>
    <w:qFormat/>
    <w:rsid w:val="004F60E4"/>
    <w:pPr>
      <w:ind w:leftChars="2500" w:left="100"/>
    </w:pPr>
    <w:rPr>
      <w:rFonts w:ascii="Calibri" w:eastAsia="宋体" w:hAnsi="Calibri"/>
      <w:sz w:val="21"/>
      <w:szCs w:val="24"/>
    </w:rPr>
  </w:style>
  <w:style w:type="paragraph" w:styleId="a5">
    <w:name w:val="Balloon Text"/>
    <w:basedOn w:val="a"/>
    <w:qFormat/>
    <w:rsid w:val="004F60E4"/>
    <w:rPr>
      <w:sz w:val="18"/>
      <w:szCs w:val="18"/>
    </w:rPr>
  </w:style>
  <w:style w:type="paragraph" w:styleId="a6">
    <w:name w:val="footer"/>
    <w:basedOn w:val="a"/>
    <w:link w:val="Char1"/>
    <w:qFormat/>
    <w:rsid w:val="004F60E4"/>
    <w:pPr>
      <w:tabs>
        <w:tab w:val="center" w:pos="4153"/>
        <w:tab w:val="right" w:pos="8306"/>
      </w:tabs>
      <w:snapToGrid w:val="0"/>
      <w:jc w:val="left"/>
    </w:pPr>
    <w:rPr>
      <w:sz w:val="18"/>
      <w:szCs w:val="18"/>
    </w:rPr>
  </w:style>
  <w:style w:type="paragraph" w:styleId="a7">
    <w:name w:val="header"/>
    <w:basedOn w:val="a"/>
    <w:qFormat/>
    <w:rsid w:val="004F60E4"/>
    <w:pPr>
      <w:pBdr>
        <w:bottom w:val="single" w:sz="6" w:space="1" w:color="auto"/>
      </w:pBdr>
      <w:tabs>
        <w:tab w:val="center" w:pos="4153"/>
        <w:tab w:val="right" w:pos="8306"/>
      </w:tabs>
      <w:snapToGrid w:val="0"/>
      <w:jc w:val="center"/>
    </w:pPr>
    <w:rPr>
      <w:sz w:val="18"/>
      <w:szCs w:val="18"/>
    </w:rPr>
  </w:style>
  <w:style w:type="paragraph" w:styleId="a8">
    <w:name w:val="footnote text"/>
    <w:basedOn w:val="a"/>
    <w:qFormat/>
    <w:rsid w:val="004F60E4"/>
    <w:pPr>
      <w:snapToGrid w:val="0"/>
      <w:jc w:val="left"/>
    </w:pPr>
    <w:rPr>
      <w:sz w:val="18"/>
      <w:szCs w:val="18"/>
    </w:rPr>
  </w:style>
  <w:style w:type="character" w:styleId="a9">
    <w:name w:val="Strong"/>
    <w:qFormat/>
    <w:rsid w:val="004F60E4"/>
    <w:rPr>
      <w:rFonts w:ascii="Calibri" w:eastAsia="宋体" w:hAnsi="Calibri" w:cs="Times New Roman"/>
      <w:b/>
    </w:rPr>
  </w:style>
  <w:style w:type="character" w:styleId="aa">
    <w:name w:val="page number"/>
    <w:basedOn w:val="a0"/>
    <w:qFormat/>
    <w:rsid w:val="004F60E4"/>
  </w:style>
  <w:style w:type="character" w:styleId="ab">
    <w:name w:val="FollowedHyperlink"/>
    <w:qFormat/>
    <w:rsid w:val="004F60E4"/>
    <w:rPr>
      <w:rFonts w:ascii="Times New Roman" w:eastAsia="宋体" w:hAnsi="Times New Roman" w:cs="Times New Roman"/>
      <w:color w:val="003366"/>
      <w:u w:val="none"/>
    </w:rPr>
  </w:style>
  <w:style w:type="character" w:styleId="ac">
    <w:name w:val="Hyperlink"/>
    <w:qFormat/>
    <w:rsid w:val="004F60E4"/>
    <w:rPr>
      <w:rFonts w:ascii="Times New Roman" w:eastAsia="宋体" w:hAnsi="Times New Roman" w:cs="Times New Roman"/>
      <w:color w:val="003366"/>
      <w:u w:val="none"/>
    </w:rPr>
  </w:style>
  <w:style w:type="character" w:styleId="ad">
    <w:name w:val="annotation reference"/>
    <w:qFormat/>
    <w:rsid w:val="004F60E4"/>
    <w:rPr>
      <w:sz w:val="21"/>
    </w:rPr>
  </w:style>
  <w:style w:type="character" w:styleId="ae">
    <w:name w:val="footnote reference"/>
    <w:qFormat/>
    <w:rsid w:val="004F60E4"/>
    <w:rPr>
      <w:rFonts w:ascii="Times New Roman" w:eastAsia="宋体" w:hAnsi="Times New Roman" w:cs="Times New Roman"/>
      <w:vertAlign w:val="superscript"/>
    </w:rPr>
  </w:style>
  <w:style w:type="paragraph" w:customStyle="1" w:styleId="Char2">
    <w:name w:val="Char2"/>
    <w:basedOn w:val="a"/>
    <w:qFormat/>
    <w:rsid w:val="004F60E4"/>
    <w:rPr>
      <w:rFonts w:eastAsia="宋体"/>
      <w:sz w:val="21"/>
      <w:szCs w:val="24"/>
    </w:rPr>
  </w:style>
  <w:style w:type="character" w:customStyle="1" w:styleId="Char0">
    <w:name w:val="页脚 Char"/>
    <w:uiPriority w:val="99"/>
    <w:qFormat/>
    <w:rsid w:val="004F60E4"/>
    <w:rPr>
      <w:rFonts w:ascii="Times New Roman" w:eastAsia="仿宋_GB2312" w:hAnsi="Times New Roman" w:cs="Times New Roman"/>
      <w:kern w:val="2"/>
      <w:sz w:val="18"/>
      <w:szCs w:val="18"/>
    </w:rPr>
  </w:style>
  <w:style w:type="character" w:customStyle="1" w:styleId="Char1">
    <w:name w:val="页脚 Char1"/>
    <w:link w:val="a6"/>
    <w:uiPriority w:val="99"/>
    <w:qFormat/>
    <w:rsid w:val="004F60E4"/>
    <w:rPr>
      <w:rFonts w:ascii="Times New Roman" w:eastAsia="宋体" w:hAnsi="Times New Roman" w:cs="Times New Roman"/>
      <w:sz w:val="18"/>
      <w:szCs w:val="18"/>
    </w:rPr>
  </w:style>
  <w:style w:type="character" w:customStyle="1" w:styleId="NormalCharacter">
    <w:name w:val="NormalCharacter"/>
    <w:semiHidden/>
    <w:qFormat/>
    <w:rsid w:val="004F60E4"/>
    <w:rPr>
      <w:rFonts w:ascii="Calibri" w:eastAsia="宋体" w:hAnsi="Calibri" w:cs="Times New Roman"/>
    </w:rPr>
  </w:style>
  <w:style w:type="character" w:customStyle="1" w:styleId="Char">
    <w:name w:val="日期 Char"/>
    <w:link w:val="a4"/>
    <w:qFormat/>
    <w:rsid w:val="004F60E4"/>
    <w:rPr>
      <w:rFonts w:ascii="Calibri" w:eastAsia="宋体" w:hAnsi="Calibri" w:cs="Times New Roman"/>
      <w:sz w:val="21"/>
      <w:szCs w:val="24"/>
    </w:rPr>
  </w:style>
  <w:style w:type="character" w:customStyle="1" w:styleId="language">
    <w:name w:val="language"/>
    <w:qFormat/>
    <w:rsid w:val="004F60E4"/>
    <w:rPr>
      <w:rFonts w:ascii="Times New Roman" w:eastAsia="宋体" w:hAnsi="Times New Roman" w:cs="Times New Roman"/>
    </w:rPr>
  </w:style>
  <w:style w:type="character" w:customStyle="1" w:styleId="moduletitlemenuitemsel2">
    <w:name w:val="moduletitle_menuitemsel2"/>
    <w:qFormat/>
    <w:rsid w:val="004F60E4"/>
    <w:rPr>
      <w:rFonts w:ascii="Tahoma" w:eastAsia="Tahoma" w:hAnsi="Tahoma" w:cs="Tahoma"/>
      <w:b/>
      <w:color w:val="000000"/>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43"/>
    <customShpInfo spid="_x0000_s1038"/>
    <customShpInfo spid="_x0000_s1040"/>
    <customShpInfo spid="_x0000_s1041"/>
    <customShpInfo spid="_x0000_s10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183</Words>
  <Characters>1047</Characters>
  <Application>Microsoft Office Word</Application>
  <DocSecurity>0</DocSecurity>
  <Lines>8</Lines>
  <Paragraphs>2</Paragraphs>
  <ScaleCrop>false</ScaleCrop>
  <Company>微软中国</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省发展改革委关于建议将杭州市上城区</dc:title>
  <dc:creator>zy</dc:creator>
  <cp:lastModifiedBy>徐家钏</cp:lastModifiedBy>
  <cp:revision>2</cp:revision>
  <cp:lastPrinted>2020-08-27T10:47:00Z</cp:lastPrinted>
  <dcterms:created xsi:type="dcterms:W3CDTF">2020-08-31T02:30:00Z</dcterms:created>
  <dcterms:modified xsi:type="dcterms:W3CDTF">2020-08-31T02:30:00Z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title">
    <vt:lpwstr>此处输入标题 </vt:lpwstr>
  </property>
  <property fmtid="{D5CDD505-2E9C-101B-9397-08002B2CF9AE}" pid="3" name="category">
    <vt:lpwstr/>
  </property>
  <property fmtid="{D5CDD505-2E9C-101B-9397-08002B2CF9AE}" pid="4" name="copyto_2">
    <vt:lpwstr>   </vt:lpwstr>
  </property>
  <property fmtid="{D5CDD505-2E9C-101B-9397-08002B2CF9AE}" pid="5" name="filekind">
    <vt:lpwstr>浙发改〔〕号</vt:lpwstr>
  </property>
  <property fmtid="{D5CDD505-2E9C-101B-9397-08002B2CF9AE}" pid="6" name="sendto_2">
    <vt:lpwstr> 各市发改委  </vt:lpwstr>
  </property>
  <property fmtid="{D5CDD505-2E9C-101B-9397-08002B2CF9AE}" pid="7" name="checker">
    <vt:lpwstr> </vt:lpwstr>
  </property>
  <property fmtid="{D5CDD505-2E9C-101B-9397-08002B2CF9AE}" pid="8" name="filestencil">
    <vt:lpwstr>浙江省发展和改革委员会文件</vt:lpwstr>
  </property>
  <property fmtid="{D5CDD505-2E9C-101B-9397-08002B2CF9AE}" pid="9" name="KSOProductBuildVer">
    <vt:lpwstr>2052-11.8.2.8276</vt:lpwstr>
  </property>
</Properties>
</file>