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黑体"/>
          <w:color w:val="auto"/>
          <w:szCs w:val="32"/>
        </w:rPr>
      </w:pPr>
      <w:r>
        <w:rPr>
          <w:rFonts w:eastAsia="黑体"/>
          <w:color w:val="auto"/>
          <w:szCs w:val="32"/>
        </w:rPr>
        <w:t>附件</w:t>
      </w:r>
    </w:p>
    <w:p>
      <w:pPr>
        <w:pStyle w:val="3"/>
        <w:spacing w:line="590" w:lineRule="exact"/>
        <w:ind w:left="0" w:leftChars="0" w:firstLine="640" w:firstLineChars="200"/>
        <w:rPr>
          <w:rFonts w:ascii="Times New Roman" w:hAnsi="Times New Roman"/>
          <w:sz w:val="32"/>
          <w:szCs w:val="32"/>
        </w:rPr>
      </w:pPr>
    </w:p>
    <w:p>
      <w:pPr>
        <w:spacing w:line="590" w:lineRule="exact"/>
        <w:jc w:val="center"/>
        <w:rPr>
          <w:rFonts w:eastAsia="方正小标宋简体"/>
          <w:color w:val="auto"/>
          <w:sz w:val="44"/>
          <w:szCs w:val="44"/>
        </w:rPr>
      </w:pPr>
      <w:r>
        <w:rPr>
          <w:rFonts w:eastAsia="方正小标宋简体"/>
          <w:color w:val="auto"/>
          <w:sz w:val="44"/>
          <w:szCs w:val="44"/>
        </w:rPr>
        <w:t>浙江省综合性评标专家库管理办法</w:t>
      </w:r>
    </w:p>
    <w:p>
      <w:pPr>
        <w:spacing w:before="120" w:beforeLines="50" w:line="590" w:lineRule="exact"/>
        <w:jc w:val="center"/>
        <w:rPr>
          <w:rFonts w:eastAsia="方正小标宋简体"/>
          <w:color w:val="auto"/>
          <w:sz w:val="44"/>
          <w:szCs w:val="44"/>
        </w:rPr>
      </w:pPr>
      <w:r>
        <w:rPr>
          <w:rFonts w:eastAsia="方正小标宋简体"/>
          <w:color w:val="auto"/>
          <w:sz w:val="44"/>
          <w:szCs w:val="44"/>
        </w:rPr>
        <w:t>实</w:t>
      </w:r>
      <w:r>
        <w:rPr>
          <w:rFonts w:hint="eastAsia" w:eastAsia="方正小标宋简体"/>
          <w:color w:val="auto"/>
          <w:sz w:val="44"/>
          <w:szCs w:val="44"/>
        </w:rPr>
        <w:t xml:space="preserve">  </w:t>
      </w:r>
      <w:r>
        <w:rPr>
          <w:rFonts w:eastAsia="方正小标宋简体"/>
          <w:color w:val="auto"/>
          <w:sz w:val="44"/>
          <w:szCs w:val="44"/>
        </w:rPr>
        <w:t>施</w:t>
      </w:r>
      <w:r>
        <w:rPr>
          <w:rFonts w:hint="eastAsia" w:eastAsia="方正小标宋简体"/>
          <w:color w:val="auto"/>
          <w:sz w:val="44"/>
          <w:szCs w:val="44"/>
        </w:rPr>
        <w:t xml:space="preserve">  </w:t>
      </w:r>
      <w:r>
        <w:rPr>
          <w:rFonts w:eastAsia="方正小标宋简体"/>
          <w:color w:val="auto"/>
          <w:sz w:val="44"/>
          <w:szCs w:val="44"/>
        </w:rPr>
        <w:t>细</w:t>
      </w:r>
      <w:r>
        <w:rPr>
          <w:rFonts w:hint="eastAsia" w:eastAsia="方正小标宋简体"/>
          <w:color w:val="auto"/>
          <w:sz w:val="44"/>
          <w:szCs w:val="44"/>
        </w:rPr>
        <w:t xml:space="preserve">  </w:t>
      </w:r>
      <w:r>
        <w:rPr>
          <w:rFonts w:eastAsia="方正小标宋简体"/>
          <w:color w:val="auto"/>
          <w:sz w:val="44"/>
          <w:szCs w:val="44"/>
        </w:rPr>
        <w:t>则</w:t>
      </w:r>
    </w:p>
    <w:p>
      <w:pPr>
        <w:spacing w:line="590" w:lineRule="exact"/>
        <w:ind w:firstLine="640" w:firstLineChars="200"/>
        <w:jc w:val="both"/>
        <w:rPr>
          <w:color w:val="auto"/>
          <w:szCs w:val="32"/>
        </w:rPr>
      </w:pPr>
    </w:p>
    <w:p>
      <w:pPr>
        <w:spacing w:line="590" w:lineRule="exact"/>
        <w:ind w:firstLine="640" w:firstLineChars="200"/>
        <w:jc w:val="both"/>
        <w:rPr>
          <w:rFonts w:eastAsia="黑体"/>
          <w:color w:val="auto"/>
          <w:szCs w:val="32"/>
        </w:rPr>
      </w:pPr>
      <w:r>
        <w:rPr>
          <w:rFonts w:eastAsia="黑体"/>
          <w:color w:val="auto"/>
          <w:szCs w:val="32"/>
        </w:rPr>
        <w:t>一、总则</w:t>
      </w:r>
    </w:p>
    <w:p>
      <w:pPr>
        <w:spacing w:line="590" w:lineRule="exact"/>
        <w:ind w:firstLine="640" w:firstLineChars="200"/>
        <w:rPr>
          <w:color w:val="auto"/>
          <w:szCs w:val="32"/>
        </w:rPr>
      </w:pPr>
      <w:r>
        <w:rPr>
          <w:rFonts w:eastAsia="楷体_GB2312"/>
          <w:color w:val="auto"/>
          <w:szCs w:val="32"/>
        </w:rPr>
        <w:t>（一）</w:t>
      </w:r>
      <w:r>
        <w:rPr>
          <w:color w:val="auto"/>
          <w:szCs w:val="32"/>
        </w:rPr>
        <w:t>为加强浙江省综合性评标专家库管理，规范评标专家行为，提高评标质量，根据《中华人民共和国招标投标法》《中华人民共和国招标投标法实施条例》《浙江省招标投标条例》和《浙江省综合性评标专家库管理办法》等法律、法规、规章的规定，制订本细则。</w:t>
      </w:r>
    </w:p>
    <w:p>
      <w:pPr>
        <w:spacing w:line="590" w:lineRule="exact"/>
        <w:ind w:firstLine="640" w:firstLineChars="200"/>
        <w:rPr>
          <w:color w:val="auto"/>
          <w:szCs w:val="32"/>
        </w:rPr>
      </w:pPr>
      <w:r>
        <w:rPr>
          <w:rFonts w:eastAsia="楷体_GB2312"/>
          <w:color w:val="auto"/>
          <w:szCs w:val="32"/>
        </w:rPr>
        <w:t>（二）</w:t>
      </w:r>
      <w:r>
        <w:rPr>
          <w:color w:val="auto"/>
          <w:szCs w:val="32"/>
        </w:rPr>
        <w:t>浙江省综合性评标专家库（以下简称省评标专家库）的组建、使用、管理，以及评标专家的征聘、抽取、考评、退出等，适用于本细则。</w:t>
      </w:r>
    </w:p>
    <w:p>
      <w:pPr>
        <w:spacing w:line="590" w:lineRule="exact"/>
        <w:ind w:firstLine="640" w:firstLineChars="200"/>
        <w:rPr>
          <w:color w:val="auto"/>
          <w:szCs w:val="32"/>
        </w:rPr>
      </w:pPr>
      <w:r>
        <w:rPr>
          <w:rFonts w:eastAsia="楷体_GB2312"/>
          <w:color w:val="auto"/>
          <w:szCs w:val="32"/>
        </w:rPr>
        <w:t>（三）</w:t>
      </w:r>
      <w:r>
        <w:rPr>
          <w:color w:val="auto"/>
          <w:szCs w:val="32"/>
        </w:rPr>
        <w:t>省发展改革委负责省评标专家库和评标专家的管理，浙江省招标投标管理中心（以下简称省招管中心）负责具体工作。</w:t>
      </w:r>
    </w:p>
    <w:p>
      <w:pPr>
        <w:spacing w:line="590" w:lineRule="exact"/>
        <w:ind w:firstLine="640" w:firstLineChars="200"/>
        <w:jc w:val="both"/>
        <w:rPr>
          <w:rFonts w:eastAsia="黑体"/>
          <w:color w:val="auto"/>
          <w:szCs w:val="32"/>
        </w:rPr>
      </w:pPr>
      <w:r>
        <w:rPr>
          <w:rFonts w:eastAsia="黑体"/>
          <w:color w:val="auto"/>
          <w:szCs w:val="32"/>
        </w:rPr>
        <w:t>二、专家征聘</w:t>
      </w:r>
    </w:p>
    <w:p>
      <w:pPr>
        <w:spacing w:line="590" w:lineRule="exact"/>
        <w:ind w:firstLine="640" w:firstLineChars="200"/>
        <w:rPr>
          <w:color w:val="auto"/>
          <w:szCs w:val="32"/>
        </w:rPr>
      </w:pPr>
      <w:r>
        <w:rPr>
          <w:rFonts w:eastAsia="楷体_GB2312"/>
          <w:color w:val="auto"/>
          <w:szCs w:val="32"/>
        </w:rPr>
        <w:t>（四）</w:t>
      </w:r>
      <w:r>
        <w:rPr>
          <w:color w:val="auto"/>
          <w:spacing w:val="4"/>
          <w:szCs w:val="32"/>
        </w:rPr>
        <w:t>省评标专家库划分为省本级和十一个设区市共十二个管理区。各管理区招标投标（公共资源交易）综合管理</w:t>
      </w:r>
      <w:r>
        <w:rPr>
          <w:iCs/>
          <w:color w:val="auto"/>
          <w:spacing w:val="4"/>
          <w:szCs w:val="32"/>
        </w:rPr>
        <w:t>部门会同有关部门负责做好</w:t>
      </w:r>
      <w:r>
        <w:rPr>
          <w:color w:val="auto"/>
          <w:spacing w:val="4"/>
          <w:szCs w:val="32"/>
        </w:rPr>
        <w:t>本管理区内评标专家的管理和信用评价工作。</w:t>
      </w:r>
    </w:p>
    <w:p>
      <w:pPr>
        <w:spacing w:line="590" w:lineRule="exact"/>
        <w:ind w:firstLine="640" w:firstLineChars="200"/>
        <w:rPr>
          <w:b/>
          <w:bCs/>
          <w:color w:val="auto"/>
          <w:szCs w:val="32"/>
        </w:rPr>
      </w:pPr>
      <w:r>
        <w:rPr>
          <w:rFonts w:eastAsia="楷体_GB2312"/>
          <w:color w:val="auto"/>
          <w:szCs w:val="32"/>
        </w:rPr>
        <w:t>（五）</w:t>
      </w:r>
      <w:r>
        <w:rPr>
          <w:color w:val="auto"/>
          <w:szCs w:val="32"/>
        </w:rPr>
        <w:t>省发展改革委会同省有关行政部门公开征集选聘评标专家。专家申请加入省评标专家库的，须由本人提出申请，并符合以下条件：</w:t>
      </w:r>
    </w:p>
    <w:p>
      <w:pPr>
        <w:spacing w:line="590" w:lineRule="exact"/>
        <w:ind w:firstLine="640" w:firstLineChars="200"/>
        <w:rPr>
          <w:color w:val="auto"/>
          <w:szCs w:val="32"/>
        </w:rPr>
      </w:pPr>
      <w:r>
        <w:rPr>
          <w:color w:val="auto"/>
          <w:szCs w:val="32"/>
        </w:rPr>
        <w:t>1．</w:t>
      </w:r>
      <w:r>
        <w:rPr>
          <w:iCs/>
          <w:color w:val="auto"/>
          <w:szCs w:val="32"/>
        </w:rPr>
        <w:t>具有良好的政治品质，</w:t>
      </w:r>
      <w:r>
        <w:rPr>
          <w:color w:val="auto"/>
          <w:szCs w:val="32"/>
        </w:rPr>
        <w:t>熟悉有关招标投标法律、法规和规章，能够公正、诚实、廉洁、认真履行职责；</w:t>
      </w:r>
    </w:p>
    <w:p>
      <w:pPr>
        <w:spacing w:line="590" w:lineRule="exact"/>
        <w:ind w:firstLine="640" w:firstLineChars="200"/>
        <w:rPr>
          <w:color w:val="auto"/>
          <w:szCs w:val="32"/>
        </w:rPr>
      </w:pPr>
      <w:r>
        <w:rPr>
          <w:color w:val="auto"/>
          <w:szCs w:val="32"/>
        </w:rPr>
        <w:t>2．具有完全民事行为能力，身体健康，能够承担评标工作，年龄不超过65周岁，两院院士或享受政府特殊津贴者可放宽至68周岁；</w:t>
      </w:r>
    </w:p>
    <w:p>
      <w:pPr>
        <w:spacing w:line="590" w:lineRule="exact"/>
        <w:ind w:firstLine="640" w:firstLineChars="200"/>
        <w:rPr>
          <w:color w:val="auto"/>
          <w:szCs w:val="32"/>
        </w:rPr>
      </w:pPr>
      <w:r>
        <w:rPr>
          <w:color w:val="auto"/>
          <w:szCs w:val="32"/>
        </w:rPr>
        <w:t>3．从事相关专业领域工作满8年，并具有与申请专业类别相关的高级技术职称或同等专业水平（指中级职称满5年并取得相关专业一级</w:t>
      </w:r>
      <w:r>
        <w:rPr>
          <w:color w:val="auto"/>
          <w:kern w:val="0"/>
          <w:szCs w:val="32"/>
        </w:rPr>
        <w:t>〔</w:t>
      </w:r>
      <w:r>
        <w:rPr>
          <w:color w:val="auto"/>
          <w:szCs w:val="32"/>
        </w:rPr>
        <w:t>含不区分等级</w:t>
      </w:r>
      <w:r>
        <w:rPr>
          <w:color w:val="auto"/>
          <w:kern w:val="0"/>
          <w:szCs w:val="32"/>
        </w:rPr>
        <w:t>〕</w:t>
      </w:r>
      <w:r>
        <w:rPr>
          <w:color w:val="auto"/>
          <w:szCs w:val="32"/>
        </w:rPr>
        <w:t>国家职业资格）；</w:t>
      </w:r>
    </w:p>
    <w:p>
      <w:pPr>
        <w:spacing w:line="590" w:lineRule="exact"/>
        <w:ind w:firstLine="640" w:firstLineChars="200"/>
        <w:rPr>
          <w:color w:val="auto"/>
          <w:szCs w:val="32"/>
        </w:rPr>
      </w:pPr>
      <w:r>
        <w:rPr>
          <w:color w:val="auto"/>
          <w:szCs w:val="32"/>
        </w:rPr>
        <w:t>4．具有与申请专业类别相关的实践经验；</w:t>
      </w:r>
    </w:p>
    <w:p>
      <w:pPr>
        <w:spacing w:line="590" w:lineRule="exact"/>
        <w:ind w:firstLine="640" w:firstLineChars="200"/>
        <w:rPr>
          <w:color w:val="auto"/>
          <w:szCs w:val="32"/>
        </w:rPr>
      </w:pPr>
      <w:r>
        <w:rPr>
          <w:color w:val="auto"/>
          <w:szCs w:val="32"/>
        </w:rPr>
        <w:t>5．能独立通过电子计算机完成评标工作；</w:t>
      </w:r>
    </w:p>
    <w:p>
      <w:pPr>
        <w:spacing w:line="590" w:lineRule="exact"/>
        <w:ind w:firstLine="640" w:firstLineChars="200"/>
        <w:rPr>
          <w:color w:val="auto"/>
          <w:szCs w:val="32"/>
        </w:rPr>
      </w:pPr>
      <w:r>
        <w:rPr>
          <w:color w:val="auto"/>
          <w:szCs w:val="32"/>
        </w:rPr>
        <w:t>6．法律、法规规定的其他条件。</w:t>
      </w:r>
    </w:p>
    <w:p>
      <w:pPr>
        <w:spacing w:line="590" w:lineRule="exact"/>
        <w:ind w:firstLine="640" w:firstLineChars="200"/>
        <w:rPr>
          <w:color w:val="auto"/>
          <w:szCs w:val="32"/>
        </w:rPr>
      </w:pPr>
      <w:r>
        <w:rPr>
          <w:rFonts w:eastAsia="楷体_GB2312"/>
          <w:color w:val="auto"/>
          <w:szCs w:val="32"/>
        </w:rPr>
        <w:t>（六）</w:t>
      </w:r>
      <w:r>
        <w:rPr>
          <w:color w:val="auto"/>
          <w:szCs w:val="32"/>
        </w:rPr>
        <w:t>专家申请入库时，不得存在以下情形：</w:t>
      </w:r>
    </w:p>
    <w:p>
      <w:pPr>
        <w:spacing w:line="590" w:lineRule="exact"/>
        <w:ind w:firstLine="640" w:firstLineChars="200"/>
        <w:rPr>
          <w:color w:val="auto"/>
          <w:szCs w:val="32"/>
        </w:rPr>
      </w:pPr>
      <w:r>
        <w:rPr>
          <w:color w:val="auto"/>
          <w:szCs w:val="32"/>
        </w:rPr>
        <w:t>1．曾被国家各部门或省级人民政府评标或评审专家库予以除名、解聘或清退的；</w:t>
      </w:r>
    </w:p>
    <w:p>
      <w:pPr>
        <w:spacing w:line="590" w:lineRule="exact"/>
        <w:ind w:firstLine="640" w:firstLineChars="200"/>
        <w:rPr>
          <w:color w:val="auto"/>
          <w:szCs w:val="32"/>
        </w:rPr>
      </w:pPr>
      <w:r>
        <w:rPr>
          <w:color w:val="auto"/>
          <w:szCs w:val="32"/>
        </w:rPr>
        <w:t>2．曾因在招投标活动中存在违法违规行为受行政处罚的；</w:t>
      </w:r>
    </w:p>
    <w:p>
      <w:pPr>
        <w:spacing w:line="590" w:lineRule="exact"/>
        <w:ind w:firstLine="640" w:firstLineChars="200"/>
        <w:rPr>
          <w:color w:val="auto"/>
          <w:szCs w:val="32"/>
        </w:rPr>
      </w:pPr>
      <w:r>
        <w:rPr>
          <w:color w:val="auto"/>
          <w:szCs w:val="32"/>
        </w:rPr>
        <w:t>3．受过刑事处罚的；</w:t>
      </w:r>
    </w:p>
    <w:p>
      <w:pPr>
        <w:spacing w:line="590" w:lineRule="exact"/>
        <w:ind w:firstLine="640" w:firstLineChars="200"/>
        <w:rPr>
          <w:color w:val="auto"/>
          <w:szCs w:val="32"/>
        </w:rPr>
      </w:pPr>
      <w:r>
        <w:rPr>
          <w:color w:val="auto"/>
          <w:szCs w:val="32"/>
        </w:rPr>
        <w:t>4．被列为失信被执行人或列入严重失信名单的。</w:t>
      </w:r>
    </w:p>
    <w:p>
      <w:pPr>
        <w:spacing w:line="590" w:lineRule="exact"/>
        <w:ind w:firstLine="640" w:firstLineChars="200"/>
        <w:rPr>
          <w:iCs/>
          <w:color w:val="auto"/>
          <w:szCs w:val="32"/>
        </w:rPr>
      </w:pPr>
      <w:r>
        <w:rPr>
          <w:rFonts w:eastAsia="楷体_GB2312"/>
          <w:color w:val="auto"/>
          <w:szCs w:val="32"/>
        </w:rPr>
        <w:t>（七）</w:t>
      </w:r>
      <w:r>
        <w:rPr>
          <w:iCs/>
          <w:color w:val="auto"/>
          <w:szCs w:val="32"/>
        </w:rPr>
        <w:t>申请人通过省评标专家库系统在线提出入库申请。省发展改革委会同省有关行政部门对入库申请进行审查。申请人应对申请信息的真实性、完整性负责。</w:t>
      </w:r>
    </w:p>
    <w:p>
      <w:pPr>
        <w:spacing w:line="590" w:lineRule="exact"/>
        <w:ind w:firstLine="640" w:firstLineChars="200"/>
        <w:rPr>
          <w:color w:val="auto"/>
          <w:szCs w:val="32"/>
        </w:rPr>
      </w:pPr>
      <w:r>
        <w:rPr>
          <w:rFonts w:eastAsia="楷体_GB2312"/>
          <w:color w:val="auto"/>
          <w:szCs w:val="32"/>
        </w:rPr>
        <w:t>（八）</w:t>
      </w:r>
      <w:r>
        <w:rPr>
          <w:color w:val="auto"/>
          <w:szCs w:val="32"/>
        </w:rPr>
        <w:t>省评标专家库评标专家实行聘任制，每任聘期3年。通过应聘审查的专家候选人须参加入库培训，培训考核合格后，方可获得省评标专家库评标专家聘书。</w:t>
      </w:r>
    </w:p>
    <w:p>
      <w:pPr>
        <w:spacing w:line="590" w:lineRule="exact"/>
        <w:ind w:firstLine="640" w:firstLineChars="200"/>
        <w:rPr>
          <w:color w:val="auto"/>
          <w:szCs w:val="32"/>
        </w:rPr>
      </w:pPr>
      <w:r>
        <w:rPr>
          <w:color w:val="auto"/>
          <w:szCs w:val="32"/>
        </w:rPr>
        <w:t>聘期到期后，评标专家不存在本细则第二十七条规定情形的，自动续聘。</w:t>
      </w:r>
    </w:p>
    <w:p>
      <w:pPr>
        <w:spacing w:line="590" w:lineRule="exact"/>
        <w:ind w:firstLine="640" w:firstLineChars="200"/>
        <w:jc w:val="both"/>
        <w:rPr>
          <w:rFonts w:eastAsia="黑体"/>
          <w:color w:val="auto"/>
          <w:szCs w:val="32"/>
        </w:rPr>
      </w:pPr>
      <w:r>
        <w:rPr>
          <w:rFonts w:eastAsia="黑体"/>
          <w:color w:val="auto"/>
          <w:szCs w:val="32"/>
        </w:rPr>
        <w:t>三、专家抽取</w:t>
      </w:r>
    </w:p>
    <w:p>
      <w:pPr>
        <w:spacing w:line="590" w:lineRule="exact"/>
        <w:ind w:firstLine="640" w:firstLineChars="200"/>
        <w:rPr>
          <w:color w:val="auto"/>
          <w:szCs w:val="32"/>
        </w:rPr>
      </w:pPr>
      <w:r>
        <w:rPr>
          <w:rFonts w:eastAsia="楷体_GB2312"/>
          <w:color w:val="auto"/>
          <w:szCs w:val="32"/>
        </w:rPr>
        <w:t>（九）</w:t>
      </w:r>
      <w:r>
        <w:rPr>
          <w:color w:val="auto"/>
          <w:szCs w:val="32"/>
        </w:rPr>
        <w:t>网络抽取终端必须配置计算机、打印机、互联网络等省评标专家库系统所需的硬件设备与网络环境，具备抽取评标专家所需的相对封闭的空间。</w:t>
      </w:r>
    </w:p>
    <w:p>
      <w:pPr>
        <w:spacing w:line="590" w:lineRule="exact"/>
        <w:ind w:firstLine="640" w:firstLineChars="200"/>
        <w:rPr>
          <w:color w:val="auto"/>
          <w:szCs w:val="32"/>
        </w:rPr>
      </w:pPr>
      <w:r>
        <w:rPr>
          <w:color w:val="auto"/>
          <w:szCs w:val="32"/>
        </w:rPr>
        <w:t>具备省评标专家库网络抽取终端配置条件的省有关行政部门和市、县（市、区）招标投标（公共资源）交易场所，</w:t>
      </w:r>
      <w:r>
        <w:rPr>
          <w:iCs/>
          <w:color w:val="auto"/>
          <w:szCs w:val="32"/>
        </w:rPr>
        <w:t>经与省招管中心衔接，</w:t>
      </w:r>
      <w:r>
        <w:rPr>
          <w:color w:val="auto"/>
          <w:szCs w:val="32"/>
        </w:rPr>
        <w:t>由省招管中心为其开通网络抽取终端。</w:t>
      </w:r>
    </w:p>
    <w:p>
      <w:pPr>
        <w:spacing w:line="590" w:lineRule="exact"/>
        <w:ind w:firstLine="640" w:firstLineChars="200"/>
        <w:rPr>
          <w:color w:val="auto"/>
          <w:szCs w:val="32"/>
        </w:rPr>
      </w:pPr>
      <w:r>
        <w:rPr>
          <w:rFonts w:eastAsia="楷体_GB2312"/>
          <w:color w:val="auto"/>
          <w:szCs w:val="32"/>
        </w:rPr>
        <w:t>（十）</w:t>
      </w:r>
      <w:r>
        <w:rPr>
          <w:color w:val="auto"/>
          <w:szCs w:val="32"/>
        </w:rPr>
        <w:t>一个网络抽取终端应配备2名及以上工作人员。省发展改革委应加强对网络抽取终端工作人员的管理。网络抽取终端工作人员必须经培训后方可上岗，且不得随意变更，确需变更的，应将变更情况报省招管中心备案。</w:t>
      </w:r>
    </w:p>
    <w:p>
      <w:pPr>
        <w:spacing w:line="590" w:lineRule="exact"/>
        <w:ind w:firstLine="640" w:firstLineChars="200"/>
        <w:rPr>
          <w:color w:val="auto"/>
          <w:szCs w:val="32"/>
        </w:rPr>
      </w:pPr>
      <w:r>
        <w:rPr>
          <w:color w:val="auto"/>
          <w:szCs w:val="32"/>
        </w:rPr>
        <w:t>网络抽取终端工作人员培训由省发展改革委统一组织。</w:t>
      </w:r>
    </w:p>
    <w:p>
      <w:pPr>
        <w:spacing w:line="590" w:lineRule="exact"/>
        <w:ind w:firstLine="640" w:firstLineChars="200"/>
        <w:rPr>
          <w:color w:val="auto"/>
          <w:szCs w:val="32"/>
        </w:rPr>
      </w:pPr>
      <w:r>
        <w:rPr>
          <w:rFonts w:eastAsia="楷体_GB2312"/>
          <w:color w:val="auto"/>
          <w:szCs w:val="32"/>
        </w:rPr>
        <w:t>（十一）</w:t>
      </w:r>
      <w:r>
        <w:rPr>
          <w:color w:val="auto"/>
          <w:szCs w:val="32"/>
        </w:rPr>
        <w:t>评标专家抽取工作遵循属地管理原则，招标人通过项目招标投标交易场所内设立的网络抽取终端抽取评标专家。</w:t>
      </w:r>
    </w:p>
    <w:p>
      <w:pPr>
        <w:spacing w:line="590" w:lineRule="exact"/>
        <w:ind w:firstLine="640" w:firstLineChars="200"/>
        <w:rPr>
          <w:color w:val="auto"/>
          <w:szCs w:val="32"/>
        </w:rPr>
      </w:pPr>
      <w:r>
        <w:rPr>
          <w:color w:val="auto"/>
          <w:szCs w:val="32"/>
        </w:rPr>
        <w:t>在省公共资源交易中心进行招标投标的省重点工程建设项目，应当在省公共资源交易中心网络抽取终端抽取评标专家。</w:t>
      </w:r>
    </w:p>
    <w:p>
      <w:pPr>
        <w:spacing w:line="590" w:lineRule="exact"/>
        <w:ind w:firstLine="640" w:firstLineChars="200"/>
        <w:rPr>
          <w:color w:val="auto"/>
          <w:szCs w:val="32"/>
        </w:rPr>
      </w:pPr>
      <w:r>
        <w:rPr>
          <w:rFonts w:eastAsia="楷体_GB2312"/>
          <w:color w:val="auto"/>
          <w:szCs w:val="32"/>
        </w:rPr>
        <w:t>（十二）</w:t>
      </w:r>
      <w:r>
        <w:rPr>
          <w:color w:val="auto"/>
          <w:szCs w:val="32"/>
        </w:rPr>
        <w:t>评标专家名单抽取确定之后，应在24小时之内开始评标。有省外专家参与评标的，应在48小时之内开始评标。评标时间原则上不晚于开标后48小时。</w:t>
      </w:r>
    </w:p>
    <w:p>
      <w:pPr>
        <w:spacing w:line="590" w:lineRule="exact"/>
        <w:ind w:firstLine="640" w:firstLineChars="200"/>
        <w:rPr>
          <w:color w:val="auto"/>
          <w:szCs w:val="32"/>
        </w:rPr>
      </w:pPr>
      <w:r>
        <w:rPr>
          <w:rFonts w:eastAsia="楷体_GB2312"/>
          <w:color w:val="auto"/>
          <w:szCs w:val="32"/>
        </w:rPr>
        <w:t>（十三）</w:t>
      </w:r>
      <w:r>
        <w:rPr>
          <w:color w:val="auto"/>
          <w:szCs w:val="32"/>
        </w:rPr>
        <w:t>合同估算价限额以上的各类项目评标专家抽取，各网络抽取终端必须在全库内不分地区随机抽取。特别重大的建设项目评标专家，可以从国务院有关部门或者外省市评标专家库中抽取。在与国务院有关部门或外省市评标专家库实现联网后，合同估算价限额以上的各类项目评标专家抽取，必须在联网后的评标专家库内不分地区随机抽取。</w:t>
      </w:r>
    </w:p>
    <w:p>
      <w:pPr>
        <w:spacing w:line="590" w:lineRule="exact"/>
        <w:ind w:firstLine="640" w:firstLineChars="200"/>
        <w:rPr>
          <w:color w:val="auto"/>
          <w:szCs w:val="32"/>
        </w:rPr>
      </w:pPr>
      <w:r>
        <w:rPr>
          <w:color w:val="auto"/>
          <w:szCs w:val="32"/>
        </w:rPr>
        <w:t>合同估算价限额以下的各类项目评标专家抽取，各网络抽取终端可以在项目所在地及附近地区的专家管理区内随机抽取，若设区市所属专业类别专家少于50名，应在全库内不分地区随机抽取。</w:t>
      </w:r>
    </w:p>
    <w:p>
      <w:pPr>
        <w:spacing w:line="590" w:lineRule="exact"/>
        <w:ind w:firstLine="640" w:firstLineChars="200"/>
        <w:rPr>
          <w:color w:val="auto"/>
          <w:szCs w:val="32"/>
        </w:rPr>
      </w:pPr>
      <w:r>
        <w:rPr>
          <w:color w:val="auto"/>
          <w:szCs w:val="32"/>
        </w:rPr>
        <w:t>在省公共资源交易中心进行招标的省重点建设项目，合同估算价限额为：施工单项合同估算价在3000万元人民币；重要设备、材料等货物的采购，单项合同估算价在600万元人民币；勘察、设计、监理服务的采购，单项合同估算价在200万元人民币。</w:t>
      </w:r>
    </w:p>
    <w:p>
      <w:pPr>
        <w:spacing w:line="590" w:lineRule="exact"/>
        <w:ind w:firstLine="640" w:firstLineChars="200"/>
        <w:rPr>
          <w:color w:val="auto"/>
          <w:szCs w:val="32"/>
        </w:rPr>
      </w:pPr>
      <w:r>
        <w:rPr>
          <w:color w:val="auto"/>
          <w:szCs w:val="32"/>
        </w:rPr>
        <w:t>各</w:t>
      </w:r>
      <w:r>
        <w:rPr>
          <w:color w:val="auto"/>
          <w:spacing w:val="4"/>
          <w:szCs w:val="32"/>
        </w:rPr>
        <w:t>设区市的合同估算价限额由各市招标投标（公共资源交易）综合管理部门根据本地实际情况制定，并报省发展改革委备案。</w:t>
      </w:r>
    </w:p>
    <w:p>
      <w:pPr>
        <w:spacing w:line="590" w:lineRule="exact"/>
        <w:ind w:firstLine="640" w:firstLineChars="200"/>
        <w:rPr>
          <w:iCs/>
          <w:color w:val="auto"/>
          <w:szCs w:val="32"/>
        </w:rPr>
      </w:pPr>
      <w:r>
        <w:rPr>
          <w:rFonts w:eastAsia="楷体_GB2312"/>
          <w:color w:val="auto"/>
          <w:szCs w:val="32"/>
        </w:rPr>
        <w:t>（十四）</w:t>
      </w:r>
      <w:r>
        <w:rPr>
          <w:color w:val="auto"/>
          <w:szCs w:val="32"/>
        </w:rPr>
        <w:t>各类项目评标专家抽取，在所需三级类别中抽取的专家数不得超过专家抽取总数的2/3</w:t>
      </w:r>
      <w:r>
        <w:rPr>
          <w:iCs/>
          <w:color w:val="auto"/>
          <w:szCs w:val="32"/>
        </w:rPr>
        <w:t>。</w:t>
      </w:r>
    </w:p>
    <w:p>
      <w:pPr>
        <w:spacing w:line="590" w:lineRule="exact"/>
        <w:ind w:firstLine="640" w:firstLineChars="200"/>
        <w:rPr>
          <w:color w:val="auto"/>
          <w:szCs w:val="32"/>
        </w:rPr>
      </w:pPr>
      <w:r>
        <w:rPr>
          <w:color w:val="auto"/>
          <w:szCs w:val="32"/>
        </w:rPr>
        <w:t>省重点建设项目在省公共资源交易中心招标时，在抽取地域范围内，所需三级类别专家少于100名的，在该三级类别抽取的专家数不得超过专家抽取总数的1/3。</w:t>
      </w:r>
    </w:p>
    <w:p>
      <w:pPr>
        <w:spacing w:line="590" w:lineRule="exact"/>
        <w:ind w:firstLine="640" w:firstLineChars="200"/>
        <w:rPr>
          <w:color w:val="auto"/>
          <w:szCs w:val="32"/>
        </w:rPr>
      </w:pPr>
      <w:r>
        <w:rPr>
          <w:color w:val="auto"/>
          <w:szCs w:val="32"/>
        </w:rPr>
        <w:t>采用经评审的最低投标价法进行评标的，所有专家在相关二级类别下的所有三级类别中随机抽取。</w:t>
      </w:r>
    </w:p>
    <w:p>
      <w:pPr>
        <w:spacing w:line="590" w:lineRule="exact"/>
        <w:ind w:firstLine="640" w:firstLineChars="200"/>
        <w:rPr>
          <w:szCs w:val="32"/>
        </w:rPr>
      </w:pPr>
      <w:r>
        <w:rPr>
          <w:rFonts w:eastAsia="楷体_GB2312"/>
          <w:szCs w:val="32"/>
        </w:rPr>
        <w:t>（十五）</w:t>
      </w:r>
      <w:r>
        <w:rPr>
          <w:szCs w:val="32"/>
        </w:rPr>
        <w:t>存在《评标委员会和评标方法暂行规定》第十二条情形的，省评标专家库可以将该情形设置为专家抽取的自动回避条件。</w:t>
      </w:r>
    </w:p>
    <w:p>
      <w:pPr>
        <w:spacing w:line="590" w:lineRule="exact"/>
        <w:ind w:firstLine="640" w:firstLineChars="200"/>
        <w:rPr>
          <w:szCs w:val="32"/>
        </w:rPr>
      </w:pPr>
      <w:r>
        <w:rPr>
          <w:rFonts w:eastAsia="楷体_GB2312"/>
          <w:szCs w:val="32"/>
        </w:rPr>
        <w:t>（十六）</w:t>
      </w:r>
      <w:r>
        <w:rPr>
          <w:szCs w:val="32"/>
        </w:rPr>
        <w:t>电子招投标交易平台和网络抽取终端间应实现专家抽取结果自动传输。招标人如有需求的，可在评标前15分钟内通过网络抽取终端打印抽取结果记录表。</w:t>
      </w:r>
    </w:p>
    <w:p>
      <w:pPr>
        <w:spacing w:line="590" w:lineRule="exact"/>
        <w:ind w:firstLine="640" w:firstLineChars="200"/>
        <w:rPr>
          <w:color w:val="auto"/>
          <w:szCs w:val="32"/>
        </w:rPr>
      </w:pPr>
      <w:r>
        <w:rPr>
          <w:rFonts w:eastAsia="楷体_GB2312"/>
          <w:szCs w:val="32"/>
        </w:rPr>
        <w:t>（十七）</w:t>
      </w:r>
      <w:r>
        <w:rPr>
          <w:color w:val="auto"/>
          <w:szCs w:val="32"/>
        </w:rPr>
        <w:t>评标专家承诺参加评标的，应按时到达指定地点，如确实因故不能参加，应及时在省评标专家库系统在线请假。</w:t>
      </w:r>
    </w:p>
    <w:p>
      <w:pPr>
        <w:spacing w:line="590" w:lineRule="exact"/>
        <w:ind w:firstLine="640" w:firstLineChars="200"/>
        <w:rPr>
          <w:color w:val="auto"/>
          <w:szCs w:val="32"/>
        </w:rPr>
      </w:pPr>
      <w:r>
        <w:rPr>
          <w:szCs w:val="32"/>
        </w:rPr>
        <w:t>评标</w:t>
      </w:r>
      <w:r>
        <w:rPr>
          <w:color w:val="auto"/>
          <w:szCs w:val="32"/>
        </w:rPr>
        <w:t>专家名单确定后，评标专家因故不能到场的，应当进行补抽。距评标时间不足2小时的或评标开始后需要补抽专家的，招标人可在本行政区域或1小时交通圈内进行补抽。</w:t>
      </w:r>
    </w:p>
    <w:p>
      <w:pPr>
        <w:spacing w:line="590" w:lineRule="exact"/>
        <w:ind w:firstLine="640" w:firstLineChars="200"/>
        <w:rPr>
          <w:color w:val="auto"/>
          <w:szCs w:val="32"/>
        </w:rPr>
      </w:pPr>
      <w:r>
        <w:rPr>
          <w:color w:val="auto"/>
          <w:szCs w:val="32"/>
        </w:rPr>
        <w:t>评标过程中，评标专家被发现有回避事由、擅离职守或因健康等原因不能继续评标的，招标人可以在招标文件中约定，1位专家不能参与评标的，自动从评标委员会中取消1名招标人代表；2位专家不能参与评标的，不再补抽，由其余人员组成评标委员会进行评标；最终的评标委员会成员人数不得少于5人，且符合《中华人民共和国招标投标法》第三十七条第二款的规定。招标文件中未对此情形进行约定的，应当进行补抽。</w:t>
      </w:r>
    </w:p>
    <w:p>
      <w:pPr>
        <w:spacing w:line="590" w:lineRule="exact"/>
        <w:ind w:firstLine="640" w:firstLineChars="200"/>
        <w:jc w:val="both"/>
        <w:rPr>
          <w:rFonts w:eastAsia="黑体"/>
          <w:color w:val="auto"/>
          <w:szCs w:val="32"/>
        </w:rPr>
      </w:pPr>
      <w:r>
        <w:rPr>
          <w:rFonts w:eastAsia="黑体"/>
          <w:color w:val="auto"/>
          <w:szCs w:val="32"/>
        </w:rPr>
        <w:t>四、专家信用评价</w:t>
      </w:r>
    </w:p>
    <w:p>
      <w:pPr>
        <w:spacing w:line="590" w:lineRule="exact"/>
        <w:ind w:firstLine="640" w:firstLineChars="200"/>
        <w:rPr>
          <w:color w:val="auto"/>
          <w:szCs w:val="32"/>
        </w:rPr>
      </w:pPr>
      <w:r>
        <w:rPr>
          <w:rFonts w:eastAsia="楷体_GB2312"/>
          <w:color w:val="auto"/>
          <w:szCs w:val="32"/>
        </w:rPr>
        <w:t>（十八）</w:t>
      </w:r>
      <w:r>
        <w:rPr>
          <w:color w:val="auto"/>
          <w:szCs w:val="32"/>
        </w:rPr>
        <w:t>省评标专家库实行评标专家信用评价制度，建立评标专家信用档案。信用评价结果作为在库评标专家动态管理依据之一。</w:t>
      </w:r>
    </w:p>
    <w:p>
      <w:pPr>
        <w:spacing w:line="590" w:lineRule="exact"/>
        <w:ind w:firstLine="640" w:firstLineChars="200"/>
        <w:rPr>
          <w:color w:val="auto"/>
          <w:szCs w:val="32"/>
        </w:rPr>
      </w:pPr>
      <w:r>
        <w:rPr>
          <w:color w:val="auto"/>
          <w:szCs w:val="32"/>
        </w:rPr>
        <w:t>评标专家信用评价采用动态评分，从基础信息、履职能力、遵纪守法和社会公德四个方面对评标专家信用情况作出评价。信用评价结果区间为0—1000分，其中信用评价基础分为800分，根据《浙江省综合性评标专家库评标专家信用评价标准（试行）》统一评分。</w:t>
      </w:r>
    </w:p>
    <w:p>
      <w:pPr>
        <w:spacing w:line="590" w:lineRule="exact"/>
        <w:ind w:firstLine="640" w:firstLineChars="200"/>
        <w:rPr>
          <w:color w:val="auto"/>
          <w:szCs w:val="32"/>
        </w:rPr>
      </w:pPr>
      <w:r>
        <w:rPr>
          <w:rFonts w:eastAsia="楷体_GB2312"/>
          <w:color w:val="auto"/>
          <w:szCs w:val="32"/>
        </w:rPr>
        <w:t>（十九）</w:t>
      </w:r>
      <w:r>
        <w:rPr>
          <w:color w:val="auto"/>
          <w:szCs w:val="32"/>
        </w:rPr>
        <w:t>各招标投标行政监督部门、公共资源交易机构应根据《浙江省综合性评标专家库评标专家信用评价标准（试行）》职责分工将评标专家信用扣分行为情形报送至同级招标投标（公共资源交易）综合管理部门进行记录和处理。</w:t>
      </w:r>
    </w:p>
    <w:p>
      <w:pPr>
        <w:spacing w:line="590" w:lineRule="exact"/>
        <w:ind w:firstLine="640" w:firstLineChars="200"/>
        <w:rPr>
          <w:color w:val="auto"/>
          <w:szCs w:val="32"/>
        </w:rPr>
      </w:pPr>
      <w:r>
        <w:rPr>
          <w:color w:val="auto"/>
          <w:szCs w:val="32"/>
        </w:rPr>
        <w:t>招标投标（公共资源交易）综合管理部门决定给予信用扣分处理的，应事先通过省评标专家库系统告知事实和依据，听取评标专家的申辩。</w:t>
      </w:r>
    </w:p>
    <w:p>
      <w:pPr>
        <w:spacing w:line="590" w:lineRule="exact"/>
        <w:ind w:firstLine="640" w:firstLineChars="200"/>
        <w:rPr>
          <w:color w:val="auto"/>
          <w:szCs w:val="32"/>
        </w:rPr>
      </w:pPr>
      <w:r>
        <w:rPr>
          <w:color w:val="auto"/>
          <w:szCs w:val="32"/>
        </w:rPr>
        <w:t>社会公德信息实行自行申报，由评标专家上传材料至省评标专家库系统，经所属管理区招标投标（公共资源交易）综合管理部门审核后予以加分。</w:t>
      </w:r>
    </w:p>
    <w:p>
      <w:pPr>
        <w:spacing w:line="590" w:lineRule="exact"/>
        <w:ind w:firstLine="640" w:firstLineChars="200"/>
        <w:rPr>
          <w:color w:val="auto"/>
          <w:szCs w:val="32"/>
        </w:rPr>
      </w:pPr>
      <w:r>
        <w:rPr>
          <w:rFonts w:eastAsia="楷体_GB2312"/>
          <w:color w:val="auto"/>
          <w:szCs w:val="32"/>
        </w:rPr>
        <w:t>（二十）</w:t>
      </w:r>
      <w:r>
        <w:rPr>
          <w:color w:val="auto"/>
          <w:szCs w:val="32"/>
        </w:rPr>
        <w:t>评标专家对信用评价结果有异议的，可以在知道或者应当知道信用评价结果之日起5日内通过省评标专家库系统向作出信用评价的招投标综合管理部门提出异议，有关招标投标综合管理部门应及时处理。</w:t>
      </w:r>
    </w:p>
    <w:p>
      <w:pPr>
        <w:spacing w:line="590" w:lineRule="exact"/>
        <w:ind w:firstLine="640" w:firstLineChars="200"/>
        <w:rPr>
          <w:color w:val="auto"/>
          <w:szCs w:val="32"/>
        </w:rPr>
      </w:pPr>
      <w:r>
        <w:rPr>
          <w:color w:val="auto"/>
          <w:szCs w:val="32"/>
        </w:rPr>
        <w:t>评标专家对异议处理结果不服的，可以在知道或者应当知道异议处理结果之日起5日内向有关管理区招标投标综合管理部门申请复核。</w:t>
      </w:r>
    </w:p>
    <w:p>
      <w:pPr>
        <w:spacing w:line="590" w:lineRule="exact"/>
        <w:ind w:firstLine="640" w:firstLineChars="200"/>
        <w:rPr>
          <w:color w:val="auto"/>
          <w:szCs w:val="32"/>
        </w:rPr>
      </w:pPr>
      <w:r>
        <w:rPr>
          <w:color w:val="auto"/>
          <w:szCs w:val="32"/>
        </w:rPr>
        <w:t>有关招标投标综合管理部门应当自收到异议或复核申请之日起10个工作日内处理完毕。</w:t>
      </w:r>
    </w:p>
    <w:p>
      <w:pPr>
        <w:spacing w:line="590" w:lineRule="exact"/>
        <w:ind w:firstLine="640" w:firstLineChars="200"/>
        <w:rPr>
          <w:color w:val="auto"/>
          <w:szCs w:val="32"/>
        </w:rPr>
      </w:pPr>
      <w:r>
        <w:rPr>
          <w:color w:val="auto"/>
          <w:szCs w:val="32"/>
        </w:rPr>
        <w:t>（</w:t>
      </w:r>
      <w:r>
        <w:rPr>
          <w:rFonts w:eastAsia="楷体_GB2312"/>
          <w:color w:val="auto"/>
          <w:szCs w:val="32"/>
        </w:rPr>
        <w:t>二十一）</w:t>
      </w:r>
      <w:r>
        <w:rPr>
          <w:color w:val="auto"/>
          <w:szCs w:val="32"/>
        </w:rPr>
        <w:t>建立评标专家信用修复机制。评标专家具有主动改正、消除不良影响且在12个月内未再次发生信用扣分行为情形的，可向原作出信用扣分处理部门申请信用修复。原作出信用扣分处理部门认为符合规定的，可以修复该扣分，并在省评标专家库系统对修复情况予以标注。</w:t>
      </w:r>
    </w:p>
    <w:p>
      <w:pPr>
        <w:spacing w:line="590" w:lineRule="exact"/>
        <w:ind w:firstLine="640" w:firstLineChars="200"/>
        <w:rPr>
          <w:color w:val="auto"/>
          <w:szCs w:val="32"/>
        </w:rPr>
      </w:pPr>
      <w:r>
        <w:rPr>
          <w:color w:val="auto"/>
          <w:szCs w:val="32"/>
        </w:rPr>
        <w:t>评</w:t>
      </w:r>
      <w:r>
        <w:rPr>
          <w:color w:val="auto"/>
          <w:spacing w:val="-4"/>
          <w:szCs w:val="32"/>
        </w:rPr>
        <w:t>标专家存在遵纪守法指标项信用扣分的，不适用前款规定。</w:t>
      </w:r>
    </w:p>
    <w:p>
      <w:pPr>
        <w:spacing w:line="590" w:lineRule="exact"/>
        <w:ind w:firstLine="640" w:firstLineChars="200"/>
        <w:jc w:val="both"/>
        <w:rPr>
          <w:rFonts w:eastAsia="黑体"/>
          <w:color w:val="auto"/>
          <w:szCs w:val="32"/>
        </w:rPr>
      </w:pPr>
      <w:r>
        <w:rPr>
          <w:rFonts w:eastAsia="黑体"/>
          <w:color w:val="auto"/>
          <w:szCs w:val="32"/>
        </w:rPr>
        <w:t>五、专家管理</w:t>
      </w:r>
    </w:p>
    <w:p>
      <w:pPr>
        <w:spacing w:line="590" w:lineRule="exact"/>
        <w:ind w:firstLine="640" w:firstLineChars="200"/>
        <w:rPr>
          <w:color w:val="auto"/>
          <w:szCs w:val="32"/>
        </w:rPr>
      </w:pPr>
      <w:r>
        <w:rPr>
          <w:rFonts w:eastAsia="楷体_GB2312"/>
          <w:color w:val="auto"/>
          <w:szCs w:val="32"/>
        </w:rPr>
        <w:t>（二十二）</w:t>
      </w:r>
      <w:r>
        <w:rPr>
          <w:color w:val="auto"/>
          <w:szCs w:val="32"/>
        </w:rPr>
        <w:t>专家独立评标的权利依法受到保护。评标过程中，只有评标委员会成员和招标投标行政监督部门人员允许在场，其余人员一概不许在评标场所内。</w:t>
      </w:r>
    </w:p>
    <w:p>
      <w:pPr>
        <w:spacing w:line="590" w:lineRule="exact"/>
        <w:ind w:firstLine="640" w:firstLineChars="200"/>
        <w:rPr>
          <w:color w:val="auto"/>
          <w:szCs w:val="32"/>
        </w:rPr>
      </w:pPr>
      <w:r>
        <w:rPr>
          <w:color w:val="auto"/>
          <w:szCs w:val="32"/>
        </w:rPr>
        <w:t>评标过程全程录音录像，录音录像应当清晰可辨。各招标投标交易场所应建立和完善评标音像记录管理制度，妥善保管评标音像记录。</w:t>
      </w:r>
    </w:p>
    <w:p>
      <w:pPr>
        <w:spacing w:line="590" w:lineRule="exact"/>
        <w:ind w:firstLine="640" w:firstLineChars="200"/>
        <w:rPr>
          <w:color w:val="auto"/>
          <w:szCs w:val="32"/>
        </w:rPr>
      </w:pPr>
      <w:r>
        <w:rPr>
          <w:color w:val="auto"/>
          <w:szCs w:val="32"/>
        </w:rPr>
        <w:t>专家参加评标应遵守招标投标交易场所管理制度，服从行政部门和交易场所管理人员管理。</w:t>
      </w:r>
    </w:p>
    <w:p>
      <w:pPr>
        <w:spacing w:line="590" w:lineRule="exact"/>
        <w:ind w:firstLine="640" w:firstLineChars="200"/>
        <w:rPr>
          <w:color w:val="auto"/>
          <w:szCs w:val="32"/>
        </w:rPr>
      </w:pPr>
      <w:r>
        <w:rPr>
          <w:rFonts w:eastAsia="楷体_GB2312"/>
          <w:color w:val="auto"/>
          <w:szCs w:val="32"/>
        </w:rPr>
        <w:t>（二十三）</w:t>
      </w:r>
      <w:r>
        <w:rPr>
          <w:color w:val="auto"/>
          <w:szCs w:val="32"/>
        </w:rPr>
        <w:t>中标结果公告发出后3日内，招标人应当将评标委员会定量评审结果（定量评审结果中专家姓名以随机编号显示）在招标投标交易场所及其网站上进行公示，接受公众监督。</w:t>
      </w:r>
    </w:p>
    <w:p>
      <w:pPr>
        <w:spacing w:line="590" w:lineRule="exact"/>
        <w:ind w:firstLine="640" w:firstLineChars="200"/>
        <w:rPr>
          <w:color w:val="auto"/>
          <w:szCs w:val="32"/>
        </w:rPr>
      </w:pPr>
      <w:r>
        <w:rPr>
          <w:rFonts w:eastAsia="楷体_GB2312"/>
          <w:color w:val="auto"/>
          <w:szCs w:val="32"/>
        </w:rPr>
        <w:t>（二十四）</w:t>
      </w:r>
      <w:r>
        <w:rPr>
          <w:color w:val="auto"/>
          <w:szCs w:val="32"/>
        </w:rPr>
        <w:t>建立专家评标行为后评估制度，通过随机抽取等方式对评标专家的评标能力、评标质量、职业道德等组织标后评估，并将评估结果纳入信用评价。</w:t>
      </w:r>
    </w:p>
    <w:p>
      <w:pPr>
        <w:spacing w:line="590" w:lineRule="exact"/>
        <w:ind w:firstLine="640" w:firstLineChars="200"/>
        <w:rPr>
          <w:color w:val="auto"/>
          <w:szCs w:val="32"/>
        </w:rPr>
      </w:pPr>
      <w:r>
        <w:rPr>
          <w:rFonts w:eastAsia="楷体_GB2312"/>
          <w:color w:val="auto"/>
          <w:szCs w:val="32"/>
        </w:rPr>
        <w:t>（二十五）</w:t>
      </w:r>
      <w:r>
        <w:rPr>
          <w:color w:val="auto"/>
          <w:szCs w:val="32"/>
        </w:rPr>
        <w:t>评标专家有下列原因之一的，应及时在省评标专家库系统中申请暂停参加评标活动：</w:t>
      </w:r>
    </w:p>
    <w:p>
      <w:pPr>
        <w:spacing w:line="590" w:lineRule="exact"/>
        <w:ind w:firstLine="640" w:firstLineChars="200"/>
        <w:rPr>
          <w:color w:val="auto"/>
          <w:szCs w:val="32"/>
        </w:rPr>
      </w:pPr>
      <w:r>
        <w:rPr>
          <w:color w:val="auto"/>
          <w:szCs w:val="32"/>
        </w:rPr>
        <w:t>1．因健康原因，一定时间内不能胜任评标工作的；</w:t>
      </w:r>
    </w:p>
    <w:p>
      <w:pPr>
        <w:spacing w:line="590" w:lineRule="exact"/>
        <w:ind w:firstLine="640" w:firstLineChars="200"/>
        <w:rPr>
          <w:color w:val="auto"/>
          <w:szCs w:val="32"/>
        </w:rPr>
      </w:pPr>
      <w:r>
        <w:rPr>
          <w:color w:val="auto"/>
          <w:szCs w:val="32"/>
        </w:rPr>
        <w:t>2．因阶段性工作繁忙或工作调动，一定时间内不再适宜担任评标专家的。</w:t>
      </w:r>
    </w:p>
    <w:p>
      <w:pPr>
        <w:spacing w:line="590" w:lineRule="exact"/>
        <w:ind w:firstLine="640" w:firstLineChars="200"/>
        <w:rPr>
          <w:color w:val="auto"/>
          <w:szCs w:val="32"/>
        </w:rPr>
      </w:pPr>
      <w:r>
        <w:rPr>
          <w:color w:val="auto"/>
          <w:szCs w:val="32"/>
        </w:rPr>
        <w:t>评标专家有前款所列情形，本人认为不能再胜任评标工作或不再适宜担任评标专家的</w:t>
      </w:r>
      <w:r>
        <w:rPr>
          <w:szCs w:val="32"/>
        </w:rPr>
        <w:t>，可申请退出评标专家库</w:t>
      </w:r>
      <w:r>
        <w:rPr>
          <w:color w:val="auto"/>
          <w:szCs w:val="32"/>
        </w:rPr>
        <w:t>。</w:t>
      </w:r>
    </w:p>
    <w:p>
      <w:pPr>
        <w:spacing w:line="590" w:lineRule="exact"/>
        <w:ind w:firstLine="640" w:firstLineChars="200"/>
        <w:rPr>
          <w:color w:val="auto"/>
          <w:szCs w:val="32"/>
        </w:rPr>
      </w:pPr>
      <w:r>
        <w:rPr>
          <w:rFonts w:eastAsia="楷体_GB2312"/>
          <w:color w:val="auto"/>
          <w:szCs w:val="32"/>
        </w:rPr>
        <w:t>（二十六）</w:t>
      </w:r>
      <w:r>
        <w:rPr>
          <w:color w:val="auto"/>
          <w:szCs w:val="32"/>
        </w:rPr>
        <w:t>评标专家存在下列情形之一的，暂时冻结省评标专家库评标专家身份：</w:t>
      </w:r>
    </w:p>
    <w:p>
      <w:pPr>
        <w:spacing w:line="590" w:lineRule="exact"/>
        <w:ind w:firstLine="640" w:firstLineChars="200"/>
        <w:rPr>
          <w:color w:val="auto"/>
          <w:szCs w:val="32"/>
        </w:rPr>
      </w:pPr>
      <w:r>
        <w:rPr>
          <w:color w:val="auto"/>
          <w:szCs w:val="32"/>
        </w:rPr>
        <w:t>1．信用评价分数在700分（含本数）以下的；</w:t>
      </w:r>
    </w:p>
    <w:p>
      <w:pPr>
        <w:spacing w:line="590" w:lineRule="exact"/>
        <w:ind w:firstLine="640" w:firstLineChars="200"/>
        <w:rPr>
          <w:color w:val="auto"/>
          <w:szCs w:val="32"/>
        </w:rPr>
      </w:pPr>
      <w:r>
        <w:rPr>
          <w:color w:val="auto"/>
          <w:szCs w:val="32"/>
        </w:rPr>
        <w:t>2．因涉嫌存在招标投标违法违规行为，正在接受有关行政监督部门调查的；</w:t>
      </w:r>
    </w:p>
    <w:p>
      <w:pPr>
        <w:spacing w:line="590" w:lineRule="exact"/>
        <w:ind w:firstLine="640" w:firstLineChars="200"/>
        <w:rPr>
          <w:color w:val="auto"/>
          <w:szCs w:val="32"/>
        </w:rPr>
      </w:pPr>
      <w:r>
        <w:rPr>
          <w:color w:val="auto"/>
          <w:szCs w:val="32"/>
        </w:rPr>
        <w:t>3．因涉嫌违法犯罪，正在接受公安部门、司法部门、监察部门调查审讯或审理的；</w:t>
      </w:r>
    </w:p>
    <w:p>
      <w:pPr>
        <w:spacing w:line="590" w:lineRule="exact"/>
        <w:ind w:firstLine="640" w:firstLineChars="200"/>
        <w:rPr>
          <w:color w:val="auto"/>
          <w:szCs w:val="32"/>
        </w:rPr>
      </w:pPr>
      <w:r>
        <w:rPr>
          <w:color w:val="auto"/>
          <w:szCs w:val="32"/>
        </w:rPr>
        <w:t>4．未在省评标专家库管理部门要求时限内及时更新维护基础信息的；</w:t>
      </w:r>
    </w:p>
    <w:p>
      <w:pPr>
        <w:spacing w:line="590" w:lineRule="exact"/>
        <w:ind w:firstLine="640" w:firstLineChars="200"/>
        <w:rPr>
          <w:color w:val="auto"/>
          <w:szCs w:val="32"/>
        </w:rPr>
      </w:pPr>
      <w:r>
        <w:rPr>
          <w:color w:val="auto"/>
          <w:szCs w:val="32"/>
        </w:rPr>
        <w:t>5．通过电话、短信、电子邮件、QQ、微信等方式明示或暗示参与评标的；</w:t>
      </w:r>
    </w:p>
    <w:p>
      <w:pPr>
        <w:spacing w:line="590" w:lineRule="exact"/>
        <w:ind w:firstLine="640" w:firstLineChars="200"/>
        <w:rPr>
          <w:color w:val="auto"/>
          <w:szCs w:val="32"/>
        </w:rPr>
      </w:pPr>
      <w:r>
        <w:rPr>
          <w:color w:val="auto"/>
          <w:szCs w:val="32"/>
        </w:rPr>
        <w:t>6．聘期到期前申请退出省评标专家库的；</w:t>
      </w:r>
    </w:p>
    <w:p>
      <w:pPr>
        <w:spacing w:line="590" w:lineRule="exact"/>
        <w:ind w:firstLine="640" w:firstLineChars="200"/>
        <w:rPr>
          <w:color w:val="auto"/>
          <w:szCs w:val="32"/>
        </w:rPr>
      </w:pPr>
      <w:r>
        <w:rPr>
          <w:color w:val="auto"/>
          <w:szCs w:val="32"/>
        </w:rPr>
        <w:t>7．未按要求完成当年度在线学习的。</w:t>
      </w:r>
    </w:p>
    <w:p>
      <w:pPr>
        <w:spacing w:line="590" w:lineRule="exact"/>
        <w:ind w:firstLine="640" w:firstLineChars="200"/>
        <w:rPr>
          <w:color w:val="auto"/>
          <w:szCs w:val="32"/>
        </w:rPr>
      </w:pPr>
      <w:r>
        <w:rPr>
          <w:color w:val="auto"/>
          <w:szCs w:val="32"/>
        </w:rPr>
        <w:t>因存在前款所列第1种至第4种情形、第6种情形、第7种情形被暂时冻结身份的，自该情形消失之日起解除身份冻结。存在前款所列第5种情形的，身份冻结期限为自该行为被发现之日起12个月。</w:t>
      </w:r>
    </w:p>
    <w:p>
      <w:pPr>
        <w:spacing w:line="590" w:lineRule="exact"/>
        <w:ind w:firstLine="640" w:firstLineChars="200"/>
        <w:rPr>
          <w:color w:val="auto"/>
          <w:szCs w:val="32"/>
        </w:rPr>
      </w:pPr>
      <w:r>
        <w:rPr>
          <w:rFonts w:eastAsia="楷体_GB2312"/>
          <w:color w:val="auto"/>
          <w:szCs w:val="32"/>
        </w:rPr>
        <w:t>（二十七）</w:t>
      </w:r>
      <w:r>
        <w:rPr>
          <w:color w:val="auto"/>
          <w:szCs w:val="32"/>
        </w:rPr>
        <w:t>评标专家存在下列情形之一的，聘期到期后不予续聘：</w:t>
      </w:r>
    </w:p>
    <w:p>
      <w:pPr>
        <w:spacing w:line="590" w:lineRule="exact"/>
        <w:ind w:firstLine="640" w:firstLineChars="200"/>
        <w:rPr>
          <w:color w:val="auto"/>
          <w:szCs w:val="32"/>
        </w:rPr>
      </w:pPr>
      <w:r>
        <w:rPr>
          <w:color w:val="auto"/>
          <w:szCs w:val="32"/>
        </w:rPr>
        <w:t>1．年满</w:t>
      </w:r>
      <w:r>
        <w:rPr>
          <w:iCs/>
          <w:color w:val="auto"/>
          <w:szCs w:val="32"/>
        </w:rPr>
        <w:t>65</w:t>
      </w:r>
      <w:r>
        <w:rPr>
          <w:color w:val="auto"/>
          <w:szCs w:val="32"/>
        </w:rPr>
        <w:t>周岁的，两院院士或享受政府特殊津贴者放宽至68周岁；</w:t>
      </w:r>
    </w:p>
    <w:p>
      <w:pPr>
        <w:spacing w:line="590" w:lineRule="exact"/>
        <w:ind w:firstLine="640" w:firstLineChars="200"/>
        <w:rPr>
          <w:color w:val="auto"/>
          <w:szCs w:val="32"/>
        </w:rPr>
      </w:pPr>
      <w:r>
        <w:rPr>
          <w:color w:val="auto"/>
          <w:szCs w:val="32"/>
        </w:rPr>
        <w:t>2．</w:t>
      </w:r>
      <w:r>
        <w:rPr>
          <w:color w:val="auto"/>
          <w:spacing w:val="6"/>
          <w:szCs w:val="32"/>
        </w:rPr>
        <w:t>聘期到期时省评标专家库评标专家身份仍处于冻结状态的；</w:t>
      </w:r>
    </w:p>
    <w:p>
      <w:pPr>
        <w:spacing w:line="590" w:lineRule="exact"/>
        <w:ind w:firstLine="640" w:firstLineChars="200"/>
        <w:rPr>
          <w:color w:val="auto"/>
          <w:szCs w:val="32"/>
        </w:rPr>
      </w:pPr>
      <w:r>
        <w:rPr>
          <w:color w:val="auto"/>
          <w:szCs w:val="32"/>
        </w:rPr>
        <w:t>3．</w:t>
      </w:r>
      <w:r>
        <w:rPr>
          <w:color w:val="auto"/>
          <w:spacing w:val="4"/>
          <w:szCs w:val="32"/>
        </w:rPr>
        <w:t>在聘期内申请暂停参加评标活动的时间累计超过200天的；</w:t>
      </w:r>
    </w:p>
    <w:p>
      <w:pPr>
        <w:spacing w:line="590" w:lineRule="exact"/>
        <w:ind w:firstLine="640" w:firstLineChars="200"/>
        <w:rPr>
          <w:color w:val="auto"/>
          <w:szCs w:val="32"/>
        </w:rPr>
      </w:pPr>
      <w:r>
        <w:rPr>
          <w:color w:val="auto"/>
          <w:szCs w:val="32"/>
        </w:rPr>
        <w:t>4．在聘期内被暂时冻结省评标专家库评标专家身份2次及以上的；</w:t>
      </w:r>
    </w:p>
    <w:p>
      <w:pPr>
        <w:spacing w:line="590" w:lineRule="exact"/>
        <w:ind w:firstLine="640" w:firstLineChars="200"/>
        <w:rPr>
          <w:color w:val="auto"/>
          <w:szCs w:val="32"/>
        </w:rPr>
      </w:pPr>
      <w:r>
        <w:rPr>
          <w:color w:val="auto"/>
          <w:szCs w:val="32"/>
        </w:rPr>
        <w:t>5．申请退出省评标专家库的。</w:t>
      </w:r>
    </w:p>
    <w:p>
      <w:pPr>
        <w:spacing w:line="590" w:lineRule="exact"/>
        <w:ind w:firstLine="640" w:firstLineChars="200"/>
        <w:rPr>
          <w:color w:val="auto"/>
          <w:szCs w:val="32"/>
        </w:rPr>
      </w:pPr>
      <w:r>
        <w:rPr>
          <w:color w:val="auto"/>
          <w:szCs w:val="32"/>
        </w:rPr>
        <w:t>评标专家因存在前款第2种至第5种情形不予续聘的，三年内不再接受其入库申请。</w:t>
      </w:r>
    </w:p>
    <w:p>
      <w:pPr>
        <w:spacing w:line="590" w:lineRule="exact"/>
        <w:ind w:firstLine="640" w:firstLineChars="200"/>
        <w:rPr>
          <w:color w:val="auto"/>
          <w:szCs w:val="32"/>
        </w:rPr>
      </w:pPr>
      <w:r>
        <w:rPr>
          <w:rFonts w:eastAsia="楷体_GB2312"/>
          <w:color w:val="auto"/>
          <w:szCs w:val="32"/>
        </w:rPr>
        <w:t>（二十八）</w:t>
      </w:r>
      <w:r>
        <w:rPr>
          <w:color w:val="auto"/>
          <w:szCs w:val="32"/>
        </w:rPr>
        <w:t>评标专家存在下列情形之一的，一经发现从省评标专家库中予以除名：</w:t>
      </w:r>
    </w:p>
    <w:p>
      <w:pPr>
        <w:spacing w:line="590" w:lineRule="exact"/>
        <w:ind w:firstLine="640" w:firstLineChars="200"/>
        <w:rPr>
          <w:color w:val="auto"/>
          <w:szCs w:val="32"/>
        </w:rPr>
      </w:pPr>
      <w:r>
        <w:rPr>
          <w:color w:val="auto"/>
          <w:szCs w:val="32"/>
        </w:rPr>
        <w:t>1．经司法生效判决认定构成犯罪的；</w:t>
      </w:r>
    </w:p>
    <w:p>
      <w:pPr>
        <w:spacing w:line="590" w:lineRule="exact"/>
        <w:ind w:firstLine="640" w:firstLineChars="200"/>
        <w:rPr>
          <w:color w:val="auto"/>
          <w:szCs w:val="32"/>
        </w:rPr>
      </w:pPr>
      <w:r>
        <w:rPr>
          <w:color w:val="auto"/>
          <w:szCs w:val="32"/>
        </w:rPr>
        <w:t>2．被列为失信被执行人的；</w:t>
      </w:r>
    </w:p>
    <w:p>
      <w:pPr>
        <w:spacing w:line="590" w:lineRule="exact"/>
        <w:ind w:firstLine="640" w:firstLineChars="200"/>
        <w:rPr>
          <w:color w:val="auto"/>
          <w:szCs w:val="32"/>
        </w:rPr>
      </w:pPr>
      <w:r>
        <w:rPr>
          <w:color w:val="auto"/>
          <w:szCs w:val="32"/>
        </w:rPr>
        <w:t>3．因在招标投标活动中从事违法违规行为被有关行政部门予以行政处罚的；</w:t>
      </w:r>
    </w:p>
    <w:p>
      <w:pPr>
        <w:spacing w:line="590" w:lineRule="exact"/>
        <w:ind w:firstLine="640" w:firstLineChars="200"/>
        <w:rPr>
          <w:color w:val="auto"/>
          <w:szCs w:val="32"/>
        </w:rPr>
      </w:pPr>
      <w:r>
        <w:rPr>
          <w:color w:val="auto"/>
          <w:szCs w:val="32"/>
        </w:rPr>
        <w:t>4．经公安机关、司法部门、监察部门或有关行政监督部门认定存在参与他人招标投标领域违法违规行为、犯罪行为或为他人招标投标领域违法违规行为、犯罪行为提供便利的；</w:t>
      </w:r>
    </w:p>
    <w:p>
      <w:pPr>
        <w:spacing w:line="590" w:lineRule="exact"/>
        <w:ind w:firstLine="640" w:firstLineChars="200"/>
        <w:rPr>
          <w:color w:val="auto"/>
          <w:szCs w:val="32"/>
        </w:rPr>
      </w:pPr>
      <w:r>
        <w:rPr>
          <w:color w:val="auto"/>
          <w:szCs w:val="32"/>
        </w:rPr>
        <w:t>5．弄虚作假骗取省评标专家库评标专家身份的。</w:t>
      </w:r>
    </w:p>
    <w:p>
      <w:pPr>
        <w:spacing w:line="590" w:lineRule="exact"/>
        <w:ind w:firstLine="640" w:firstLineChars="200"/>
        <w:rPr>
          <w:color w:val="auto"/>
          <w:szCs w:val="32"/>
        </w:rPr>
      </w:pPr>
      <w:r>
        <w:rPr>
          <w:color w:val="auto"/>
          <w:szCs w:val="32"/>
        </w:rPr>
        <w:t>评标专家因前款情形被除名的，终生不再接受其入库申请。</w:t>
      </w:r>
    </w:p>
    <w:p>
      <w:pPr>
        <w:spacing w:line="590" w:lineRule="exact"/>
        <w:ind w:firstLine="640" w:firstLineChars="200"/>
        <w:rPr>
          <w:color w:val="auto"/>
          <w:szCs w:val="32"/>
        </w:rPr>
      </w:pPr>
      <w:r>
        <w:rPr>
          <w:rFonts w:eastAsia="楷体_GB2312"/>
          <w:color w:val="auto"/>
          <w:szCs w:val="32"/>
        </w:rPr>
        <w:t>（二十九）</w:t>
      </w:r>
      <w:r>
        <w:rPr>
          <w:color w:val="auto"/>
          <w:szCs w:val="32"/>
        </w:rPr>
        <w:t>各招标投标（公共资源交易）综合管理部门、有</w:t>
      </w:r>
      <w:r>
        <w:rPr>
          <w:color w:val="auto"/>
          <w:spacing w:val="2"/>
          <w:szCs w:val="32"/>
        </w:rPr>
        <w:t>关行政部门发现评标专家存在第二十六条、第二十七条和第二十八条所列情形的，应及时报送省招管中心依照本细则规定做出处理。</w:t>
      </w:r>
    </w:p>
    <w:p>
      <w:pPr>
        <w:spacing w:line="590" w:lineRule="exact"/>
        <w:ind w:firstLine="640" w:firstLineChars="200"/>
        <w:rPr>
          <w:szCs w:val="32"/>
        </w:rPr>
      </w:pPr>
      <w:r>
        <w:rPr>
          <w:color w:val="auto"/>
          <w:szCs w:val="32"/>
        </w:rPr>
        <w:t>对因招标投标活动受到行政处罚的专家和除名专家应在省评标专家库</w:t>
      </w:r>
      <w:r>
        <w:rPr>
          <w:szCs w:val="32"/>
        </w:rPr>
        <w:t>系统和浙江省公共资源交易服务平台进行公开。</w:t>
      </w:r>
    </w:p>
    <w:p>
      <w:pPr>
        <w:spacing w:line="590" w:lineRule="exact"/>
        <w:ind w:firstLine="640" w:firstLineChars="200"/>
        <w:rPr>
          <w:szCs w:val="32"/>
        </w:rPr>
      </w:pPr>
      <w:r>
        <w:rPr>
          <w:rFonts w:eastAsia="楷体_GB2312"/>
          <w:szCs w:val="32"/>
        </w:rPr>
        <w:t>（三十）</w:t>
      </w:r>
      <w:r>
        <w:rPr>
          <w:spacing w:val="4"/>
          <w:szCs w:val="32"/>
        </w:rPr>
        <w:t>在库评标专家应在评标专家库系统参加继续教育在线学习，对法律法规、职业道德及专业知识进行学习培训，每年度必须完成相应学分的学习，并通过考试测评。评标专家继续教育情况记入评标专家信用档案，纳入评标专家年度信用评价。</w:t>
      </w:r>
    </w:p>
    <w:p>
      <w:pPr>
        <w:spacing w:line="590" w:lineRule="exact"/>
        <w:ind w:firstLine="640" w:firstLineChars="200"/>
        <w:rPr>
          <w:szCs w:val="32"/>
        </w:rPr>
      </w:pPr>
      <w:r>
        <w:rPr>
          <w:szCs w:val="32"/>
        </w:rPr>
        <w:t>省发展改革委会同省有关行政部门负责评标专家在线学习资料及题库的编制，各管理区招标投标</w:t>
      </w:r>
      <w:r>
        <w:rPr>
          <w:color w:val="auto"/>
          <w:szCs w:val="32"/>
        </w:rPr>
        <w:t>（公共资源交易）</w:t>
      </w:r>
      <w:r>
        <w:rPr>
          <w:szCs w:val="32"/>
        </w:rPr>
        <w:t>综合管理部门和公共资源交易中心协助做好相关工作。</w:t>
      </w:r>
    </w:p>
    <w:p>
      <w:pPr>
        <w:spacing w:line="590" w:lineRule="exact"/>
        <w:ind w:firstLine="640" w:firstLineChars="200"/>
        <w:jc w:val="both"/>
        <w:rPr>
          <w:rFonts w:eastAsia="黑体"/>
          <w:szCs w:val="32"/>
        </w:rPr>
      </w:pPr>
      <w:r>
        <w:rPr>
          <w:rFonts w:eastAsia="黑体"/>
          <w:szCs w:val="32"/>
        </w:rPr>
        <w:t>六、评标劳务报酬</w:t>
      </w:r>
    </w:p>
    <w:p>
      <w:pPr>
        <w:spacing w:line="590" w:lineRule="exact"/>
        <w:ind w:firstLine="640" w:firstLineChars="200"/>
        <w:rPr>
          <w:szCs w:val="32"/>
        </w:rPr>
      </w:pPr>
      <w:r>
        <w:rPr>
          <w:rFonts w:eastAsia="楷体_GB2312"/>
          <w:szCs w:val="32"/>
        </w:rPr>
        <w:t>（三十一）</w:t>
      </w:r>
      <w:r>
        <w:rPr>
          <w:szCs w:val="32"/>
        </w:rPr>
        <w:t>评标专家有获得评标劳务报酬的权利。</w:t>
      </w:r>
    </w:p>
    <w:p>
      <w:pPr>
        <w:spacing w:line="590" w:lineRule="exact"/>
        <w:ind w:firstLine="640" w:firstLineChars="200"/>
        <w:rPr>
          <w:color w:val="auto"/>
          <w:szCs w:val="32"/>
        </w:rPr>
      </w:pPr>
      <w:r>
        <w:rPr>
          <w:szCs w:val="32"/>
        </w:rPr>
        <w:t>评标劳务报酬由招标人或其委托的招标代理机构支付，</w:t>
      </w:r>
      <w:r>
        <w:rPr>
          <w:color w:val="auto"/>
          <w:szCs w:val="32"/>
        </w:rPr>
        <w:t>一般应在评标结束后当场支付，评标期间招标人或其委托的招标代理</w:t>
      </w:r>
      <w:r>
        <w:rPr>
          <w:szCs w:val="32"/>
        </w:rPr>
        <w:t>机</w:t>
      </w:r>
      <w:r>
        <w:rPr>
          <w:color w:val="auto"/>
          <w:szCs w:val="32"/>
        </w:rPr>
        <w:t>构不得留存评标专</w:t>
      </w:r>
      <w:r>
        <w:rPr>
          <w:szCs w:val="32"/>
        </w:rPr>
        <w:t>家身份证复印件、联系方式等信息。</w:t>
      </w:r>
    </w:p>
    <w:p>
      <w:pPr>
        <w:spacing w:line="590" w:lineRule="exact"/>
        <w:ind w:firstLine="640" w:firstLineChars="200"/>
        <w:rPr>
          <w:szCs w:val="32"/>
        </w:rPr>
      </w:pPr>
      <w:r>
        <w:rPr>
          <w:rFonts w:eastAsia="楷体_GB2312"/>
          <w:szCs w:val="32"/>
        </w:rPr>
        <w:t>（三十二）</w:t>
      </w:r>
      <w:r>
        <w:rPr>
          <w:szCs w:val="32"/>
        </w:rPr>
        <w:t>各管理区招标投标</w:t>
      </w:r>
      <w:r>
        <w:rPr>
          <w:color w:val="auto"/>
          <w:szCs w:val="32"/>
        </w:rPr>
        <w:t>（公共资源交易）</w:t>
      </w:r>
      <w:r>
        <w:rPr>
          <w:szCs w:val="32"/>
        </w:rPr>
        <w:t>综合管理部门可参照《浙江省综合性评标专家库专家评标劳务报酬参考标准》制定本区域评标劳务报酬支付标准，但应通过省评标专家库系统、省公共资源交易服务平台向社会公开。</w:t>
      </w:r>
    </w:p>
    <w:p>
      <w:pPr>
        <w:pStyle w:val="4"/>
        <w:widowControl w:val="0"/>
        <w:spacing w:before="0" w:beforeAutospacing="0" w:after="0" w:afterAutospacing="0" w:line="590" w:lineRule="exact"/>
        <w:ind w:firstLine="640" w:firstLineChars="200"/>
        <w:jc w:val="both"/>
        <w:rPr>
          <w:rFonts w:eastAsia="仿宋_GB2312"/>
          <w:kern w:val="2"/>
          <w:sz w:val="32"/>
          <w:szCs w:val="32"/>
        </w:rPr>
      </w:pPr>
      <w:r>
        <w:rPr>
          <w:rFonts w:eastAsia="楷体_GB2312"/>
          <w:kern w:val="2"/>
          <w:sz w:val="32"/>
          <w:szCs w:val="32"/>
        </w:rPr>
        <w:t>（三十三）</w:t>
      </w:r>
      <w:r>
        <w:rPr>
          <w:rFonts w:eastAsia="仿宋_GB2312"/>
          <w:kern w:val="2"/>
          <w:sz w:val="32"/>
          <w:szCs w:val="32"/>
        </w:rPr>
        <w:t>招标人应在评标专家抽取时将评标劳务报酬标准明确告知评标专家。</w:t>
      </w:r>
    </w:p>
    <w:p>
      <w:pPr>
        <w:pStyle w:val="4"/>
        <w:widowControl w:val="0"/>
        <w:spacing w:before="0" w:beforeAutospacing="0" w:after="0" w:afterAutospacing="0" w:line="590" w:lineRule="exact"/>
        <w:ind w:firstLine="640" w:firstLineChars="200"/>
        <w:jc w:val="both"/>
        <w:rPr>
          <w:rFonts w:eastAsia="仿宋_GB2312"/>
          <w:kern w:val="2"/>
          <w:sz w:val="32"/>
          <w:szCs w:val="32"/>
        </w:rPr>
      </w:pPr>
      <w:r>
        <w:rPr>
          <w:rFonts w:eastAsia="仿宋_GB2312"/>
          <w:kern w:val="2"/>
          <w:sz w:val="32"/>
          <w:szCs w:val="32"/>
        </w:rPr>
        <w:t>评标专家确认参加评标的，应接受告知标准给付的酬劳，不得提出更高标准酬劳或其他不合理费用要求。</w:t>
      </w:r>
    </w:p>
    <w:p>
      <w:pPr>
        <w:pStyle w:val="4"/>
        <w:widowControl w:val="0"/>
        <w:spacing w:before="0" w:beforeAutospacing="0" w:after="0" w:afterAutospacing="0" w:line="590" w:lineRule="exact"/>
        <w:ind w:firstLine="640" w:firstLineChars="200"/>
        <w:jc w:val="both"/>
        <w:rPr>
          <w:rFonts w:eastAsia="仿宋_GB2312"/>
          <w:kern w:val="2"/>
          <w:sz w:val="32"/>
          <w:szCs w:val="32"/>
        </w:rPr>
      </w:pPr>
      <w:r>
        <w:rPr>
          <w:rFonts w:eastAsia="楷体_GB2312"/>
          <w:kern w:val="2"/>
          <w:sz w:val="32"/>
          <w:szCs w:val="32"/>
        </w:rPr>
        <w:t>（三十四）</w:t>
      </w:r>
      <w:r>
        <w:rPr>
          <w:rFonts w:eastAsia="仿宋_GB2312"/>
          <w:kern w:val="2"/>
          <w:sz w:val="32"/>
          <w:szCs w:val="32"/>
        </w:rPr>
        <w:t>评标专家对所得酬劳有异议的，可向招标投标（公共资源交易）综合管理部门反映，但不得以酬劳低为由拒绝在评标报告上签字；拒绝签字且不陈述其不同意见和理由的，视为同意评标结论。评标委员会应当对此作出书面说明并记录在案，同时将有关情况反映至招标投标</w:t>
      </w:r>
      <w:r>
        <w:rPr>
          <w:rFonts w:eastAsia="仿宋_GB2312"/>
          <w:color w:val="auto"/>
          <w:sz w:val="32"/>
          <w:szCs w:val="32"/>
        </w:rPr>
        <w:t>（公共资源交易）</w:t>
      </w:r>
      <w:r>
        <w:rPr>
          <w:rFonts w:eastAsia="仿宋_GB2312"/>
          <w:kern w:val="2"/>
          <w:sz w:val="32"/>
          <w:szCs w:val="32"/>
        </w:rPr>
        <w:t>综合管理部门或有关行政监督部门。</w:t>
      </w:r>
    </w:p>
    <w:p>
      <w:pPr>
        <w:spacing w:line="590" w:lineRule="exact"/>
        <w:ind w:firstLine="640" w:firstLineChars="200"/>
        <w:rPr>
          <w:szCs w:val="32"/>
        </w:rPr>
      </w:pPr>
      <w:r>
        <w:rPr>
          <w:rFonts w:eastAsia="楷体_GB2312"/>
          <w:szCs w:val="32"/>
        </w:rPr>
        <w:t>（三十五）</w:t>
      </w:r>
      <w:r>
        <w:rPr>
          <w:szCs w:val="32"/>
        </w:rPr>
        <w:t>招标人或招标代理机构不按规定支付评标劳务报酬的，由招标投标</w:t>
      </w:r>
      <w:r>
        <w:rPr>
          <w:color w:val="auto"/>
          <w:szCs w:val="32"/>
        </w:rPr>
        <w:t>（公共资源交易）</w:t>
      </w:r>
      <w:r>
        <w:rPr>
          <w:szCs w:val="32"/>
        </w:rPr>
        <w:t>综合管理部门责令限期改正。</w:t>
      </w:r>
    </w:p>
    <w:p>
      <w:pPr>
        <w:spacing w:line="620" w:lineRule="exact"/>
        <w:ind w:firstLine="640" w:firstLineChars="200"/>
        <w:jc w:val="both"/>
        <w:rPr>
          <w:rFonts w:eastAsia="黑体"/>
          <w:szCs w:val="32"/>
        </w:rPr>
      </w:pPr>
      <w:r>
        <w:rPr>
          <w:rFonts w:eastAsia="黑体"/>
          <w:szCs w:val="32"/>
        </w:rPr>
        <w:t>七、责任追究</w:t>
      </w:r>
    </w:p>
    <w:p>
      <w:pPr>
        <w:spacing w:line="620" w:lineRule="exact"/>
        <w:ind w:firstLine="640" w:firstLineChars="200"/>
        <w:rPr>
          <w:szCs w:val="32"/>
        </w:rPr>
      </w:pPr>
      <w:r>
        <w:rPr>
          <w:rFonts w:eastAsia="楷体_GB2312"/>
          <w:szCs w:val="32"/>
        </w:rPr>
        <w:t>（三十六）</w:t>
      </w:r>
      <w:r>
        <w:rPr>
          <w:szCs w:val="32"/>
        </w:rPr>
        <w:t>评标专家存在违反招标投标法律法规行为的，按照《中华人民共和国招标投标法》等法律法规进行处理，构成犯罪的，依法追究刑事责任。行政监督部门发现专家有违法行为，构成犯罪的，应当移送司法机关。</w:t>
      </w:r>
    </w:p>
    <w:p>
      <w:pPr>
        <w:spacing w:line="620" w:lineRule="exact"/>
        <w:ind w:firstLine="640" w:firstLineChars="200"/>
        <w:rPr>
          <w:color w:val="auto"/>
          <w:szCs w:val="32"/>
        </w:rPr>
      </w:pPr>
      <w:r>
        <w:rPr>
          <w:rFonts w:eastAsia="楷体_GB2312"/>
          <w:szCs w:val="32"/>
        </w:rPr>
        <w:t>（三十七）</w:t>
      </w:r>
      <w:r>
        <w:rPr>
          <w:color w:val="auto"/>
          <w:szCs w:val="32"/>
        </w:rPr>
        <w:t>省招管中心和设区市招标投标（公共资源交易）综合管理部门的评标专家管理科室负责人任职时间原则上不超过5年。</w:t>
      </w:r>
    </w:p>
    <w:p>
      <w:pPr>
        <w:spacing w:line="620" w:lineRule="exact"/>
        <w:ind w:firstLine="640" w:firstLineChars="200"/>
        <w:rPr>
          <w:color w:val="auto"/>
          <w:szCs w:val="32"/>
        </w:rPr>
      </w:pPr>
      <w:r>
        <w:rPr>
          <w:color w:val="auto"/>
          <w:szCs w:val="32"/>
        </w:rPr>
        <w:t>有关行政部门、招标投标综合管理部门、各招投标交易场所及其工作人员违反本细则规定的，对直接负责的主管人员和其他直接责任人员，由有权机关按照管理权限依法给予处分。</w:t>
      </w:r>
    </w:p>
    <w:p>
      <w:pPr>
        <w:spacing w:line="620" w:lineRule="exact"/>
        <w:ind w:firstLine="640" w:firstLineChars="200"/>
        <w:rPr>
          <w:color w:val="auto"/>
          <w:szCs w:val="32"/>
        </w:rPr>
      </w:pPr>
      <w:r>
        <w:rPr>
          <w:color w:val="auto"/>
          <w:szCs w:val="32"/>
        </w:rPr>
        <w:t>网络抽取终端工作人员违规操作的，视情节暂停或取消网络抽取终端抽取权限，造成严重后果的，承担相应法律责任。</w:t>
      </w:r>
    </w:p>
    <w:p>
      <w:pPr>
        <w:spacing w:line="620" w:lineRule="exact"/>
        <w:ind w:firstLine="640" w:firstLineChars="200"/>
        <w:rPr>
          <w:color w:val="auto"/>
          <w:szCs w:val="32"/>
        </w:rPr>
      </w:pPr>
      <w:r>
        <w:rPr>
          <w:rFonts w:eastAsia="楷体_GB2312"/>
          <w:szCs w:val="32"/>
        </w:rPr>
        <w:t>（三十八）</w:t>
      </w:r>
      <w:r>
        <w:rPr>
          <w:color w:val="auto"/>
          <w:szCs w:val="32"/>
        </w:rPr>
        <w:t>招标人违反本细则规定，有下列行为之一的，行政监督部门应当责令其改正：</w:t>
      </w:r>
    </w:p>
    <w:p>
      <w:pPr>
        <w:spacing w:line="620" w:lineRule="exact"/>
        <w:ind w:firstLine="640" w:firstLineChars="200"/>
        <w:rPr>
          <w:color w:val="auto"/>
          <w:szCs w:val="32"/>
        </w:rPr>
      </w:pPr>
      <w:r>
        <w:rPr>
          <w:color w:val="auto"/>
          <w:szCs w:val="32"/>
        </w:rPr>
        <w:t>（一）未依照本细则的规定抽取或者补抽评标专家的；</w:t>
      </w:r>
    </w:p>
    <w:p>
      <w:pPr>
        <w:spacing w:line="620" w:lineRule="exact"/>
        <w:ind w:firstLine="640" w:firstLineChars="200"/>
        <w:rPr>
          <w:color w:val="auto"/>
          <w:szCs w:val="32"/>
        </w:rPr>
      </w:pPr>
      <w:r>
        <w:rPr>
          <w:color w:val="auto"/>
          <w:szCs w:val="32"/>
        </w:rPr>
        <w:t>（二）未依照本细则第二十三条规定将专家定量评审结果在指定媒介公示的。</w:t>
      </w:r>
    </w:p>
    <w:p>
      <w:pPr>
        <w:spacing w:line="620" w:lineRule="exact"/>
        <w:ind w:firstLine="640" w:firstLineChars="200"/>
        <w:jc w:val="both"/>
        <w:rPr>
          <w:rFonts w:eastAsia="黑体"/>
          <w:szCs w:val="32"/>
        </w:rPr>
      </w:pPr>
      <w:r>
        <w:rPr>
          <w:rFonts w:eastAsia="黑体"/>
          <w:szCs w:val="32"/>
        </w:rPr>
        <w:t>八、附则</w:t>
      </w:r>
    </w:p>
    <w:p>
      <w:pPr>
        <w:spacing w:line="620" w:lineRule="exact"/>
        <w:ind w:firstLine="640" w:firstLineChars="200"/>
        <w:rPr>
          <w:szCs w:val="32"/>
        </w:rPr>
      </w:pPr>
      <w:r>
        <w:rPr>
          <w:rFonts w:eastAsia="楷体_GB2312"/>
          <w:szCs w:val="32"/>
        </w:rPr>
        <w:t>（三十九）</w:t>
      </w:r>
      <w:r>
        <w:rPr>
          <w:szCs w:val="32"/>
        </w:rPr>
        <w:t>本细则由浙江省发展和改革委员会负责解释。</w:t>
      </w:r>
    </w:p>
    <w:p>
      <w:pPr>
        <w:spacing w:line="620" w:lineRule="exact"/>
        <w:ind w:firstLine="640" w:firstLineChars="200"/>
        <w:rPr>
          <w:color w:val="auto"/>
          <w:szCs w:val="32"/>
        </w:rPr>
      </w:pPr>
      <w:r>
        <w:rPr>
          <w:rFonts w:eastAsia="楷体_GB2312"/>
          <w:szCs w:val="32"/>
        </w:rPr>
        <w:t>（四十）</w:t>
      </w:r>
      <w:r>
        <w:rPr>
          <w:szCs w:val="32"/>
        </w:rPr>
        <w:t>本细则自2021年7月</w:t>
      </w:r>
      <w:r>
        <w:rPr>
          <w:rFonts w:hint="eastAsia"/>
          <w:szCs w:val="32"/>
        </w:rPr>
        <w:t>10</w:t>
      </w:r>
      <w:r>
        <w:rPr>
          <w:szCs w:val="32"/>
        </w:rPr>
        <w:t>日起施行。原《浙江省综合性评标专家库管理办法实施细则》（浙发改法规</w:t>
      </w:r>
      <w:r>
        <w:rPr>
          <w:kern w:val="0"/>
          <w:szCs w:val="32"/>
        </w:rPr>
        <w:t>〔2014〕</w:t>
      </w:r>
      <w:r>
        <w:rPr>
          <w:szCs w:val="32"/>
        </w:rPr>
        <w:t>645号）同时废</w:t>
      </w:r>
      <w:r>
        <w:rPr>
          <w:color w:val="auto"/>
          <w:szCs w:val="32"/>
        </w:rPr>
        <w:t xml:space="preserve">止。 </w:t>
      </w:r>
    </w:p>
    <w:p>
      <w:pPr>
        <w:pStyle w:val="3"/>
        <w:spacing w:line="590" w:lineRule="exact"/>
        <w:ind w:left="0" w:leftChars="0" w:firstLine="640" w:firstLineChars="200"/>
        <w:rPr>
          <w:rFonts w:ascii="Times New Roman" w:hAnsi="Times New Roman" w:eastAsia="仿宋_GB2312"/>
          <w:color w:val="auto"/>
          <w:sz w:val="32"/>
          <w:szCs w:val="32"/>
        </w:rPr>
      </w:pPr>
    </w:p>
    <w:p>
      <w:pPr>
        <w:spacing w:line="590" w:lineRule="exact"/>
        <w:ind w:firstLine="640" w:firstLineChars="200"/>
        <w:rPr>
          <w:rFonts w:hint="eastAsia"/>
          <w:szCs w:val="32"/>
        </w:rPr>
      </w:pPr>
      <w:r>
        <w:rPr>
          <w:szCs w:val="32"/>
        </w:rPr>
        <w:t>附：1</w:t>
      </w:r>
      <w:r>
        <w:rPr>
          <w:color w:val="auto"/>
          <w:szCs w:val="32"/>
        </w:rPr>
        <w:t>．</w:t>
      </w:r>
      <w:r>
        <w:rPr>
          <w:spacing w:val="0"/>
          <w:szCs w:val="32"/>
        </w:rPr>
        <w:t>浙江省综合性评标专家库评标专家信用评价标准</w:t>
      </w:r>
    </w:p>
    <w:p>
      <w:pPr>
        <w:spacing w:line="590" w:lineRule="exact"/>
        <w:ind w:firstLine="640" w:firstLineChars="200"/>
        <w:rPr>
          <w:szCs w:val="32"/>
        </w:rPr>
      </w:pPr>
      <w:r>
        <w:rPr>
          <w:rFonts w:hint="eastAsia"/>
          <w:szCs w:val="32"/>
        </w:rPr>
        <w:t xml:space="preserve">      </w:t>
      </w:r>
      <w:r>
        <w:rPr>
          <w:spacing w:val="0"/>
          <w:szCs w:val="32"/>
        </w:rPr>
        <w:t>（试行）</w:t>
      </w:r>
    </w:p>
    <w:p>
      <w:pPr>
        <w:spacing w:line="590" w:lineRule="exact"/>
        <w:ind w:firstLine="640" w:firstLineChars="200"/>
        <w:rPr>
          <w:rFonts w:hint="eastAsia"/>
          <w:szCs w:val="32"/>
        </w:rPr>
      </w:pPr>
      <w:r>
        <w:rPr>
          <w:rFonts w:hint="eastAsia"/>
          <w:szCs w:val="32"/>
        </w:rPr>
        <w:t xml:space="preserve">    </w:t>
      </w:r>
      <w:r>
        <w:rPr>
          <w:szCs w:val="32"/>
        </w:rPr>
        <w:t>2</w:t>
      </w:r>
      <w:r>
        <w:rPr>
          <w:color w:val="auto"/>
          <w:szCs w:val="32"/>
        </w:rPr>
        <w:t>．</w:t>
      </w:r>
      <w:r>
        <w:rPr>
          <w:szCs w:val="32"/>
        </w:rPr>
        <w:t>浙江省综合性评标专家库专家评标劳务报酬参考</w:t>
      </w:r>
    </w:p>
    <w:p>
      <w:pPr>
        <w:spacing w:line="590" w:lineRule="exact"/>
        <w:ind w:firstLine="640" w:firstLineChars="200"/>
        <w:rPr>
          <w:szCs w:val="32"/>
        </w:rPr>
      </w:pPr>
      <w:r>
        <w:rPr>
          <w:rFonts w:hint="eastAsia"/>
          <w:szCs w:val="32"/>
        </w:rPr>
        <w:t xml:space="preserve">       </w:t>
      </w:r>
      <w:r>
        <w:rPr>
          <w:szCs w:val="32"/>
        </w:rPr>
        <w:t>标准</w:t>
      </w:r>
    </w:p>
    <w:p>
      <w:pPr>
        <w:spacing w:line="590" w:lineRule="exact"/>
        <w:rPr>
          <w:kern w:val="0"/>
          <w:szCs w:val="22"/>
        </w:rPr>
      </w:pPr>
    </w:p>
    <w:p>
      <w:pPr>
        <w:spacing w:line="590" w:lineRule="exact"/>
        <w:rPr>
          <w:bCs/>
          <w:sz w:val="30"/>
          <w:szCs w:val="30"/>
        </w:rPr>
        <w:sectPr>
          <w:footerReference r:id="rId3" w:type="default"/>
          <w:footerReference r:id="rId4" w:type="even"/>
          <w:pgSz w:w="11906" w:h="16838"/>
          <w:pgMar w:top="1871" w:right="1531" w:bottom="1701" w:left="1531" w:header="851" w:footer="1531" w:gutter="0"/>
          <w:cols w:space="720" w:num="1"/>
          <w:docGrid w:linePitch="312" w:charSpace="0"/>
        </w:sectPr>
      </w:pPr>
    </w:p>
    <w:p>
      <w:pPr>
        <w:spacing w:line="590" w:lineRule="exact"/>
        <w:rPr>
          <w:rFonts w:eastAsia="黑体"/>
          <w:color w:val="auto"/>
          <w:szCs w:val="32"/>
        </w:rPr>
      </w:pPr>
      <w:r>
        <w:rPr>
          <w:rFonts w:eastAsia="黑体"/>
          <w:color w:val="auto"/>
          <w:szCs w:val="32"/>
        </w:rPr>
        <w:t>附1</w:t>
      </w:r>
    </w:p>
    <w:p>
      <w:pPr>
        <w:spacing w:line="400" w:lineRule="exact"/>
        <w:ind w:firstLine="640" w:firstLineChars="200"/>
        <w:rPr>
          <w:rFonts w:eastAsia="黑体"/>
          <w:color w:val="auto"/>
          <w:szCs w:val="32"/>
        </w:rPr>
      </w:pPr>
    </w:p>
    <w:p>
      <w:pPr>
        <w:spacing w:line="590" w:lineRule="exact"/>
        <w:jc w:val="center"/>
        <w:rPr>
          <w:rFonts w:hint="eastAsia" w:eastAsia="方正小标宋简体"/>
          <w:color w:val="auto"/>
          <w:kern w:val="0"/>
          <w:sz w:val="44"/>
          <w:szCs w:val="44"/>
        </w:rPr>
      </w:pPr>
      <w:r>
        <w:rPr>
          <w:rFonts w:eastAsia="方正小标宋简体"/>
          <w:color w:val="auto"/>
          <w:kern w:val="0"/>
          <w:sz w:val="44"/>
          <w:szCs w:val="44"/>
        </w:rPr>
        <w:t>浙江省综合性评标专家库评标专家信用评价标准（试行）</w:t>
      </w:r>
    </w:p>
    <w:p>
      <w:pPr>
        <w:spacing w:line="400" w:lineRule="exact"/>
        <w:jc w:val="both"/>
        <w:rPr>
          <w:rFonts w:eastAsia="黑体"/>
          <w:color w:val="auto"/>
          <w:szCs w:val="32"/>
        </w:rPr>
      </w:pPr>
    </w:p>
    <w:tbl>
      <w:tblPr>
        <w:tblStyle w:val="7"/>
        <w:tblW w:w="1332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080"/>
        <w:gridCol w:w="786"/>
        <w:gridCol w:w="809"/>
        <w:gridCol w:w="810"/>
        <w:gridCol w:w="3558"/>
        <w:gridCol w:w="3422"/>
        <w:gridCol w:w="1181"/>
        <w:gridCol w:w="16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tblHeader/>
          <w:jc w:val="center"/>
        </w:trPr>
        <w:tc>
          <w:tcPr>
            <w:tcW w:w="1080" w:type="dxa"/>
            <w:vAlign w:val="center"/>
          </w:tcPr>
          <w:p>
            <w:pPr>
              <w:widowControl/>
              <w:spacing w:line="240" w:lineRule="auto"/>
              <w:jc w:val="center"/>
              <w:textAlignment w:val="center"/>
              <w:rPr>
                <w:rFonts w:eastAsia="黑体"/>
                <w:bCs/>
                <w:color w:val="auto"/>
                <w:sz w:val="24"/>
              </w:rPr>
            </w:pPr>
            <w:r>
              <w:rPr>
                <w:rFonts w:eastAsia="黑体"/>
                <w:bCs/>
                <w:color w:val="auto"/>
                <w:kern w:val="0"/>
                <w:sz w:val="24"/>
              </w:rPr>
              <w:t>一级指标</w:t>
            </w:r>
            <w:r>
              <w:rPr>
                <w:rFonts w:eastAsia="黑体"/>
                <w:bCs/>
                <w:color w:val="auto"/>
                <w:kern w:val="0"/>
                <w:sz w:val="24"/>
              </w:rPr>
              <w:br w:type="textWrapping"/>
            </w:r>
            <w:r>
              <w:rPr>
                <w:rFonts w:eastAsia="黑体"/>
                <w:bCs/>
                <w:color w:val="auto"/>
                <w:kern w:val="0"/>
                <w:sz w:val="24"/>
              </w:rPr>
              <w:t>（权重）</w:t>
            </w:r>
          </w:p>
        </w:tc>
        <w:tc>
          <w:tcPr>
            <w:tcW w:w="786" w:type="dxa"/>
            <w:vAlign w:val="center"/>
          </w:tcPr>
          <w:p>
            <w:pPr>
              <w:widowControl/>
              <w:spacing w:line="240" w:lineRule="auto"/>
              <w:jc w:val="center"/>
              <w:textAlignment w:val="center"/>
              <w:rPr>
                <w:rFonts w:eastAsia="黑体"/>
                <w:bCs/>
                <w:color w:val="auto"/>
                <w:sz w:val="24"/>
              </w:rPr>
            </w:pPr>
            <w:r>
              <w:rPr>
                <w:rFonts w:eastAsia="黑体"/>
                <w:bCs/>
                <w:color w:val="auto"/>
                <w:kern w:val="0"/>
                <w:sz w:val="24"/>
              </w:rPr>
              <w:t>权重1</w:t>
            </w:r>
          </w:p>
        </w:tc>
        <w:tc>
          <w:tcPr>
            <w:tcW w:w="809" w:type="dxa"/>
            <w:vAlign w:val="center"/>
          </w:tcPr>
          <w:p>
            <w:pPr>
              <w:widowControl/>
              <w:spacing w:line="240" w:lineRule="auto"/>
              <w:jc w:val="center"/>
              <w:textAlignment w:val="center"/>
              <w:rPr>
                <w:rFonts w:eastAsia="黑体"/>
                <w:bCs/>
                <w:color w:val="auto"/>
                <w:kern w:val="0"/>
                <w:sz w:val="24"/>
              </w:rPr>
            </w:pPr>
            <w:r>
              <w:rPr>
                <w:rFonts w:eastAsia="黑体"/>
                <w:bCs/>
                <w:color w:val="auto"/>
                <w:kern w:val="0"/>
                <w:sz w:val="24"/>
              </w:rPr>
              <w:t>二级</w:t>
            </w:r>
          </w:p>
          <w:p>
            <w:pPr>
              <w:widowControl/>
              <w:spacing w:line="240" w:lineRule="auto"/>
              <w:jc w:val="center"/>
              <w:textAlignment w:val="center"/>
              <w:rPr>
                <w:rFonts w:eastAsia="黑体"/>
                <w:bCs/>
                <w:color w:val="auto"/>
                <w:sz w:val="24"/>
              </w:rPr>
            </w:pPr>
            <w:r>
              <w:rPr>
                <w:rFonts w:eastAsia="黑体"/>
                <w:bCs/>
                <w:color w:val="auto"/>
                <w:kern w:val="0"/>
                <w:sz w:val="24"/>
              </w:rPr>
              <w:t>指标</w:t>
            </w:r>
          </w:p>
        </w:tc>
        <w:tc>
          <w:tcPr>
            <w:tcW w:w="810" w:type="dxa"/>
            <w:vAlign w:val="center"/>
          </w:tcPr>
          <w:p>
            <w:pPr>
              <w:widowControl/>
              <w:spacing w:line="240" w:lineRule="auto"/>
              <w:jc w:val="center"/>
              <w:textAlignment w:val="center"/>
              <w:rPr>
                <w:rFonts w:eastAsia="黑体"/>
                <w:bCs/>
                <w:color w:val="auto"/>
                <w:sz w:val="24"/>
              </w:rPr>
            </w:pPr>
            <w:r>
              <w:rPr>
                <w:rFonts w:eastAsia="黑体"/>
                <w:bCs/>
                <w:color w:val="auto"/>
                <w:kern w:val="0"/>
                <w:sz w:val="24"/>
              </w:rPr>
              <w:t>权重2</w:t>
            </w:r>
          </w:p>
        </w:tc>
        <w:tc>
          <w:tcPr>
            <w:tcW w:w="3558" w:type="dxa"/>
            <w:vAlign w:val="center"/>
          </w:tcPr>
          <w:p>
            <w:pPr>
              <w:widowControl/>
              <w:spacing w:line="240" w:lineRule="auto"/>
              <w:jc w:val="center"/>
              <w:textAlignment w:val="center"/>
              <w:rPr>
                <w:rFonts w:eastAsia="黑体"/>
                <w:bCs/>
                <w:color w:val="auto"/>
                <w:sz w:val="24"/>
              </w:rPr>
            </w:pPr>
            <w:r>
              <w:rPr>
                <w:rFonts w:eastAsia="黑体"/>
                <w:bCs/>
                <w:color w:val="auto"/>
                <w:kern w:val="0"/>
                <w:sz w:val="24"/>
              </w:rPr>
              <w:t>三级指标</w:t>
            </w:r>
          </w:p>
        </w:tc>
        <w:tc>
          <w:tcPr>
            <w:tcW w:w="3422" w:type="dxa"/>
            <w:vAlign w:val="center"/>
          </w:tcPr>
          <w:p>
            <w:pPr>
              <w:widowControl/>
              <w:spacing w:line="240" w:lineRule="auto"/>
              <w:jc w:val="center"/>
              <w:textAlignment w:val="center"/>
              <w:rPr>
                <w:rFonts w:eastAsia="黑体"/>
                <w:bCs/>
                <w:color w:val="auto"/>
                <w:sz w:val="24"/>
              </w:rPr>
            </w:pPr>
            <w:r>
              <w:rPr>
                <w:rFonts w:eastAsia="黑体"/>
                <w:bCs/>
                <w:color w:val="auto"/>
                <w:kern w:val="0"/>
                <w:sz w:val="24"/>
              </w:rPr>
              <w:t>扣</w:t>
            </w:r>
            <w:r>
              <w:rPr>
                <w:rFonts w:hint="default" w:eastAsia="黑体"/>
                <w:bCs/>
                <w:color w:val="auto"/>
                <w:kern w:val="0"/>
                <w:sz w:val="24"/>
              </w:rPr>
              <w:t xml:space="preserve"> </w:t>
            </w:r>
            <w:r>
              <w:rPr>
                <w:rFonts w:eastAsia="黑体"/>
                <w:bCs/>
                <w:color w:val="auto"/>
                <w:kern w:val="0"/>
                <w:sz w:val="24"/>
              </w:rPr>
              <w:t>分</w:t>
            </w:r>
            <w:r>
              <w:rPr>
                <w:rFonts w:hint="default" w:eastAsia="黑体"/>
                <w:bCs/>
                <w:color w:val="auto"/>
                <w:kern w:val="0"/>
                <w:sz w:val="24"/>
              </w:rPr>
              <w:t xml:space="preserve"> </w:t>
            </w:r>
            <w:r>
              <w:rPr>
                <w:rFonts w:eastAsia="黑体"/>
                <w:bCs/>
                <w:color w:val="auto"/>
                <w:kern w:val="0"/>
                <w:sz w:val="24"/>
              </w:rPr>
              <w:t>规</w:t>
            </w:r>
            <w:r>
              <w:rPr>
                <w:rFonts w:hint="default" w:eastAsia="黑体"/>
                <w:bCs/>
                <w:color w:val="auto"/>
                <w:kern w:val="0"/>
                <w:sz w:val="24"/>
              </w:rPr>
              <w:t xml:space="preserve"> </w:t>
            </w:r>
            <w:r>
              <w:rPr>
                <w:rFonts w:eastAsia="黑体"/>
                <w:bCs/>
                <w:color w:val="auto"/>
                <w:kern w:val="0"/>
                <w:sz w:val="24"/>
              </w:rPr>
              <w:t>则</w:t>
            </w:r>
          </w:p>
        </w:tc>
        <w:tc>
          <w:tcPr>
            <w:tcW w:w="1181" w:type="dxa"/>
            <w:vAlign w:val="center"/>
          </w:tcPr>
          <w:p>
            <w:pPr>
              <w:widowControl/>
              <w:spacing w:line="240" w:lineRule="auto"/>
              <w:jc w:val="center"/>
              <w:textAlignment w:val="center"/>
              <w:rPr>
                <w:rFonts w:eastAsia="黑体"/>
                <w:bCs/>
                <w:color w:val="auto"/>
                <w:sz w:val="24"/>
              </w:rPr>
            </w:pPr>
            <w:r>
              <w:rPr>
                <w:rFonts w:eastAsia="黑体"/>
                <w:bCs/>
                <w:color w:val="auto"/>
                <w:kern w:val="0"/>
                <w:sz w:val="24"/>
              </w:rPr>
              <w:t>计分方式</w:t>
            </w:r>
          </w:p>
        </w:tc>
        <w:tc>
          <w:tcPr>
            <w:tcW w:w="1679" w:type="dxa"/>
            <w:vAlign w:val="center"/>
          </w:tcPr>
          <w:p>
            <w:pPr>
              <w:widowControl/>
              <w:spacing w:line="240" w:lineRule="auto"/>
              <w:jc w:val="center"/>
              <w:textAlignment w:val="center"/>
              <w:rPr>
                <w:rFonts w:eastAsia="黑体"/>
                <w:b/>
                <w:color w:val="auto"/>
                <w:sz w:val="24"/>
              </w:rPr>
            </w:pPr>
            <w:r>
              <w:rPr>
                <w:rFonts w:eastAsia="黑体"/>
                <w:bCs/>
                <w:color w:val="auto"/>
                <w:kern w:val="0"/>
                <w:sz w:val="24"/>
              </w:rPr>
              <w:t>数据来源</w:t>
            </w:r>
          </w:p>
        </w:tc>
      </w:tr>
      <w:tr>
        <w:tblPrEx>
          <w:tblLayout w:type="fixed"/>
        </w:tblPrEx>
        <w:trPr>
          <w:trHeight w:val="1617" w:hRule="atLeast"/>
          <w:jc w:val="center"/>
        </w:trPr>
        <w:tc>
          <w:tcPr>
            <w:tcW w:w="1080" w:type="dxa"/>
            <w:vMerge w:val="restart"/>
            <w:vAlign w:val="center"/>
          </w:tcPr>
          <w:p>
            <w:pPr>
              <w:widowControl/>
              <w:spacing w:line="240" w:lineRule="auto"/>
              <w:jc w:val="center"/>
              <w:textAlignment w:val="center"/>
              <w:rPr>
                <w:b/>
                <w:color w:val="auto"/>
                <w:sz w:val="24"/>
              </w:rPr>
            </w:pPr>
            <w:r>
              <w:rPr>
                <w:b/>
                <w:color w:val="auto"/>
                <w:kern w:val="0"/>
                <w:sz w:val="24"/>
              </w:rPr>
              <w:t>基础信息</w:t>
            </w:r>
          </w:p>
        </w:tc>
        <w:tc>
          <w:tcPr>
            <w:tcW w:w="786" w:type="dxa"/>
            <w:vMerge w:val="restart"/>
            <w:vAlign w:val="center"/>
          </w:tcPr>
          <w:p>
            <w:pPr>
              <w:widowControl/>
              <w:spacing w:line="240" w:lineRule="auto"/>
              <w:jc w:val="center"/>
              <w:textAlignment w:val="center"/>
              <w:rPr>
                <w:color w:val="auto"/>
                <w:sz w:val="24"/>
              </w:rPr>
            </w:pPr>
            <w:r>
              <w:rPr>
                <w:color w:val="auto"/>
                <w:kern w:val="0"/>
                <w:sz w:val="24"/>
              </w:rPr>
              <w:t>80</w:t>
            </w:r>
          </w:p>
        </w:tc>
        <w:tc>
          <w:tcPr>
            <w:tcW w:w="809" w:type="dxa"/>
            <w:vAlign w:val="center"/>
          </w:tcPr>
          <w:p>
            <w:pPr>
              <w:widowControl/>
              <w:spacing w:line="240" w:lineRule="auto"/>
              <w:jc w:val="center"/>
              <w:textAlignment w:val="center"/>
              <w:rPr>
                <w:color w:val="auto"/>
                <w:sz w:val="24"/>
              </w:rPr>
            </w:pPr>
            <w:r>
              <w:rPr>
                <w:color w:val="auto"/>
                <w:kern w:val="0"/>
                <w:sz w:val="24"/>
              </w:rPr>
              <w:t>信息真实性、完整性</w:t>
            </w:r>
          </w:p>
        </w:tc>
        <w:tc>
          <w:tcPr>
            <w:tcW w:w="810" w:type="dxa"/>
            <w:vAlign w:val="center"/>
          </w:tcPr>
          <w:p>
            <w:pPr>
              <w:widowControl/>
              <w:spacing w:line="240" w:lineRule="auto"/>
              <w:jc w:val="center"/>
              <w:textAlignment w:val="center"/>
              <w:rPr>
                <w:color w:val="auto"/>
                <w:sz w:val="24"/>
              </w:rPr>
            </w:pPr>
            <w:r>
              <w:rPr>
                <w:color w:val="auto"/>
                <w:kern w:val="0"/>
                <w:sz w:val="24"/>
              </w:rPr>
              <w:t>50</w:t>
            </w:r>
          </w:p>
        </w:tc>
        <w:tc>
          <w:tcPr>
            <w:tcW w:w="3558" w:type="dxa"/>
            <w:vAlign w:val="center"/>
          </w:tcPr>
          <w:p>
            <w:pPr>
              <w:widowControl/>
              <w:spacing w:line="240" w:lineRule="auto"/>
              <w:jc w:val="both"/>
              <w:textAlignment w:val="center"/>
              <w:rPr>
                <w:color w:val="auto"/>
                <w:spacing w:val="-6"/>
                <w:sz w:val="24"/>
              </w:rPr>
            </w:pPr>
            <w:r>
              <w:rPr>
                <w:color w:val="auto"/>
                <w:spacing w:val="-6"/>
                <w:kern w:val="0"/>
                <w:sz w:val="24"/>
              </w:rPr>
              <w:t>专家登记信息不完整的或者错误的</w:t>
            </w:r>
          </w:p>
        </w:tc>
        <w:tc>
          <w:tcPr>
            <w:tcW w:w="3422" w:type="dxa"/>
            <w:vAlign w:val="center"/>
          </w:tcPr>
          <w:p>
            <w:pPr>
              <w:widowControl/>
              <w:spacing w:line="240" w:lineRule="auto"/>
              <w:textAlignment w:val="center"/>
              <w:rPr>
                <w:color w:val="auto"/>
                <w:sz w:val="24"/>
              </w:rPr>
            </w:pPr>
            <w:r>
              <w:rPr>
                <w:color w:val="auto"/>
                <w:kern w:val="0"/>
                <w:sz w:val="24"/>
              </w:rPr>
              <w:t>在专家库系统中登记的工作单位、联系方式等基本信息不完整的，每一信息项扣20</w:t>
            </w:r>
            <w:r>
              <w:rPr>
                <w:rStyle w:val="8"/>
                <w:rFonts w:ascii="Times New Roman" w:cs="Times New Roman"/>
                <w:color w:val="auto"/>
                <w:sz w:val="24"/>
                <w:szCs w:val="24"/>
              </w:rPr>
              <w:t>分；基本信息登记错误的，每一信息项扣50分</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restart"/>
            <w:vAlign w:val="center"/>
          </w:tcPr>
          <w:p>
            <w:pPr>
              <w:widowControl/>
              <w:spacing w:line="240" w:lineRule="auto"/>
              <w:jc w:val="center"/>
              <w:textAlignment w:val="center"/>
              <w:rPr>
                <w:color w:val="auto"/>
                <w:sz w:val="24"/>
              </w:rPr>
            </w:pPr>
            <w:r>
              <w:rPr>
                <w:color w:val="auto"/>
                <w:kern w:val="0"/>
                <w:sz w:val="24"/>
              </w:rPr>
              <w:t>专家库系统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68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Align w:val="center"/>
          </w:tcPr>
          <w:p>
            <w:pPr>
              <w:widowControl/>
              <w:spacing w:line="240" w:lineRule="auto"/>
              <w:jc w:val="center"/>
              <w:textAlignment w:val="center"/>
              <w:rPr>
                <w:color w:val="auto"/>
                <w:sz w:val="24"/>
              </w:rPr>
            </w:pPr>
            <w:r>
              <w:rPr>
                <w:color w:val="auto"/>
                <w:kern w:val="0"/>
                <w:sz w:val="24"/>
              </w:rPr>
              <w:t>信息维护更新情况</w:t>
            </w:r>
          </w:p>
        </w:tc>
        <w:tc>
          <w:tcPr>
            <w:tcW w:w="810" w:type="dxa"/>
            <w:vAlign w:val="center"/>
          </w:tcPr>
          <w:p>
            <w:pPr>
              <w:widowControl/>
              <w:spacing w:line="240" w:lineRule="auto"/>
              <w:jc w:val="center"/>
              <w:textAlignment w:val="center"/>
              <w:rPr>
                <w:color w:val="auto"/>
                <w:sz w:val="24"/>
              </w:rPr>
            </w:pPr>
            <w:r>
              <w:rPr>
                <w:color w:val="auto"/>
                <w:kern w:val="0"/>
                <w:sz w:val="24"/>
              </w:rPr>
              <w:t>30</w:t>
            </w:r>
          </w:p>
        </w:tc>
        <w:tc>
          <w:tcPr>
            <w:tcW w:w="3558" w:type="dxa"/>
            <w:vAlign w:val="center"/>
          </w:tcPr>
          <w:p>
            <w:pPr>
              <w:widowControl/>
              <w:spacing w:line="240" w:lineRule="auto"/>
              <w:jc w:val="both"/>
              <w:textAlignment w:val="center"/>
              <w:rPr>
                <w:color w:val="auto"/>
                <w:sz w:val="24"/>
              </w:rPr>
            </w:pPr>
            <w:r>
              <w:rPr>
                <w:color w:val="auto"/>
                <w:kern w:val="0"/>
                <w:sz w:val="24"/>
              </w:rPr>
              <w:t>工作单位变动、兼职、辞职或者联系方法等变更不及时更新专家登记信息的</w:t>
            </w:r>
          </w:p>
        </w:tc>
        <w:tc>
          <w:tcPr>
            <w:tcW w:w="3422" w:type="dxa"/>
            <w:vAlign w:val="center"/>
          </w:tcPr>
          <w:p>
            <w:pPr>
              <w:widowControl/>
              <w:spacing w:line="240" w:lineRule="auto"/>
              <w:textAlignment w:val="center"/>
              <w:rPr>
                <w:color w:val="auto"/>
                <w:sz w:val="24"/>
              </w:rPr>
            </w:pPr>
            <w:r>
              <w:rPr>
                <w:color w:val="auto"/>
                <w:kern w:val="0"/>
                <w:sz w:val="24"/>
              </w:rPr>
              <w:t>未及时维护更新专家库系统中人员基本信息或者未按省综合性评标专家库管理部门通知要求维护更新基本信息的，扣20分/次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restart"/>
            <w:vAlign w:val="center"/>
          </w:tcPr>
          <w:p>
            <w:pPr>
              <w:widowControl/>
              <w:spacing w:line="240" w:lineRule="auto"/>
              <w:jc w:val="center"/>
              <w:textAlignment w:val="center"/>
              <w:rPr>
                <w:b/>
                <w:color w:val="auto"/>
                <w:sz w:val="24"/>
              </w:rPr>
            </w:pPr>
            <w:r>
              <w:rPr>
                <w:b/>
                <w:color w:val="auto"/>
                <w:kern w:val="0"/>
                <w:sz w:val="24"/>
              </w:rPr>
              <w:t>履职能力</w:t>
            </w:r>
          </w:p>
        </w:tc>
        <w:tc>
          <w:tcPr>
            <w:tcW w:w="786" w:type="dxa"/>
            <w:vMerge w:val="restart"/>
            <w:vAlign w:val="center"/>
          </w:tcPr>
          <w:p>
            <w:pPr>
              <w:widowControl/>
              <w:spacing w:line="240" w:lineRule="auto"/>
              <w:jc w:val="center"/>
              <w:textAlignment w:val="center"/>
              <w:rPr>
                <w:color w:val="auto"/>
                <w:sz w:val="24"/>
              </w:rPr>
            </w:pPr>
            <w:r>
              <w:rPr>
                <w:color w:val="auto"/>
                <w:kern w:val="0"/>
                <w:sz w:val="24"/>
              </w:rPr>
              <w:t>420</w:t>
            </w:r>
          </w:p>
        </w:tc>
        <w:tc>
          <w:tcPr>
            <w:tcW w:w="809" w:type="dxa"/>
            <w:vMerge w:val="restart"/>
            <w:vAlign w:val="center"/>
          </w:tcPr>
          <w:p>
            <w:pPr>
              <w:widowControl/>
              <w:spacing w:line="240" w:lineRule="auto"/>
              <w:jc w:val="center"/>
              <w:textAlignment w:val="center"/>
              <w:rPr>
                <w:color w:val="auto"/>
                <w:sz w:val="24"/>
              </w:rPr>
            </w:pPr>
            <w:r>
              <w:rPr>
                <w:color w:val="auto"/>
                <w:kern w:val="0"/>
                <w:sz w:val="24"/>
              </w:rPr>
              <w:t>评标质量</w:t>
            </w:r>
          </w:p>
        </w:tc>
        <w:tc>
          <w:tcPr>
            <w:tcW w:w="810" w:type="dxa"/>
            <w:vMerge w:val="restart"/>
            <w:vAlign w:val="center"/>
          </w:tcPr>
          <w:p>
            <w:pPr>
              <w:widowControl/>
              <w:spacing w:line="240" w:lineRule="auto"/>
              <w:jc w:val="center"/>
              <w:textAlignment w:val="center"/>
              <w:rPr>
                <w:color w:val="auto"/>
                <w:sz w:val="24"/>
              </w:rPr>
            </w:pPr>
            <w:r>
              <w:rPr>
                <w:color w:val="auto"/>
                <w:kern w:val="0"/>
                <w:sz w:val="24"/>
              </w:rPr>
              <w:t>120</w:t>
            </w:r>
          </w:p>
        </w:tc>
        <w:tc>
          <w:tcPr>
            <w:tcW w:w="3558" w:type="dxa"/>
            <w:vAlign w:val="center"/>
          </w:tcPr>
          <w:p>
            <w:pPr>
              <w:widowControl/>
              <w:spacing w:line="240" w:lineRule="auto"/>
              <w:jc w:val="both"/>
              <w:textAlignment w:val="center"/>
              <w:rPr>
                <w:color w:val="auto"/>
                <w:sz w:val="24"/>
              </w:rPr>
            </w:pPr>
            <w:r>
              <w:rPr>
                <w:color w:val="auto"/>
                <w:kern w:val="0"/>
                <w:sz w:val="24"/>
              </w:rPr>
              <w:t>招标人对评标质量的评价</w:t>
            </w:r>
          </w:p>
        </w:tc>
        <w:tc>
          <w:tcPr>
            <w:tcW w:w="3422" w:type="dxa"/>
            <w:vAlign w:val="center"/>
          </w:tcPr>
          <w:p>
            <w:pPr>
              <w:widowControl/>
              <w:spacing w:line="240" w:lineRule="auto"/>
              <w:jc w:val="both"/>
              <w:textAlignment w:val="center"/>
              <w:rPr>
                <w:color w:val="auto"/>
                <w:spacing w:val="-8"/>
                <w:sz w:val="24"/>
              </w:rPr>
            </w:pPr>
            <w:r>
              <w:rPr>
                <w:color w:val="auto"/>
                <w:spacing w:val="-8"/>
                <w:kern w:val="0"/>
                <w:sz w:val="24"/>
              </w:rPr>
              <w:t>招标人评价不满意的，扣10分/次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restart"/>
            <w:vAlign w:val="center"/>
          </w:tcPr>
          <w:p>
            <w:pPr>
              <w:widowControl/>
              <w:spacing w:line="240" w:lineRule="auto"/>
              <w:jc w:val="center"/>
              <w:textAlignment w:val="center"/>
              <w:rPr>
                <w:color w:val="auto"/>
                <w:sz w:val="24"/>
              </w:rPr>
            </w:pPr>
            <w:r>
              <w:rPr>
                <w:color w:val="auto"/>
                <w:kern w:val="0"/>
                <w:sz w:val="24"/>
              </w:rPr>
              <w:t>各招投标行政监督部门、公共资源交易场所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296"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不按照招标文件规定的评标标准和方法评标的</w:t>
            </w:r>
          </w:p>
        </w:tc>
        <w:tc>
          <w:tcPr>
            <w:tcW w:w="3422" w:type="dxa"/>
            <w:vAlign w:val="center"/>
          </w:tcPr>
          <w:p>
            <w:pPr>
              <w:widowControl/>
              <w:spacing w:line="240" w:lineRule="auto"/>
              <w:textAlignment w:val="center"/>
              <w:rPr>
                <w:color w:val="auto"/>
                <w:sz w:val="24"/>
              </w:rPr>
            </w:pPr>
            <w:r>
              <w:rPr>
                <w:color w:val="auto"/>
                <w:kern w:val="0"/>
                <w:sz w:val="24"/>
              </w:rPr>
              <w:t>评标委员会评标错误，经有关行政部门认定为不按照招标文件规定的评标标准和方法评标的，扣100分/次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对其他评标委员会成员进行暗示、诱导或者施加压力影响其独立评审的</w:t>
            </w:r>
          </w:p>
        </w:tc>
        <w:tc>
          <w:tcPr>
            <w:tcW w:w="3422" w:type="dxa"/>
            <w:vAlign w:val="center"/>
          </w:tcPr>
          <w:p>
            <w:pPr>
              <w:widowControl/>
              <w:spacing w:line="240" w:lineRule="auto"/>
              <w:jc w:val="both"/>
              <w:textAlignment w:val="center"/>
              <w:rPr>
                <w:color w:val="auto"/>
                <w:sz w:val="24"/>
              </w:rPr>
            </w:pPr>
            <w:r>
              <w:rPr>
                <w:color w:val="auto"/>
                <w:kern w:val="0"/>
                <w:sz w:val="24"/>
              </w:rPr>
              <w:t>扣100分/次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59" w:hRule="atLeast"/>
          <w:jc w:val="center"/>
        </w:trPr>
        <w:tc>
          <w:tcPr>
            <w:tcW w:w="1080" w:type="dxa"/>
            <w:vMerge w:val="restart"/>
            <w:vAlign w:val="center"/>
          </w:tcPr>
          <w:p>
            <w:pPr>
              <w:widowControl/>
              <w:spacing w:line="240" w:lineRule="auto"/>
              <w:jc w:val="center"/>
              <w:rPr>
                <w:b/>
                <w:color w:val="auto"/>
                <w:sz w:val="24"/>
              </w:rPr>
            </w:pPr>
            <w:r>
              <w:rPr>
                <w:b/>
                <w:color w:val="auto"/>
                <w:kern w:val="0"/>
                <w:sz w:val="24"/>
              </w:rPr>
              <w:t>履职能力</w:t>
            </w:r>
          </w:p>
        </w:tc>
        <w:tc>
          <w:tcPr>
            <w:tcW w:w="786" w:type="dxa"/>
            <w:vMerge w:val="restart"/>
            <w:vAlign w:val="center"/>
          </w:tcPr>
          <w:p>
            <w:pPr>
              <w:widowControl/>
              <w:spacing w:line="240" w:lineRule="auto"/>
              <w:jc w:val="center"/>
              <w:rPr>
                <w:color w:val="auto"/>
                <w:sz w:val="24"/>
              </w:rPr>
            </w:pPr>
            <w:r>
              <w:rPr>
                <w:color w:val="auto"/>
                <w:kern w:val="0"/>
                <w:sz w:val="24"/>
              </w:rPr>
              <w:t>420</w:t>
            </w:r>
          </w:p>
        </w:tc>
        <w:tc>
          <w:tcPr>
            <w:tcW w:w="809" w:type="dxa"/>
            <w:vMerge w:val="restart"/>
            <w:vAlign w:val="center"/>
          </w:tcPr>
          <w:p>
            <w:pPr>
              <w:widowControl/>
              <w:spacing w:line="240" w:lineRule="auto"/>
              <w:jc w:val="center"/>
              <w:rPr>
                <w:color w:val="auto"/>
                <w:sz w:val="24"/>
              </w:rPr>
            </w:pPr>
            <w:r>
              <w:rPr>
                <w:color w:val="auto"/>
                <w:kern w:val="0"/>
                <w:sz w:val="24"/>
              </w:rPr>
              <w:t>评标质量</w:t>
            </w:r>
          </w:p>
        </w:tc>
        <w:tc>
          <w:tcPr>
            <w:tcW w:w="810" w:type="dxa"/>
            <w:vMerge w:val="restart"/>
            <w:vAlign w:val="center"/>
          </w:tcPr>
          <w:p>
            <w:pPr>
              <w:widowControl/>
              <w:spacing w:line="240" w:lineRule="auto"/>
              <w:jc w:val="center"/>
              <w:rPr>
                <w:color w:val="auto"/>
                <w:sz w:val="24"/>
              </w:rPr>
            </w:pPr>
            <w:r>
              <w:rPr>
                <w:color w:val="auto"/>
                <w:kern w:val="0"/>
                <w:sz w:val="24"/>
              </w:rPr>
              <w:t>120</w:t>
            </w:r>
          </w:p>
        </w:tc>
        <w:tc>
          <w:tcPr>
            <w:tcW w:w="3558" w:type="dxa"/>
            <w:vAlign w:val="center"/>
          </w:tcPr>
          <w:p>
            <w:pPr>
              <w:widowControl/>
              <w:spacing w:line="240" w:lineRule="auto"/>
              <w:jc w:val="both"/>
              <w:textAlignment w:val="center"/>
              <w:rPr>
                <w:color w:val="auto"/>
                <w:sz w:val="24"/>
              </w:rPr>
            </w:pPr>
            <w:r>
              <w:rPr>
                <w:color w:val="auto"/>
                <w:kern w:val="0"/>
                <w:sz w:val="24"/>
              </w:rPr>
              <w:t>暗示或者诱导投标人作出澄清、说明或者接受投标人主动提出的澄清、说明的</w:t>
            </w:r>
          </w:p>
        </w:tc>
        <w:tc>
          <w:tcPr>
            <w:tcW w:w="3422" w:type="dxa"/>
            <w:vAlign w:val="center"/>
          </w:tcPr>
          <w:p>
            <w:pPr>
              <w:widowControl/>
              <w:spacing w:line="240" w:lineRule="auto"/>
              <w:jc w:val="both"/>
              <w:textAlignment w:val="center"/>
              <w:rPr>
                <w:color w:val="auto"/>
                <w:sz w:val="24"/>
              </w:rPr>
            </w:pPr>
            <w:r>
              <w:rPr>
                <w:color w:val="auto"/>
                <w:kern w:val="0"/>
                <w:sz w:val="24"/>
              </w:rPr>
              <w:t>扣80分/次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restart"/>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kern w:val="0"/>
                <w:sz w:val="24"/>
              </w:rPr>
            </w:pPr>
            <w:r>
              <w:rPr>
                <w:color w:val="auto"/>
                <w:kern w:val="0"/>
                <w:sz w:val="24"/>
              </w:rPr>
              <w:t>评标专家后评估未通过的</w:t>
            </w:r>
          </w:p>
        </w:tc>
        <w:tc>
          <w:tcPr>
            <w:tcW w:w="3422" w:type="dxa"/>
            <w:vAlign w:val="center"/>
          </w:tcPr>
          <w:p>
            <w:pPr>
              <w:widowControl/>
              <w:spacing w:line="240" w:lineRule="auto"/>
              <w:jc w:val="both"/>
              <w:textAlignment w:val="center"/>
              <w:rPr>
                <w:color w:val="auto"/>
                <w:kern w:val="0"/>
                <w:sz w:val="24"/>
              </w:rPr>
            </w:pPr>
            <w:r>
              <w:rPr>
                <w:color w:val="auto"/>
                <w:kern w:val="0"/>
                <w:sz w:val="24"/>
              </w:rPr>
              <w:t>扣100分/次</w:t>
            </w:r>
          </w:p>
        </w:tc>
        <w:tc>
          <w:tcPr>
            <w:tcW w:w="1181" w:type="dxa"/>
            <w:vAlign w:val="center"/>
          </w:tcPr>
          <w:p>
            <w:pPr>
              <w:widowControl/>
              <w:spacing w:line="240" w:lineRule="auto"/>
              <w:jc w:val="center"/>
              <w:textAlignment w:val="center"/>
              <w:rPr>
                <w:color w:val="auto"/>
                <w:kern w:val="0"/>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spacing w:val="-6"/>
                <w:kern w:val="0"/>
                <w:sz w:val="24"/>
              </w:rPr>
              <w:t>不能熟练进行电子辅助评标操作的</w:t>
            </w:r>
          </w:p>
        </w:tc>
        <w:tc>
          <w:tcPr>
            <w:tcW w:w="3422" w:type="dxa"/>
            <w:vAlign w:val="center"/>
          </w:tcPr>
          <w:p>
            <w:pPr>
              <w:widowControl/>
              <w:spacing w:line="240" w:lineRule="auto"/>
              <w:jc w:val="both"/>
              <w:textAlignment w:val="center"/>
              <w:rPr>
                <w:color w:val="auto"/>
                <w:sz w:val="24"/>
              </w:rPr>
            </w:pPr>
            <w:r>
              <w:rPr>
                <w:color w:val="auto"/>
                <w:kern w:val="0"/>
                <w:sz w:val="24"/>
              </w:rPr>
              <w:t>扣40分/次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非因外部原因评标效率异常低下，严重影响评标进程的</w:t>
            </w:r>
          </w:p>
        </w:tc>
        <w:tc>
          <w:tcPr>
            <w:tcW w:w="3422" w:type="dxa"/>
            <w:vAlign w:val="center"/>
          </w:tcPr>
          <w:p>
            <w:pPr>
              <w:widowControl/>
              <w:spacing w:line="240" w:lineRule="auto"/>
              <w:jc w:val="both"/>
              <w:textAlignment w:val="center"/>
              <w:rPr>
                <w:color w:val="auto"/>
                <w:sz w:val="24"/>
              </w:rPr>
            </w:pPr>
            <w:r>
              <w:rPr>
                <w:color w:val="auto"/>
                <w:kern w:val="0"/>
                <w:sz w:val="24"/>
              </w:rPr>
              <w:t>扣40</w:t>
            </w:r>
            <w:r>
              <w:rPr>
                <w:rStyle w:val="8"/>
                <w:rFonts w:ascii="Times New Roman" w:cs="Times New Roman"/>
                <w:color w:val="auto"/>
                <w:sz w:val="24"/>
                <w:szCs w:val="24"/>
              </w:rPr>
              <w:t>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702"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restart"/>
            <w:vAlign w:val="center"/>
          </w:tcPr>
          <w:p>
            <w:pPr>
              <w:widowControl/>
              <w:spacing w:line="240" w:lineRule="auto"/>
              <w:jc w:val="center"/>
              <w:textAlignment w:val="center"/>
              <w:rPr>
                <w:color w:val="auto"/>
                <w:sz w:val="24"/>
              </w:rPr>
            </w:pPr>
            <w:r>
              <w:rPr>
                <w:color w:val="auto"/>
                <w:kern w:val="0"/>
                <w:sz w:val="24"/>
              </w:rPr>
              <w:t>职业道德</w:t>
            </w:r>
          </w:p>
        </w:tc>
        <w:tc>
          <w:tcPr>
            <w:tcW w:w="810" w:type="dxa"/>
            <w:vMerge w:val="restart"/>
            <w:vAlign w:val="center"/>
          </w:tcPr>
          <w:p>
            <w:pPr>
              <w:widowControl/>
              <w:spacing w:line="240" w:lineRule="auto"/>
              <w:jc w:val="center"/>
              <w:textAlignment w:val="center"/>
              <w:rPr>
                <w:sz w:val="24"/>
              </w:rPr>
            </w:pPr>
            <w:r>
              <w:rPr>
                <w:kern w:val="0"/>
                <w:sz w:val="24"/>
              </w:rPr>
              <w:t>150</w:t>
            </w:r>
          </w:p>
        </w:tc>
        <w:tc>
          <w:tcPr>
            <w:tcW w:w="3558" w:type="dxa"/>
            <w:vAlign w:val="center"/>
          </w:tcPr>
          <w:p>
            <w:pPr>
              <w:widowControl/>
              <w:spacing w:line="240" w:lineRule="auto"/>
              <w:jc w:val="both"/>
              <w:textAlignment w:val="center"/>
              <w:rPr>
                <w:sz w:val="24"/>
              </w:rPr>
            </w:pPr>
            <w:r>
              <w:rPr>
                <w:kern w:val="0"/>
                <w:sz w:val="24"/>
              </w:rPr>
              <w:t>接到评标通知并确认参加后，缺席评标活动的</w:t>
            </w:r>
          </w:p>
        </w:tc>
        <w:tc>
          <w:tcPr>
            <w:tcW w:w="3422" w:type="dxa"/>
            <w:vAlign w:val="center"/>
          </w:tcPr>
          <w:p>
            <w:pPr>
              <w:widowControl/>
              <w:spacing w:line="240" w:lineRule="auto"/>
              <w:jc w:val="both"/>
              <w:textAlignment w:val="center"/>
              <w:rPr>
                <w:color w:val="auto"/>
                <w:sz w:val="24"/>
              </w:rPr>
            </w:pPr>
            <w:r>
              <w:rPr>
                <w:color w:val="auto"/>
                <w:kern w:val="0"/>
                <w:sz w:val="24"/>
              </w:rPr>
              <w:t>语音确认</w:t>
            </w:r>
            <w:r>
              <w:rPr>
                <w:kern w:val="0"/>
                <w:sz w:val="24"/>
              </w:rPr>
              <w:t>参加后又请假的扣15分/次，其中请假时间距评标时间不足2小时的扣35分/次；语音确认参加后缺席评标活动又不请假的，扣50分/次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sz w:val="24"/>
              </w:rPr>
            </w:pPr>
          </w:p>
        </w:tc>
        <w:tc>
          <w:tcPr>
            <w:tcW w:w="3558" w:type="dxa"/>
            <w:vAlign w:val="center"/>
          </w:tcPr>
          <w:p>
            <w:pPr>
              <w:widowControl/>
              <w:spacing w:line="240" w:lineRule="auto"/>
              <w:jc w:val="both"/>
              <w:textAlignment w:val="center"/>
              <w:rPr>
                <w:sz w:val="24"/>
              </w:rPr>
            </w:pPr>
            <w:r>
              <w:rPr>
                <w:kern w:val="0"/>
                <w:sz w:val="24"/>
              </w:rPr>
              <w:t>委托他人代为参加评标或者以他人名义参加评标的</w:t>
            </w:r>
          </w:p>
        </w:tc>
        <w:tc>
          <w:tcPr>
            <w:tcW w:w="3422" w:type="dxa"/>
            <w:vAlign w:val="center"/>
          </w:tcPr>
          <w:p>
            <w:pPr>
              <w:widowControl/>
              <w:spacing w:line="240" w:lineRule="auto"/>
              <w:jc w:val="both"/>
              <w:textAlignment w:val="center"/>
              <w:rPr>
                <w:kern w:val="0"/>
                <w:sz w:val="24"/>
              </w:rPr>
            </w:pPr>
            <w:r>
              <w:rPr>
                <w:kern w:val="0"/>
                <w:sz w:val="24"/>
              </w:rPr>
              <w:t>扣100分/次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sz w:val="24"/>
              </w:rPr>
            </w:pPr>
          </w:p>
        </w:tc>
        <w:tc>
          <w:tcPr>
            <w:tcW w:w="3558" w:type="dxa"/>
            <w:vAlign w:val="center"/>
          </w:tcPr>
          <w:p>
            <w:pPr>
              <w:widowControl/>
              <w:spacing w:line="240" w:lineRule="auto"/>
              <w:jc w:val="both"/>
              <w:textAlignment w:val="center"/>
              <w:rPr>
                <w:sz w:val="24"/>
              </w:rPr>
            </w:pPr>
            <w:r>
              <w:rPr>
                <w:kern w:val="0"/>
                <w:sz w:val="24"/>
              </w:rPr>
              <w:t>将评标的相关资料带出评标区的</w:t>
            </w:r>
          </w:p>
        </w:tc>
        <w:tc>
          <w:tcPr>
            <w:tcW w:w="3422" w:type="dxa"/>
            <w:vAlign w:val="center"/>
          </w:tcPr>
          <w:p>
            <w:pPr>
              <w:widowControl/>
              <w:spacing w:line="240" w:lineRule="auto"/>
              <w:jc w:val="both"/>
              <w:textAlignment w:val="center"/>
              <w:rPr>
                <w:kern w:val="0"/>
                <w:sz w:val="24"/>
              </w:rPr>
            </w:pPr>
            <w:r>
              <w:rPr>
                <w:kern w:val="0"/>
                <w:sz w:val="24"/>
              </w:rPr>
              <w:t>扣100分/次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114"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sz w:val="24"/>
              </w:rPr>
            </w:pPr>
          </w:p>
        </w:tc>
        <w:tc>
          <w:tcPr>
            <w:tcW w:w="3558" w:type="dxa"/>
            <w:vAlign w:val="center"/>
          </w:tcPr>
          <w:p>
            <w:pPr>
              <w:widowControl/>
              <w:spacing w:line="240" w:lineRule="auto"/>
              <w:jc w:val="both"/>
              <w:textAlignment w:val="center"/>
              <w:rPr>
                <w:sz w:val="24"/>
              </w:rPr>
            </w:pPr>
            <w:r>
              <w:rPr>
                <w:kern w:val="0"/>
                <w:sz w:val="24"/>
              </w:rPr>
              <w:t>参加评标活动迟到的</w:t>
            </w:r>
          </w:p>
        </w:tc>
        <w:tc>
          <w:tcPr>
            <w:tcW w:w="3422" w:type="dxa"/>
            <w:vAlign w:val="center"/>
          </w:tcPr>
          <w:p>
            <w:pPr>
              <w:widowControl/>
              <w:spacing w:line="240" w:lineRule="auto"/>
              <w:jc w:val="both"/>
              <w:textAlignment w:val="center"/>
              <w:rPr>
                <w:kern w:val="0"/>
                <w:sz w:val="24"/>
              </w:rPr>
            </w:pPr>
            <w:r>
              <w:rPr>
                <w:kern w:val="0"/>
                <w:sz w:val="24"/>
              </w:rPr>
              <w:t>迟到超过10分钟的，扣15分/次；迟到超过30分钟以上的，扣30分/次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sz w:val="24"/>
              </w:rPr>
            </w:pPr>
          </w:p>
        </w:tc>
        <w:tc>
          <w:tcPr>
            <w:tcW w:w="3558" w:type="dxa"/>
            <w:vAlign w:val="center"/>
          </w:tcPr>
          <w:p>
            <w:pPr>
              <w:widowControl/>
              <w:spacing w:line="240" w:lineRule="auto"/>
              <w:jc w:val="both"/>
              <w:textAlignment w:val="center"/>
              <w:rPr>
                <w:sz w:val="24"/>
              </w:rPr>
            </w:pPr>
            <w:r>
              <w:rPr>
                <w:spacing w:val="-6"/>
                <w:kern w:val="0"/>
                <w:sz w:val="24"/>
              </w:rPr>
              <w:t>在评标室做与评标工作无关的事情</w:t>
            </w:r>
          </w:p>
        </w:tc>
        <w:tc>
          <w:tcPr>
            <w:tcW w:w="3422" w:type="dxa"/>
            <w:vAlign w:val="center"/>
          </w:tcPr>
          <w:p>
            <w:pPr>
              <w:widowControl/>
              <w:spacing w:line="240" w:lineRule="auto"/>
              <w:jc w:val="both"/>
              <w:textAlignment w:val="center"/>
              <w:rPr>
                <w:kern w:val="0"/>
                <w:sz w:val="24"/>
              </w:rPr>
            </w:pPr>
            <w:r>
              <w:rPr>
                <w:kern w:val="0"/>
                <w:sz w:val="24"/>
              </w:rPr>
              <w:t>扣40分/次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sz w:val="24"/>
              </w:rPr>
            </w:pPr>
          </w:p>
        </w:tc>
        <w:tc>
          <w:tcPr>
            <w:tcW w:w="3558" w:type="dxa"/>
            <w:vAlign w:val="center"/>
          </w:tcPr>
          <w:p>
            <w:pPr>
              <w:widowControl/>
              <w:spacing w:line="240" w:lineRule="auto"/>
              <w:jc w:val="both"/>
              <w:textAlignment w:val="center"/>
              <w:rPr>
                <w:sz w:val="24"/>
              </w:rPr>
            </w:pPr>
            <w:r>
              <w:rPr>
                <w:kern w:val="0"/>
                <w:sz w:val="24"/>
              </w:rPr>
              <w:t>不参加招标人依法组织的重新评标的</w:t>
            </w:r>
          </w:p>
        </w:tc>
        <w:tc>
          <w:tcPr>
            <w:tcW w:w="3422" w:type="dxa"/>
            <w:vAlign w:val="center"/>
          </w:tcPr>
          <w:p>
            <w:pPr>
              <w:widowControl/>
              <w:spacing w:line="240" w:lineRule="auto"/>
              <w:jc w:val="both"/>
              <w:textAlignment w:val="center"/>
              <w:rPr>
                <w:kern w:val="0"/>
                <w:sz w:val="24"/>
              </w:rPr>
            </w:pPr>
            <w:r>
              <w:rPr>
                <w:kern w:val="0"/>
                <w:sz w:val="24"/>
              </w:rPr>
              <w:t>扣60分/次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restart"/>
            <w:vAlign w:val="center"/>
          </w:tcPr>
          <w:p>
            <w:pPr>
              <w:widowControl/>
              <w:spacing w:line="240" w:lineRule="auto"/>
              <w:jc w:val="center"/>
              <w:rPr>
                <w:b/>
                <w:color w:val="auto"/>
                <w:sz w:val="24"/>
              </w:rPr>
            </w:pPr>
            <w:r>
              <w:rPr>
                <w:b/>
                <w:color w:val="auto"/>
                <w:kern w:val="0"/>
                <w:sz w:val="24"/>
              </w:rPr>
              <w:t>履职能力</w:t>
            </w:r>
          </w:p>
        </w:tc>
        <w:tc>
          <w:tcPr>
            <w:tcW w:w="786" w:type="dxa"/>
            <w:vMerge w:val="restart"/>
            <w:vAlign w:val="center"/>
          </w:tcPr>
          <w:p>
            <w:pPr>
              <w:widowControl/>
              <w:spacing w:line="240" w:lineRule="auto"/>
              <w:jc w:val="center"/>
              <w:rPr>
                <w:color w:val="auto"/>
                <w:sz w:val="24"/>
              </w:rPr>
            </w:pPr>
            <w:r>
              <w:rPr>
                <w:color w:val="auto"/>
                <w:kern w:val="0"/>
                <w:sz w:val="24"/>
              </w:rPr>
              <w:t>420</w:t>
            </w:r>
          </w:p>
        </w:tc>
        <w:tc>
          <w:tcPr>
            <w:tcW w:w="809" w:type="dxa"/>
            <w:vMerge w:val="restart"/>
            <w:vAlign w:val="center"/>
          </w:tcPr>
          <w:p>
            <w:pPr>
              <w:widowControl/>
              <w:spacing w:line="240" w:lineRule="auto"/>
              <w:jc w:val="center"/>
              <w:rPr>
                <w:color w:val="auto"/>
                <w:sz w:val="24"/>
              </w:rPr>
            </w:pPr>
            <w:r>
              <w:rPr>
                <w:color w:val="auto"/>
                <w:kern w:val="0"/>
                <w:sz w:val="24"/>
              </w:rPr>
              <w:t>职业道德</w:t>
            </w:r>
          </w:p>
        </w:tc>
        <w:tc>
          <w:tcPr>
            <w:tcW w:w="810" w:type="dxa"/>
            <w:vMerge w:val="restart"/>
            <w:vAlign w:val="center"/>
          </w:tcPr>
          <w:p>
            <w:pPr>
              <w:widowControl/>
              <w:spacing w:line="240" w:lineRule="auto"/>
              <w:jc w:val="center"/>
              <w:rPr>
                <w:color w:val="auto"/>
                <w:sz w:val="24"/>
              </w:rPr>
            </w:pPr>
            <w:r>
              <w:rPr>
                <w:kern w:val="0"/>
                <w:sz w:val="24"/>
              </w:rPr>
              <w:t>150</w:t>
            </w:r>
          </w:p>
        </w:tc>
        <w:tc>
          <w:tcPr>
            <w:tcW w:w="3558" w:type="dxa"/>
            <w:vAlign w:val="center"/>
          </w:tcPr>
          <w:p>
            <w:pPr>
              <w:widowControl/>
              <w:spacing w:line="240" w:lineRule="auto"/>
              <w:jc w:val="both"/>
              <w:textAlignment w:val="center"/>
              <w:rPr>
                <w:color w:val="auto"/>
                <w:sz w:val="24"/>
              </w:rPr>
            </w:pPr>
            <w:r>
              <w:rPr>
                <w:color w:val="auto"/>
                <w:kern w:val="0"/>
                <w:sz w:val="24"/>
              </w:rPr>
              <w:t>拒绝接受或者阻挠招标投标（公共资源交易）综合管理部门及相关行政执法部门监督和执法调查的或者在接受调查过程中不如实陈述、提供虚假材料的</w:t>
            </w:r>
          </w:p>
        </w:tc>
        <w:tc>
          <w:tcPr>
            <w:tcW w:w="3422" w:type="dxa"/>
            <w:vAlign w:val="center"/>
          </w:tcPr>
          <w:p>
            <w:pPr>
              <w:widowControl/>
              <w:spacing w:line="240" w:lineRule="auto"/>
              <w:jc w:val="both"/>
              <w:textAlignment w:val="center"/>
              <w:rPr>
                <w:kern w:val="0"/>
                <w:sz w:val="24"/>
              </w:rPr>
            </w:pPr>
            <w:r>
              <w:rPr>
                <w:kern w:val="0"/>
                <w:sz w:val="24"/>
              </w:rPr>
              <w:t>扣100分/次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restart"/>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索要明显超过当地合理标准的劳务报酬或者索要合法劳务报酬外好处财物或者因劳务报酬纠纷怠于履行评标义务的</w:t>
            </w:r>
          </w:p>
        </w:tc>
        <w:tc>
          <w:tcPr>
            <w:tcW w:w="3422" w:type="dxa"/>
            <w:vAlign w:val="center"/>
          </w:tcPr>
          <w:p>
            <w:pPr>
              <w:widowControl/>
              <w:spacing w:line="240" w:lineRule="auto"/>
              <w:jc w:val="both"/>
              <w:textAlignment w:val="center"/>
              <w:rPr>
                <w:color w:val="auto"/>
                <w:sz w:val="24"/>
              </w:rPr>
            </w:pPr>
            <w:r>
              <w:rPr>
                <w:color w:val="auto"/>
                <w:kern w:val="0"/>
                <w:sz w:val="24"/>
              </w:rPr>
              <w:t>扣8</w:t>
            </w:r>
            <w:r>
              <w:rPr>
                <w:rStyle w:val="8"/>
                <w:rFonts w:ascii="Times New Roman" w:cs="Times New Roman"/>
                <w:color w:val="auto"/>
                <w:sz w:val="24"/>
                <w:szCs w:val="24"/>
              </w:rPr>
              <w:t>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spacing w:val="-6"/>
                <w:kern w:val="0"/>
                <w:sz w:val="24"/>
              </w:rPr>
              <w:t>私下接触投标人或者接受可能影响其评标公正性的宴请或者好处的</w:t>
            </w:r>
          </w:p>
        </w:tc>
        <w:tc>
          <w:tcPr>
            <w:tcW w:w="3422" w:type="dxa"/>
            <w:vAlign w:val="center"/>
          </w:tcPr>
          <w:p>
            <w:pPr>
              <w:widowControl/>
              <w:spacing w:line="240" w:lineRule="auto"/>
              <w:jc w:val="both"/>
              <w:textAlignment w:val="center"/>
              <w:rPr>
                <w:color w:val="auto"/>
                <w:sz w:val="24"/>
              </w:rPr>
            </w:pPr>
            <w:r>
              <w:rPr>
                <w:color w:val="auto"/>
                <w:kern w:val="0"/>
                <w:sz w:val="24"/>
              </w:rPr>
              <w:t>扣100</w:t>
            </w:r>
            <w:r>
              <w:rPr>
                <w:rStyle w:val="8"/>
                <w:rFonts w:ascii="Times New Roman" w:cs="Times New Roman"/>
                <w:color w:val="auto"/>
                <w:sz w:val="24"/>
                <w:szCs w:val="24"/>
              </w:rPr>
              <w:t>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在评标过程中擅离职守或者在评标结束前离开的</w:t>
            </w:r>
          </w:p>
        </w:tc>
        <w:tc>
          <w:tcPr>
            <w:tcW w:w="3422" w:type="dxa"/>
            <w:vAlign w:val="center"/>
          </w:tcPr>
          <w:p>
            <w:pPr>
              <w:widowControl/>
              <w:spacing w:line="240" w:lineRule="auto"/>
              <w:jc w:val="both"/>
              <w:textAlignment w:val="center"/>
              <w:rPr>
                <w:color w:val="auto"/>
                <w:sz w:val="24"/>
              </w:rPr>
            </w:pPr>
            <w:r>
              <w:rPr>
                <w:color w:val="auto"/>
                <w:kern w:val="0"/>
                <w:sz w:val="24"/>
              </w:rPr>
              <w:t>扣100</w:t>
            </w:r>
            <w:r>
              <w:rPr>
                <w:rStyle w:val="8"/>
                <w:rFonts w:ascii="Times New Roman" w:cs="Times New Roman"/>
                <w:color w:val="auto"/>
                <w:sz w:val="24"/>
                <w:szCs w:val="24"/>
              </w:rPr>
              <w:t>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应当回避而不主动回避的</w:t>
            </w:r>
          </w:p>
        </w:tc>
        <w:tc>
          <w:tcPr>
            <w:tcW w:w="3422" w:type="dxa"/>
            <w:vAlign w:val="center"/>
          </w:tcPr>
          <w:p>
            <w:pPr>
              <w:widowControl/>
              <w:spacing w:line="240" w:lineRule="auto"/>
              <w:jc w:val="both"/>
              <w:textAlignment w:val="center"/>
              <w:rPr>
                <w:color w:val="auto"/>
                <w:sz w:val="24"/>
              </w:rPr>
            </w:pPr>
            <w:r>
              <w:rPr>
                <w:color w:val="auto"/>
                <w:kern w:val="0"/>
                <w:sz w:val="24"/>
              </w:rPr>
              <w:t>扣100</w:t>
            </w:r>
            <w:r>
              <w:rPr>
                <w:rStyle w:val="8"/>
                <w:rFonts w:ascii="Times New Roman" w:cs="Times New Roman"/>
                <w:color w:val="auto"/>
                <w:sz w:val="24"/>
                <w:szCs w:val="24"/>
              </w:rPr>
              <w:t>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spacing w:val="-6"/>
                <w:kern w:val="0"/>
                <w:sz w:val="24"/>
              </w:rPr>
              <w:t>泄露本人参与评标活动有关信息的或者透露评标应当保密的信息的</w:t>
            </w:r>
          </w:p>
        </w:tc>
        <w:tc>
          <w:tcPr>
            <w:tcW w:w="3422" w:type="dxa"/>
            <w:vAlign w:val="center"/>
          </w:tcPr>
          <w:p>
            <w:pPr>
              <w:widowControl/>
              <w:spacing w:line="240" w:lineRule="auto"/>
              <w:jc w:val="both"/>
              <w:textAlignment w:val="center"/>
              <w:rPr>
                <w:color w:val="auto"/>
                <w:sz w:val="24"/>
              </w:rPr>
            </w:pPr>
            <w:r>
              <w:rPr>
                <w:color w:val="auto"/>
                <w:kern w:val="0"/>
                <w:sz w:val="24"/>
              </w:rPr>
              <w:t>扣100</w:t>
            </w:r>
            <w:r>
              <w:rPr>
                <w:rStyle w:val="8"/>
                <w:rFonts w:ascii="Times New Roman" w:cs="Times New Roman"/>
                <w:color w:val="auto"/>
                <w:sz w:val="24"/>
                <w:szCs w:val="24"/>
              </w:rPr>
              <w:t>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restart"/>
            <w:vAlign w:val="center"/>
          </w:tcPr>
          <w:p>
            <w:pPr>
              <w:widowControl/>
              <w:spacing w:line="240" w:lineRule="auto"/>
              <w:jc w:val="center"/>
              <w:textAlignment w:val="center"/>
              <w:rPr>
                <w:color w:val="auto"/>
                <w:sz w:val="24"/>
              </w:rPr>
            </w:pPr>
            <w:r>
              <w:rPr>
                <w:color w:val="auto"/>
                <w:kern w:val="0"/>
                <w:sz w:val="24"/>
              </w:rPr>
              <w:t>日常管理</w:t>
            </w:r>
          </w:p>
        </w:tc>
        <w:tc>
          <w:tcPr>
            <w:tcW w:w="810" w:type="dxa"/>
            <w:vMerge w:val="restart"/>
            <w:vAlign w:val="center"/>
          </w:tcPr>
          <w:p>
            <w:pPr>
              <w:widowControl/>
              <w:spacing w:line="240" w:lineRule="auto"/>
              <w:jc w:val="center"/>
              <w:textAlignment w:val="center"/>
              <w:rPr>
                <w:color w:val="auto"/>
                <w:sz w:val="24"/>
              </w:rPr>
            </w:pPr>
            <w:r>
              <w:rPr>
                <w:color w:val="auto"/>
                <w:kern w:val="0"/>
                <w:sz w:val="24"/>
              </w:rPr>
              <w:t>150</w:t>
            </w:r>
          </w:p>
        </w:tc>
        <w:tc>
          <w:tcPr>
            <w:tcW w:w="3558" w:type="dxa"/>
            <w:vAlign w:val="center"/>
          </w:tcPr>
          <w:p>
            <w:pPr>
              <w:widowControl/>
              <w:spacing w:line="240" w:lineRule="auto"/>
              <w:jc w:val="both"/>
              <w:textAlignment w:val="center"/>
              <w:rPr>
                <w:color w:val="auto"/>
                <w:sz w:val="24"/>
              </w:rPr>
            </w:pPr>
            <w:r>
              <w:rPr>
                <w:color w:val="auto"/>
                <w:kern w:val="0"/>
                <w:sz w:val="24"/>
              </w:rPr>
              <w:t>不按交易场所规定</w:t>
            </w:r>
            <w:r>
              <w:rPr>
                <w:kern w:val="0"/>
                <w:sz w:val="24"/>
              </w:rPr>
              <w:t>登记录检</w:t>
            </w:r>
            <w:r>
              <w:rPr>
                <w:color w:val="auto"/>
                <w:kern w:val="0"/>
                <w:sz w:val="24"/>
              </w:rPr>
              <w:t>的</w:t>
            </w:r>
          </w:p>
        </w:tc>
        <w:tc>
          <w:tcPr>
            <w:tcW w:w="3422" w:type="dxa"/>
            <w:vAlign w:val="center"/>
          </w:tcPr>
          <w:p>
            <w:pPr>
              <w:widowControl/>
              <w:spacing w:line="240" w:lineRule="auto"/>
              <w:jc w:val="both"/>
              <w:textAlignment w:val="center"/>
              <w:rPr>
                <w:color w:val="auto"/>
                <w:sz w:val="24"/>
              </w:rPr>
            </w:pPr>
            <w:r>
              <w:rPr>
                <w:color w:val="auto"/>
                <w:kern w:val="0"/>
                <w:sz w:val="24"/>
              </w:rPr>
              <w:t>扣4</w:t>
            </w:r>
            <w:r>
              <w:rPr>
                <w:rStyle w:val="8"/>
                <w:rFonts w:ascii="Times New Roman" w:cs="Times New Roman"/>
                <w:color w:val="auto"/>
                <w:sz w:val="24"/>
                <w:szCs w:val="24"/>
              </w:rPr>
              <w:t>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不按规定存放或者私自携带、使用通讯工具、电脑、移动存储设备的</w:t>
            </w:r>
          </w:p>
        </w:tc>
        <w:tc>
          <w:tcPr>
            <w:tcW w:w="3422" w:type="dxa"/>
            <w:vAlign w:val="center"/>
          </w:tcPr>
          <w:p>
            <w:pPr>
              <w:widowControl/>
              <w:spacing w:line="240" w:lineRule="auto"/>
              <w:jc w:val="both"/>
              <w:textAlignment w:val="center"/>
              <w:rPr>
                <w:color w:val="auto"/>
                <w:sz w:val="24"/>
              </w:rPr>
            </w:pPr>
            <w:r>
              <w:rPr>
                <w:spacing w:val="-6"/>
                <w:kern w:val="0"/>
                <w:sz w:val="24"/>
              </w:rPr>
              <w:t>不按规定存放或私自携带的扣4</w:t>
            </w:r>
            <w:r>
              <w:rPr>
                <w:rStyle w:val="5"/>
                <w:spacing w:val="-6"/>
                <w:kern w:val="0"/>
                <w:sz w:val="24"/>
              </w:rPr>
              <w:t>0分/次，违规使用的扣80分/次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未经允许随意进出评标区或其他评标室的</w:t>
            </w:r>
          </w:p>
        </w:tc>
        <w:tc>
          <w:tcPr>
            <w:tcW w:w="3422" w:type="dxa"/>
            <w:vAlign w:val="center"/>
          </w:tcPr>
          <w:p>
            <w:pPr>
              <w:widowControl/>
              <w:spacing w:line="240" w:lineRule="auto"/>
              <w:jc w:val="both"/>
              <w:textAlignment w:val="center"/>
              <w:rPr>
                <w:color w:val="auto"/>
                <w:sz w:val="24"/>
              </w:rPr>
            </w:pPr>
            <w:r>
              <w:rPr>
                <w:color w:val="auto"/>
                <w:kern w:val="0"/>
                <w:sz w:val="24"/>
              </w:rPr>
              <w:t>扣4</w:t>
            </w:r>
            <w:r>
              <w:rPr>
                <w:rStyle w:val="8"/>
                <w:rFonts w:ascii="Times New Roman" w:cs="Times New Roman"/>
                <w:color w:val="auto"/>
                <w:sz w:val="24"/>
                <w:szCs w:val="24"/>
              </w:rPr>
              <w:t>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在评标区大声喧哗吵闹，经劝阻拒不改正的</w:t>
            </w:r>
          </w:p>
        </w:tc>
        <w:tc>
          <w:tcPr>
            <w:tcW w:w="3422" w:type="dxa"/>
            <w:vAlign w:val="center"/>
          </w:tcPr>
          <w:p>
            <w:pPr>
              <w:widowControl/>
              <w:spacing w:line="240" w:lineRule="auto"/>
              <w:jc w:val="both"/>
              <w:textAlignment w:val="center"/>
              <w:rPr>
                <w:color w:val="auto"/>
                <w:sz w:val="24"/>
              </w:rPr>
            </w:pPr>
            <w:r>
              <w:rPr>
                <w:color w:val="auto"/>
                <w:kern w:val="0"/>
                <w:sz w:val="24"/>
              </w:rPr>
              <w:t>扣50</w:t>
            </w:r>
            <w:r>
              <w:rPr>
                <w:rStyle w:val="8"/>
                <w:rFonts w:ascii="Times New Roman" w:cs="Times New Roman"/>
                <w:color w:val="auto"/>
                <w:sz w:val="24"/>
                <w:szCs w:val="24"/>
              </w:rPr>
              <w:t>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restart"/>
            <w:vAlign w:val="center"/>
          </w:tcPr>
          <w:p>
            <w:pPr>
              <w:widowControl/>
              <w:spacing w:line="240" w:lineRule="auto"/>
              <w:jc w:val="center"/>
              <w:rPr>
                <w:b/>
                <w:color w:val="auto"/>
                <w:sz w:val="24"/>
              </w:rPr>
            </w:pPr>
            <w:r>
              <w:rPr>
                <w:b/>
                <w:color w:val="auto"/>
                <w:kern w:val="0"/>
                <w:sz w:val="24"/>
              </w:rPr>
              <w:t>履职能力</w:t>
            </w:r>
          </w:p>
        </w:tc>
        <w:tc>
          <w:tcPr>
            <w:tcW w:w="786" w:type="dxa"/>
            <w:vMerge w:val="restart"/>
            <w:vAlign w:val="center"/>
          </w:tcPr>
          <w:p>
            <w:pPr>
              <w:widowControl/>
              <w:spacing w:line="240" w:lineRule="auto"/>
              <w:jc w:val="center"/>
              <w:rPr>
                <w:color w:val="auto"/>
                <w:sz w:val="24"/>
              </w:rPr>
            </w:pPr>
            <w:r>
              <w:rPr>
                <w:color w:val="auto"/>
                <w:kern w:val="0"/>
                <w:sz w:val="24"/>
              </w:rPr>
              <w:t>420</w:t>
            </w:r>
          </w:p>
        </w:tc>
        <w:tc>
          <w:tcPr>
            <w:tcW w:w="809" w:type="dxa"/>
            <w:vMerge w:val="restart"/>
            <w:vAlign w:val="center"/>
          </w:tcPr>
          <w:p>
            <w:pPr>
              <w:widowControl/>
              <w:spacing w:line="240" w:lineRule="auto"/>
              <w:jc w:val="center"/>
              <w:rPr>
                <w:color w:val="auto"/>
                <w:sz w:val="24"/>
              </w:rPr>
            </w:pPr>
            <w:r>
              <w:rPr>
                <w:color w:val="auto"/>
                <w:kern w:val="0"/>
                <w:sz w:val="24"/>
              </w:rPr>
              <w:t>日常管理</w:t>
            </w:r>
          </w:p>
        </w:tc>
        <w:tc>
          <w:tcPr>
            <w:tcW w:w="810" w:type="dxa"/>
            <w:vMerge w:val="restart"/>
            <w:vAlign w:val="center"/>
          </w:tcPr>
          <w:p>
            <w:pPr>
              <w:widowControl/>
              <w:spacing w:line="240" w:lineRule="auto"/>
              <w:jc w:val="center"/>
              <w:rPr>
                <w:color w:val="auto"/>
                <w:sz w:val="24"/>
              </w:rPr>
            </w:pPr>
            <w:r>
              <w:rPr>
                <w:color w:val="auto"/>
                <w:kern w:val="0"/>
                <w:sz w:val="24"/>
              </w:rPr>
              <w:t>150</w:t>
            </w:r>
          </w:p>
        </w:tc>
        <w:tc>
          <w:tcPr>
            <w:tcW w:w="3558" w:type="dxa"/>
            <w:vAlign w:val="center"/>
          </w:tcPr>
          <w:p>
            <w:pPr>
              <w:widowControl/>
              <w:spacing w:line="240" w:lineRule="auto"/>
              <w:jc w:val="both"/>
              <w:textAlignment w:val="center"/>
              <w:rPr>
                <w:color w:val="auto"/>
                <w:sz w:val="24"/>
              </w:rPr>
            </w:pPr>
            <w:r>
              <w:rPr>
                <w:color w:val="auto"/>
                <w:kern w:val="0"/>
                <w:sz w:val="24"/>
              </w:rPr>
              <w:t>以暴力、胁迫、辱骂或其他手段扰乱正常评标工作秩序的</w:t>
            </w:r>
          </w:p>
        </w:tc>
        <w:tc>
          <w:tcPr>
            <w:tcW w:w="3422" w:type="dxa"/>
            <w:vAlign w:val="center"/>
          </w:tcPr>
          <w:p>
            <w:pPr>
              <w:widowControl/>
              <w:spacing w:line="240" w:lineRule="auto"/>
              <w:jc w:val="both"/>
              <w:textAlignment w:val="center"/>
              <w:rPr>
                <w:color w:val="auto"/>
                <w:sz w:val="24"/>
              </w:rPr>
            </w:pPr>
            <w:r>
              <w:rPr>
                <w:color w:val="auto"/>
                <w:kern w:val="0"/>
                <w:sz w:val="24"/>
              </w:rPr>
              <w:t>扣100</w:t>
            </w:r>
            <w:r>
              <w:rPr>
                <w:rStyle w:val="8"/>
                <w:rFonts w:ascii="Times New Roman" w:cs="Times New Roman"/>
                <w:color w:val="auto"/>
                <w:sz w:val="24"/>
                <w:szCs w:val="24"/>
              </w:rPr>
              <w:t>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restart"/>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spacing w:val="-6"/>
                <w:kern w:val="0"/>
                <w:sz w:val="24"/>
              </w:rPr>
              <w:t>其他不遵守当地交易场所评标区管理制度或者不服从当地行政部门和交易场所管理人员管理的行为</w:t>
            </w:r>
          </w:p>
        </w:tc>
        <w:tc>
          <w:tcPr>
            <w:tcW w:w="3422" w:type="dxa"/>
            <w:vAlign w:val="center"/>
          </w:tcPr>
          <w:p>
            <w:pPr>
              <w:widowControl/>
              <w:spacing w:line="240" w:lineRule="auto"/>
              <w:jc w:val="both"/>
              <w:textAlignment w:val="center"/>
              <w:rPr>
                <w:color w:val="auto"/>
                <w:sz w:val="24"/>
              </w:rPr>
            </w:pPr>
            <w:r>
              <w:rPr>
                <w:color w:val="auto"/>
                <w:kern w:val="0"/>
                <w:sz w:val="24"/>
              </w:rPr>
              <w:t>扣30</w:t>
            </w:r>
            <w:r>
              <w:rPr>
                <w:rStyle w:val="8"/>
                <w:rFonts w:ascii="Times New Roman" w:cs="Times New Roman"/>
                <w:color w:val="auto"/>
                <w:sz w:val="24"/>
                <w:szCs w:val="24"/>
              </w:rPr>
              <w:t>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语音电话接听率</w:t>
            </w:r>
          </w:p>
        </w:tc>
        <w:tc>
          <w:tcPr>
            <w:tcW w:w="3422" w:type="dxa"/>
            <w:vAlign w:val="center"/>
          </w:tcPr>
          <w:p>
            <w:pPr>
              <w:widowControl/>
              <w:spacing w:line="240" w:lineRule="auto"/>
              <w:jc w:val="both"/>
              <w:textAlignment w:val="center"/>
              <w:rPr>
                <w:color w:val="auto"/>
                <w:sz w:val="24"/>
              </w:rPr>
            </w:pPr>
            <w:r>
              <w:rPr>
                <w:color w:val="auto"/>
                <w:kern w:val="0"/>
                <w:sz w:val="24"/>
              </w:rPr>
              <w:t xml:space="preserve">未接听率&lt;15% 不扣分 </w:t>
            </w:r>
            <w:r>
              <w:rPr>
                <w:color w:val="auto"/>
                <w:kern w:val="0"/>
                <w:sz w:val="24"/>
              </w:rPr>
              <w:br w:type="textWrapping"/>
            </w:r>
            <w:r>
              <w:rPr>
                <w:color w:val="auto"/>
                <w:kern w:val="0"/>
                <w:sz w:val="24"/>
              </w:rPr>
              <w:t>  </w:t>
            </w:r>
            <w:r>
              <w:rPr>
                <w:color w:val="auto"/>
                <w:spacing w:val="-8"/>
                <w:kern w:val="0"/>
                <w:sz w:val="24"/>
              </w:rPr>
              <w:t>15%</w:t>
            </w:r>
            <w:r>
              <w:rPr>
                <w:rFonts w:hint="eastAsia" w:ascii="方正书宋简体" w:eastAsia="方正书宋简体"/>
                <w:color w:val="auto"/>
                <w:spacing w:val="-8"/>
                <w:kern w:val="0"/>
                <w:sz w:val="24"/>
              </w:rPr>
              <w:t>≤</w:t>
            </w:r>
            <w:r>
              <w:rPr>
                <w:color w:val="auto"/>
                <w:spacing w:val="-8"/>
                <w:kern w:val="0"/>
                <w:sz w:val="24"/>
              </w:rPr>
              <w:t xml:space="preserve">未接听率&lt;35%扣10分 </w:t>
            </w:r>
            <w:r>
              <w:rPr>
                <w:color w:val="auto"/>
                <w:kern w:val="0"/>
                <w:sz w:val="24"/>
              </w:rPr>
              <w:br w:type="textWrapping"/>
            </w:r>
            <w:r>
              <w:rPr>
                <w:color w:val="auto"/>
                <w:kern w:val="0"/>
                <w:sz w:val="24"/>
              </w:rPr>
              <w:t>  </w:t>
            </w:r>
            <w:r>
              <w:rPr>
                <w:color w:val="auto"/>
                <w:spacing w:val="-8"/>
                <w:kern w:val="0"/>
                <w:sz w:val="24"/>
              </w:rPr>
              <w:t>35%</w:t>
            </w:r>
            <w:r>
              <w:rPr>
                <w:rFonts w:hint="eastAsia" w:ascii="方正书宋简体" w:eastAsia="方正书宋简体"/>
                <w:color w:val="auto"/>
                <w:spacing w:val="-8"/>
                <w:kern w:val="0"/>
                <w:sz w:val="24"/>
              </w:rPr>
              <w:t>≤</w:t>
            </w:r>
            <w:r>
              <w:rPr>
                <w:color w:val="auto"/>
                <w:spacing w:val="-8"/>
                <w:kern w:val="0"/>
                <w:sz w:val="24"/>
              </w:rPr>
              <w:t xml:space="preserve">未接听率&lt;85%扣20分 </w:t>
            </w:r>
            <w:r>
              <w:rPr>
                <w:color w:val="auto"/>
                <w:kern w:val="0"/>
                <w:sz w:val="24"/>
              </w:rPr>
              <w:br w:type="textWrapping"/>
            </w:r>
            <w:r>
              <w:rPr>
                <w:color w:val="auto"/>
                <w:kern w:val="0"/>
                <w:sz w:val="24"/>
              </w:rPr>
              <w:t>  85%</w:t>
            </w:r>
            <w:r>
              <w:rPr>
                <w:rFonts w:hint="eastAsia" w:ascii="方正书宋简体" w:eastAsia="方正书宋简体"/>
                <w:color w:val="auto"/>
                <w:kern w:val="0"/>
                <w:sz w:val="24"/>
              </w:rPr>
              <w:t>≤</w:t>
            </w:r>
            <w:r>
              <w:rPr>
                <w:color w:val="auto"/>
                <w:kern w:val="0"/>
                <w:sz w:val="24"/>
              </w:rPr>
              <w:t xml:space="preserve">未接听率&lt;100%扣30分 </w:t>
            </w:r>
            <w:r>
              <w:rPr>
                <w:color w:val="auto"/>
                <w:kern w:val="0"/>
                <w:sz w:val="24"/>
              </w:rPr>
              <w:br w:type="textWrapping"/>
            </w:r>
            <w:r>
              <w:rPr>
                <w:color w:val="auto"/>
                <w:kern w:val="0"/>
                <w:sz w:val="24"/>
              </w:rPr>
              <w:t>  未接听率=100% 扣50分</w:t>
            </w:r>
          </w:p>
        </w:tc>
        <w:tc>
          <w:tcPr>
            <w:tcW w:w="1181" w:type="dxa"/>
            <w:vAlign w:val="center"/>
          </w:tcPr>
          <w:p>
            <w:pPr>
              <w:widowControl/>
              <w:spacing w:line="270" w:lineRule="exact"/>
              <w:jc w:val="center"/>
              <w:textAlignment w:val="center"/>
              <w:rPr>
                <w:color w:val="auto"/>
                <w:sz w:val="24"/>
              </w:rPr>
            </w:pPr>
            <w:r>
              <w:rPr>
                <w:color w:val="auto"/>
                <w:kern w:val="0"/>
                <w:sz w:val="24"/>
              </w:rPr>
              <w:t>一个年度周期内语音电话未接听率（电话未接听次数/后台拨打次数×100%），如在年度周期内未被抽取，不予扣分</w:t>
            </w:r>
          </w:p>
        </w:tc>
        <w:tc>
          <w:tcPr>
            <w:tcW w:w="1679" w:type="dxa"/>
            <w:vMerge w:val="restart"/>
            <w:vAlign w:val="center"/>
          </w:tcPr>
          <w:p>
            <w:pPr>
              <w:widowControl/>
              <w:spacing w:line="240" w:lineRule="auto"/>
              <w:jc w:val="center"/>
              <w:textAlignment w:val="center"/>
              <w:rPr>
                <w:color w:val="auto"/>
                <w:sz w:val="24"/>
              </w:rPr>
            </w:pPr>
            <w:r>
              <w:rPr>
                <w:color w:val="auto"/>
                <w:kern w:val="0"/>
                <w:sz w:val="24"/>
              </w:rPr>
              <w:t>专家库系统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放弃参评率</w:t>
            </w:r>
          </w:p>
        </w:tc>
        <w:tc>
          <w:tcPr>
            <w:tcW w:w="3422" w:type="dxa"/>
            <w:vAlign w:val="center"/>
          </w:tcPr>
          <w:p>
            <w:pPr>
              <w:widowControl/>
              <w:spacing w:line="240" w:lineRule="auto"/>
              <w:jc w:val="both"/>
              <w:textAlignment w:val="center"/>
              <w:rPr>
                <w:color w:val="auto"/>
                <w:sz w:val="24"/>
              </w:rPr>
            </w:pPr>
            <w:r>
              <w:rPr>
                <w:color w:val="auto"/>
                <w:kern w:val="0"/>
                <w:sz w:val="24"/>
              </w:rPr>
              <w:t xml:space="preserve">放弃参评率&lt;15% 不扣分 </w:t>
            </w:r>
            <w:r>
              <w:rPr>
                <w:color w:val="auto"/>
                <w:kern w:val="0"/>
                <w:sz w:val="24"/>
              </w:rPr>
              <w:br w:type="textWrapping"/>
            </w:r>
            <w:r>
              <w:rPr>
                <w:color w:val="auto"/>
                <w:kern w:val="0"/>
                <w:sz w:val="24"/>
              </w:rPr>
              <w:t>  15%</w:t>
            </w:r>
            <w:r>
              <w:rPr>
                <w:rFonts w:hint="eastAsia" w:ascii="方正书宋简体" w:eastAsia="方正书宋简体"/>
                <w:color w:val="auto"/>
                <w:kern w:val="0"/>
                <w:sz w:val="24"/>
              </w:rPr>
              <w:t>≤</w:t>
            </w:r>
            <w:r>
              <w:rPr>
                <w:color w:val="auto"/>
                <w:kern w:val="0"/>
                <w:sz w:val="24"/>
              </w:rPr>
              <w:t xml:space="preserve">放弃参评率&lt;35%扣10分 </w:t>
            </w:r>
            <w:r>
              <w:rPr>
                <w:color w:val="auto"/>
                <w:kern w:val="0"/>
                <w:sz w:val="24"/>
              </w:rPr>
              <w:br w:type="textWrapping"/>
            </w:r>
            <w:r>
              <w:rPr>
                <w:color w:val="auto"/>
                <w:kern w:val="0"/>
                <w:sz w:val="24"/>
              </w:rPr>
              <w:t>  35%</w:t>
            </w:r>
            <w:r>
              <w:rPr>
                <w:rFonts w:hint="eastAsia" w:ascii="方正书宋简体" w:eastAsia="方正书宋简体"/>
                <w:color w:val="auto"/>
                <w:kern w:val="0"/>
                <w:sz w:val="24"/>
              </w:rPr>
              <w:t>≤</w:t>
            </w:r>
            <w:r>
              <w:rPr>
                <w:color w:val="auto"/>
                <w:kern w:val="0"/>
                <w:sz w:val="24"/>
              </w:rPr>
              <w:t xml:space="preserve">放弃参评率&lt;85%扣20分 </w:t>
            </w:r>
            <w:r>
              <w:rPr>
                <w:color w:val="auto"/>
                <w:kern w:val="0"/>
                <w:sz w:val="24"/>
              </w:rPr>
              <w:br w:type="textWrapping"/>
            </w:r>
            <w:r>
              <w:rPr>
                <w:color w:val="auto"/>
                <w:kern w:val="0"/>
                <w:sz w:val="24"/>
              </w:rPr>
              <w:t>  85%</w:t>
            </w:r>
            <w:r>
              <w:rPr>
                <w:rFonts w:hint="eastAsia" w:ascii="方正书宋简体" w:eastAsia="方正书宋简体"/>
                <w:color w:val="auto"/>
                <w:kern w:val="0"/>
                <w:sz w:val="24"/>
              </w:rPr>
              <w:t>≤</w:t>
            </w:r>
            <w:r>
              <w:rPr>
                <w:color w:val="auto"/>
                <w:kern w:val="0"/>
                <w:sz w:val="24"/>
              </w:rPr>
              <w:t xml:space="preserve">放弃参评率&lt;100% 扣30分 </w:t>
            </w:r>
            <w:r>
              <w:rPr>
                <w:color w:val="auto"/>
                <w:kern w:val="0"/>
                <w:sz w:val="24"/>
              </w:rPr>
              <w:br w:type="textWrapping"/>
            </w:r>
            <w:r>
              <w:rPr>
                <w:color w:val="auto"/>
                <w:kern w:val="0"/>
                <w:sz w:val="24"/>
              </w:rPr>
              <w:t>  放弃参评率=100% 扣50分</w:t>
            </w:r>
          </w:p>
        </w:tc>
        <w:tc>
          <w:tcPr>
            <w:tcW w:w="1181" w:type="dxa"/>
            <w:vAlign w:val="center"/>
          </w:tcPr>
          <w:p>
            <w:pPr>
              <w:widowControl/>
              <w:spacing w:line="270" w:lineRule="exact"/>
              <w:jc w:val="center"/>
              <w:textAlignment w:val="center"/>
              <w:rPr>
                <w:color w:val="auto"/>
                <w:sz w:val="24"/>
              </w:rPr>
            </w:pPr>
            <w:r>
              <w:rPr>
                <w:color w:val="auto"/>
                <w:kern w:val="0"/>
                <w:sz w:val="24"/>
              </w:rPr>
              <w:t>一个年度周期内放弃参评率（放弃参评次数/抽中次数×100%），如在年度周期内未被抽取，不予扣分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restart"/>
            <w:vAlign w:val="center"/>
          </w:tcPr>
          <w:p>
            <w:pPr>
              <w:widowControl/>
              <w:spacing w:line="240" w:lineRule="auto"/>
              <w:jc w:val="center"/>
              <w:rPr>
                <w:b/>
                <w:color w:val="auto"/>
                <w:sz w:val="24"/>
              </w:rPr>
            </w:pPr>
            <w:r>
              <w:rPr>
                <w:b/>
                <w:color w:val="auto"/>
                <w:kern w:val="0"/>
                <w:sz w:val="24"/>
              </w:rPr>
              <w:t>履职能力</w:t>
            </w:r>
          </w:p>
        </w:tc>
        <w:tc>
          <w:tcPr>
            <w:tcW w:w="786" w:type="dxa"/>
            <w:vMerge w:val="restart"/>
            <w:vAlign w:val="center"/>
          </w:tcPr>
          <w:p>
            <w:pPr>
              <w:widowControl/>
              <w:spacing w:line="240" w:lineRule="auto"/>
              <w:jc w:val="center"/>
              <w:rPr>
                <w:color w:val="auto"/>
                <w:sz w:val="24"/>
              </w:rPr>
            </w:pPr>
            <w:r>
              <w:rPr>
                <w:color w:val="auto"/>
                <w:kern w:val="0"/>
                <w:sz w:val="24"/>
              </w:rPr>
              <w:t>420</w:t>
            </w:r>
          </w:p>
        </w:tc>
        <w:tc>
          <w:tcPr>
            <w:tcW w:w="809" w:type="dxa"/>
            <w:vMerge w:val="restart"/>
            <w:vAlign w:val="center"/>
          </w:tcPr>
          <w:p>
            <w:pPr>
              <w:widowControl/>
              <w:spacing w:line="240" w:lineRule="auto"/>
              <w:jc w:val="center"/>
              <w:rPr>
                <w:color w:val="auto"/>
                <w:sz w:val="24"/>
              </w:rPr>
            </w:pPr>
            <w:r>
              <w:rPr>
                <w:color w:val="auto"/>
                <w:kern w:val="0"/>
                <w:sz w:val="24"/>
              </w:rPr>
              <w:t>日常管理</w:t>
            </w:r>
          </w:p>
        </w:tc>
        <w:tc>
          <w:tcPr>
            <w:tcW w:w="810" w:type="dxa"/>
            <w:vMerge w:val="restart"/>
            <w:vAlign w:val="center"/>
          </w:tcPr>
          <w:p>
            <w:pPr>
              <w:widowControl/>
              <w:spacing w:line="240" w:lineRule="auto"/>
              <w:jc w:val="center"/>
              <w:rPr>
                <w:color w:val="auto"/>
                <w:sz w:val="24"/>
              </w:rPr>
            </w:pPr>
            <w:r>
              <w:rPr>
                <w:color w:val="auto"/>
                <w:kern w:val="0"/>
                <w:sz w:val="24"/>
              </w:rPr>
              <w:t>150</w:t>
            </w:r>
          </w:p>
        </w:tc>
        <w:tc>
          <w:tcPr>
            <w:tcW w:w="3558" w:type="dxa"/>
            <w:vAlign w:val="center"/>
          </w:tcPr>
          <w:p>
            <w:pPr>
              <w:widowControl/>
              <w:spacing w:line="310" w:lineRule="exact"/>
              <w:jc w:val="both"/>
              <w:textAlignment w:val="center"/>
              <w:rPr>
                <w:color w:val="auto"/>
                <w:sz w:val="24"/>
              </w:rPr>
            </w:pPr>
            <w:r>
              <w:rPr>
                <w:color w:val="auto"/>
                <w:kern w:val="0"/>
                <w:sz w:val="24"/>
              </w:rPr>
              <w:t>申请暂停参加评标活动时间</w:t>
            </w:r>
          </w:p>
        </w:tc>
        <w:tc>
          <w:tcPr>
            <w:tcW w:w="3422" w:type="dxa"/>
            <w:vAlign w:val="center"/>
          </w:tcPr>
          <w:p>
            <w:pPr>
              <w:widowControl/>
              <w:spacing w:line="310" w:lineRule="exact"/>
              <w:jc w:val="both"/>
              <w:textAlignment w:val="center"/>
              <w:rPr>
                <w:color w:val="auto"/>
                <w:sz w:val="24"/>
              </w:rPr>
            </w:pPr>
            <w:r>
              <w:rPr>
                <w:color w:val="auto"/>
                <w:kern w:val="0"/>
                <w:sz w:val="24"/>
              </w:rPr>
              <w:t xml:space="preserve">申请暂停参加评标活动时间累计小于100天（含本数）不扣分 </w:t>
            </w:r>
            <w:r>
              <w:rPr>
                <w:color w:val="auto"/>
                <w:kern w:val="0"/>
                <w:sz w:val="24"/>
              </w:rPr>
              <w:br w:type="textWrapping"/>
            </w:r>
            <w:r>
              <w:rPr>
                <w:color w:val="auto"/>
                <w:kern w:val="0"/>
                <w:sz w:val="24"/>
              </w:rPr>
              <w:t>申请暂停参加评标活动时间累计超过100天但未超过200天的扣10分</w:t>
            </w:r>
          </w:p>
        </w:tc>
        <w:tc>
          <w:tcPr>
            <w:tcW w:w="1181" w:type="dxa"/>
            <w:vAlign w:val="center"/>
          </w:tcPr>
          <w:p>
            <w:pPr>
              <w:widowControl/>
              <w:spacing w:line="310" w:lineRule="exact"/>
              <w:jc w:val="center"/>
              <w:textAlignment w:val="center"/>
              <w:rPr>
                <w:color w:val="auto"/>
                <w:sz w:val="24"/>
              </w:rPr>
            </w:pPr>
            <w:r>
              <w:rPr>
                <w:color w:val="auto"/>
                <w:kern w:val="0"/>
                <w:sz w:val="24"/>
              </w:rPr>
              <w:t>一个年度周期内一次扣分</w:t>
            </w:r>
          </w:p>
        </w:tc>
        <w:tc>
          <w:tcPr>
            <w:tcW w:w="1679" w:type="dxa"/>
            <w:vMerge w:val="continue"/>
            <w:vAlign w:val="center"/>
          </w:tcPr>
          <w:p>
            <w:pPr>
              <w:widowControl/>
              <w:spacing w:line="310" w:lineRule="exact"/>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310" w:lineRule="exact"/>
              <w:jc w:val="both"/>
              <w:textAlignment w:val="center"/>
              <w:rPr>
                <w:color w:val="auto"/>
                <w:sz w:val="24"/>
              </w:rPr>
            </w:pPr>
            <w:r>
              <w:rPr>
                <w:color w:val="auto"/>
                <w:kern w:val="0"/>
                <w:sz w:val="24"/>
              </w:rPr>
              <w:t>每年在浙江省综合性评标专家库系统完成80个以上学分的学习，并通过考试测评的</w:t>
            </w:r>
          </w:p>
        </w:tc>
        <w:tc>
          <w:tcPr>
            <w:tcW w:w="3422" w:type="dxa"/>
            <w:vAlign w:val="center"/>
          </w:tcPr>
          <w:p>
            <w:pPr>
              <w:widowControl/>
              <w:spacing w:line="310" w:lineRule="exact"/>
              <w:jc w:val="both"/>
              <w:textAlignment w:val="center"/>
              <w:rPr>
                <w:color w:val="auto"/>
                <w:sz w:val="24"/>
              </w:rPr>
            </w:pPr>
            <w:r>
              <w:rPr>
                <w:color w:val="auto"/>
                <w:kern w:val="0"/>
                <w:sz w:val="24"/>
              </w:rPr>
              <w:t>未完成的，暂时冻结省综合性评标专家库评标专家身份</w:t>
            </w:r>
          </w:p>
        </w:tc>
        <w:tc>
          <w:tcPr>
            <w:tcW w:w="1181" w:type="dxa"/>
            <w:vAlign w:val="center"/>
          </w:tcPr>
          <w:p>
            <w:pPr>
              <w:widowControl/>
              <w:spacing w:line="310" w:lineRule="exact"/>
              <w:jc w:val="center"/>
              <w:textAlignment w:val="center"/>
              <w:rPr>
                <w:color w:val="auto"/>
                <w:sz w:val="24"/>
              </w:rPr>
            </w:pPr>
            <w:r>
              <w:rPr>
                <w:color w:val="auto"/>
                <w:sz w:val="24"/>
              </w:rPr>
              <w:t>/</w:t>
            </w:r>
          </w:p>
        </w:tc>
        <w:tc>
          <w:tcPr>
            <w:tcW w:w="1679" w:type="dxa"/>
            <w:vMerge w:val="continue"/>
            <w:vAlign w:val="center"/>
          </w:tcPr>
          <w:p>
            <w:pPr>
              <w:widowControl/>
              <w:spacing w:line="310" w:lineRule="exact"/>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310" w:lineRule="exact"/>
              <w:jc w:val="both"/>
              <w:textAlignment w:val="center"/>
              <w:rPr>
                <w:color w:val="auto"/>
                <w:sz w:val="24"/>
              </w:rPr>
            </w:pPr>
            <w:r>
              <w:rPr>
                <w:color w:val="auto"/>
                <w:kern w:val="0"/>
                <w:sz w:val="24"/>
              </w:rPr>
              <w:t>评标专家须参加当地评标专家管理部门组织的在线学习培训</w:t>
            </w:r>
          </w:p>
        </w:tc>
        <w:tc>
          <w:tcPr>
            <w:tcW w:w="3422" w:type="dxa"/>
            <w:vAlign w:val="center"/>
          </w:tcPr>
          <w:p>
            <w:pPr>
              <w:widowControl/>
              <w:spacing w:line="310" w:lineRule="exact"/>
              <w:jc w:val="both"/>
              <w:textAlignment w:val="center"/>
              <w:rPr>
                <w:color w:val="auto"/>
                <w:sz w:val="24"/>
              </w:rPr>
            </w:pPr>
            <w:r>
              <w:rPr>
                <w:color w:val="auto"/>
                <w:kern w:val="0"/>
                <w:sz w:val="24"/>
              </w:rPr>
              <w:t>未按要求完成的，扣10</w:t>
            </w:r>
            <w:r>
              <w:rPr>
                <w:rStyle w:val="8"/>
                <w:rFonts w:ascii="Times New Roman" w:cs="Times New Roman"/>
                <w:color w:val="auto"/>
                <w:sz w:val="24"/>
                <w:szCs w:val="24"/>
              </w:rPr>
              <w:t>分/次</w:t>
            </w:r>
          </w:p>
        </w:tc>
        <w:tc>
          <w:tcPr>
            <w:tcW w:w="1181" w:type="dxa"/>
            <w:vAlign w:val="center"/>
          </w:tcPr>
          <w:p>
            <w:pPr>
              <w:widowControl/>
              <w:spacing w:line="310" w:lineRule="exact"/>
              <w:jc w:val="center"/>
              <w:textAlignment w:val="center"/>
              <w:rPr>
                <w:color w:val="auto"/>
                <w:sz w:val="24"/>
              </w:rPr>
            </w:pPr>
            <w:r>
              <w:rPr>
                <w:color w:val="auto"/>
                <w:kern w:val="0"/>
                <w:sz w:val="24"/>
              </w:rPr>
              <w:t>累计扣分</w:t>
            </w:r>
          </w:p>
        </w:tc>
        <w:tc>
          <w:tcPr>
            <w:tcW w:w="1679" w:type="dxa"/>
            <w:vAlign w:val="center"/>
          </w:tcPr>
          <w:p>
            <w:pPr>
              <w:widowControl/>
              <w:spacing w:line="310" w:lineRule="exact"/>
              <w:jc w:val="center"/>
              <w:textAlignment w:val="center"/>
              <w:rPr>
                <w:color w:val="auto"/>
                <w:sz w:val="24"/>
              </w:rPr>
            </w:pPr>
            <w:r>
              <w:rPr>
                <w:color w:val="auto"/>
                <w:kern w:val="0"/>
                <w:sz w:val="24"/>
              </w:rPr>
              <w:t>各招投标（公共资源交易）综合管理部门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restart"/>
            <w:vAlign w:val="center"/>
          </w:tcPr>
          <w:p>
            <w:pPr>
              <w:widowControl/>
              <w:spacing w:line="240" w:lineRule="auto"/>
              <w:jc w:val="center"/>
              <w:textAlignment w:val="center"/>
              <w:rPr>
                <w:b/>
                <w:color w:val="auto"/>
                <w:sz w:val="24"/>
              </w:rPr>
            </w:pPr>
            <w:r>
              <w:rPr>
                <w:b/>
                <w:color w:val="auto"/>
                <w:kern w:val="0"/>
                <w:sz w:val="24"/>
              </w:rPr>
              <w:t>遵纪守法</w:t>
            </w:r>
          </w:p>
        </w:tc>
        <w:tc>
          <w:tcPr>
            <w:tcW w:w="786" w:type="dxa"/>
            <w:vMerge w:val="restart"/>
            <w:vAlign w:val="center"/>
          </w:tcPr>
          <w:p>
            <w:pPr>
              <w:widowControl/>
              <w:spacing w:line="240" w:lineRule="auto"/>
              <w:jc w:val="center"/>
              <w:textAlignment w:val="center"/>
              <w:rPr>
                <w:color w:val="auto"/>
                <w:sz w:val="24"/>
              </w:rPr>
            </w:pPr>
            <w:r>
              <w:rPr>
                <w:color w:val="auto"/>
                <w:kern w:val="0"/>
                <w:sz w:val="24"/>
              </w:rPr>
              <w:t>300</w:t>
            </w:r>
          </w:p>
        </w:tc>
        <w:tc>
          <w:tcPr>
            <w:tcW w:w="809" w:type="dxa"/>
            <w:vMerge w:val="restart"/>
            <w:vAlign w:val="center"/>
          </w:tcPr>
          <w:p>
            <w:pPr>
              <w:widowControl/>
              <w:spacing w:line="240" w:lineRule="auto"/>
              <w:jc w:val="center"/>
              <w:textAlignment w:val="center"/>
              <w:rPr>
                <w:color w:val="auto"/>
                <w:sz w:val="24"/>
              </w:rPr>
            </w:pPr>
            <w:r>
              <w:rPr>
                <w:color w:val="auto"/>
                <w:kern w:val="0"/>
                <w:sz w:val="24"/>
              </w:rPr>
              <w:t>行政管理信息</w:t>
            </w:r>
          </w:p>
        </w:tc>
        <w:tc>
          <w:tcPr>
            <w:tcW w:w="810" w:type="dxa"/>
            <w:vMerge w:val="restart"/>
            <w:vAlign w:val="center"/>
          </w:tcPr>
          <w:p>
            <w:pPr>
              <w:widowControl/>
              <w:spacing w:line="240" w:lineRule="auto"/>
              <w:jc w:val="center"/>
              <w:textAlignment w:val="center"/>
              <w:rPr>
                <w:color w:val="auto"/>
                <w:sz w:val="24"/>
              </w:rPr>
            </w:pPr>
            <w:r>
              <w:rPr>
                <w:color w:val="auto"/>
                <w:kern w:val="0"/>
                <w:sz w:val="24"/>
              </w:rPr>
              <w:t>100</w:t>
            </w:r>
          </w:p>
        </w:tc>
        <w:tc>
          <w:tcPr>
            <w:tcW w:w="3558" w:type="dxa"/>
            <w:vAlign w:val="center"/>
          </w:tcPr>
          <w:p>
            <w:pPr>
              <w:widowControl/>
              <w:spacing w:line="310" w:lineRule="exact"/>
              <w:jc w:val="both"/>
              <w:textAlignment w:val="center"/>
              <w:rPr>
                <w:color w:val="auto"/>
                <w:sz w:val="24"/>
              </w:rPr>
            </w:pPr>
            <w:r>
              <w:rPr>
                <w:color w:val="auto"/>
                <w:kern w:val="0"/>
                <w:sz w:val="24"/>
              </w:rPr>
              <w:t>因招投标违法违规行为被有关行政部门予以行政处罚的</w:t>
            </w:r>
          </w:p>
        </w:tc>
        <w:tc>
          <w:tcPr>
            <w:tcW w:w="3422" w:type="dxa"/>
            <w:vAlign w:val="center"/>
          </w:tcPr>
          <w:p>
            <w:pPr>
              <w:widowControl/>
              <w:spacing w:line="310" w:lineRule="exact"/>
              <w:jc w:val="both"/>
              <w:textAlignment w:val="center"/>
              <w:rPr>
                <w:color w:val="auto"/>
                <w:sz w:val="24"/>
              </w:rPr>
            </w:pPr>
            <w:r>
              <w:rPr>
                <w:color w:val="auto"/>
                <w:kern w:val="0"/>
                <w:sz w:val="24"/>
              </w:rPr>
              <w:t>除名</w:t>
            </w:r>
          </w:p>
        </w:tc>
        <w:tc>
          <w:tcPr>
            <w:tcW w:w="1181" w:type="dxa"/>
            <w:vAlign w:val="center"/>
          </w:tcPr>
          <w:p>
            <w:pPr>
              <w:widowControl/>
              <w:spacing w:line="310" w:lineRule="exact"/>
              <w:jc w:val="center"/>
              <w:textAlignment w:val="center"/>
              <w:rPr>
                <w:color w:val="auto"/>
                <w:sz w:val="24"/>
              </w:rPr>
            </w:pPr>
            <w:r>
              <w:rPr>
                <w:color w:val="auto"/>
                <w:sz w:val="24"/>
              </w:rPr>
              <w:t>/</w:t>
            </w:r>
          </w:p>
        </w:tc>
        <w:tc>
          <w:tcPr>
            <w:tcW w:w="1679" w:type="dxa"/>
            <w:vAlign w:val="center"/>
          </w:tcPr>
          <w:p>
            <w:pPr>
              <w:widowControl/>
              <w:spacing w:line="310" w:lineRule="exact"/>
              <w:jc w:val="center"/>
              <w:textAlignment w:val="center"/>
              <w:rPr>
                <w:color w:val="auto"/>
                <w:sz w:val="24"/>
              </w:rPr>
            </w:pPr>
            <w:r>
              <w:rPr>
                <w:color w:val="auto"/>
                <w:kern w:val="0"/>
                <w:sz w:val="24"/>
              </w:rPr>
              <w:t>招投标行政监管部门、全省行政处罚系统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310" w:lineRule="exact"/>
              <w:jc w:val="both"/>
              <w:textAlignment w:val="center"/>
              <w:rPr>
                <w:color w:val="auto"/>
                <w:sz w:val="24"/>
              </w:rPr>
            </w:pPr>
            <w:r>
              <w:rPr>
                <w:color w:val="auto"/>
                <w:kern w:val="0"/>
                <w:sz w:val="24"/>
              </w:rPr>
              <w:t>被行政机关撤销、吊销专业资质资格的</w:t>
            </w:r>
          </w:p>
        </w:tc>
        <w:tc>
          <w:tcPr>
            <w:tcW w:w="3422" w:type="dxa"/>
            <w:vAlign w:val="center"/>
          </w:tcPr>
          <w:p>
            <w:pPr>
              <w:widowControl/>
              <w:spacing w:line="310" w:lineRule="exact"/>
              <w:jc w:val="both"/>
              <w:textAlignment w:val="center"/>
              <w:rPr>
                <w:color w:val="auto"/>
                <w:sz w:val="24"/>
              </w:rPr>
            </w:pPr>
            <w:r>
              <w:rPr>
                <w:kern w:val="0"/>
                <w:sz w:val="24"/>
              </w:rPr>
              <w:t>扣1</w:t>
            </w:r>
            <w:r>
              <w:rPr>
                <w:rStyle w:val="8"/>
                <w:rFonts w:ascii="Times New Roman" w:cs="Times New Roman"/>
                <w:color w:val="auto"/>
                <w:sz w:val="24"/>
                <w:szCs w:val="24"/>
              </w:rPr>
              <w:t>00分/次</w:t>
            </w:r>
          </w:p>
        </w:tc>
        <w:tc>
          <w:tcPr>
            <w:tcW w:w="1181" w:type="dxa"/>
            <w:vAlign w:val="center"/>
          </w:tcPr>
          <w:p>
            <w:pPr>
              <w:widowControl/>
              <w:spacing w:line="310" w:lineRule="exact"/>
              <w:jc w:val="center"/>
              <w:textAlignment w:val="center"/>
              <w:rPr>
                <w:color w:val="auto"/>
                <w:sz w:val="24"/>
              </w:rPr>
            </w:pPr>
            <w:r>
              <w:rPr>
                <w:color w:val="auto"/>
                <w:kern w:val="0"/>
                <w:sz w:val="24"/>
              </w:rPr>
              <w:t>累计扣分</w:t>
            </w:r>
          </w:p>
        </w:tc>
        <w:tc>
          <w:tcPr>
            <w:tcW w:w="1679" w:type="dxa"/>
            <w:vMerge w:val="restart"/>
            <w:vAlign w:val="center"/>
          </w:tcPr>
          <w:p>
            <w:pPr>
              <w:widowControl/>
              <w:spacing w:line="310" w:lineRule="exact"/>
              <w:jc w:val="center"/>
              <w:textAlignment w:val="center"/>
              <w:rPr>
                <w:color w:val="auto"/>
                <w:sz w:val="24"/>
              </w:rPr>
            </w:pPr>
            <w:r>
              <w:rPr>
                <w:color w:val="auto"/>
                <w:kern w:val="0"/>
                <w:sz w:val="24"/>
              </w:rPr>
              <w:t>浙江省公共信用信息平台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310" w:lineRule="exact"/>
              <w:jc w:val="both"/>
              <w:textAlignment w:val="center"/>
              <w:rPr>
                <w:color w:val="auto"/>
                <w:sz w:val="24"/>
              </w:rPr>
            </w:pPr>
            <w:r>
              <w:rPr>
                <w:color w:val="auto"/>
                <w:kern w:val="0"/>
                <w:sz w:val="24"/>
              </w:rPr>
              <w:t>不履行行政决定而被依法行政强制执行的</w:t>
            </w:r>
          </w:p>
        </w:tc>
        <w:tc>
          <w:tcPr>
            <w:tcW w:w="3422" w:type="dxa"/>
            <w:vAlign w:val="center"/>
          </w:tcPr>
          <w:p>
            <w:pPr>
              <w:widowControl/>
              <w:spacing w:line="310" w:lineRule="exact"/>
              <w:jc w:val="both"/>
              <w:textAlignment w:val="center"/>
              <w:rPr>
                <w:color w:val="auto"/>
                <w:sz w:val="24"/>
              </w:rPr>
            </w:pPr>
            <w:r>
              <w:rPr>
                <w:color w:val="auto"/>
                <w:kern w:val="0"/>
                <w:sz w:val="24"/>
              </w:rPr>
              <w:t>扣100</w:t>
            </w:r>
            <w:r>
              <w:rPr>
                <w:rStyle w:val="8"/>
                <w:rFonts w:ascii="Times New Roman" w:cs="Times New Roman"/>
                <w:color w:val="auto"/>
                <w:sz w:val="24"/>
                <w:szCs w:val="24"/>
              </w:rPr>
              <w:t>分/次</w:t>
            </w:r>
          </w:p>
        </w:tc>
        <w:tc>
          <w:tcPr>
            <w:tcW w:w="1181" w:type="dxa"/>
            <w:vAlign w:val="center"/>
          </w:tcPr>
          <w:p>
            <w:pPr>
              <w:widowControl/>
              <w:spacing w:line="310" w:lineRule="exact"/>
              <w:jc w:val="center"/>
              <w:textAlignment w:val="center"/>
              <w:rPr>
                <w:color w:val="auto"/>
                <w:sz w:val="24"/>
              </w:rPr>
            </w:pPr>
            <w:r>
              <w:rPr>
                <w:color w:val="auto"/>
                <w:kern w:val="0"/>
                <w:sz w:val="24"/>
              </w:rPr>
              <w:t>累计扣分</w:t>
            </w:r>
          </w:p>
        </w:tc>
        <w:tc>
          <w:tcPr>
            <w:tcW w:w="1679" w:type="dxa"/>
            <w:vMerge w:val="continue"/>
            <w:vAlign w:val="center"/>
          </w:tcPr>
          <w:p>
            <w:pPr>
              <w:widowControl/>
              <w:spacing w:line="310" w:lineRule="exact"/>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310" w:lineRule="exact"/>
              <w:jc w:val="both"/>
              <w:textAlignment w:val="center"/>
              <w:rPr>
                <w:color w:val="auto"/>
                <w:sz w:val="24"/>
              </w:rPr>
            </w:pPr>
            <w:r>
              <w:rPr>
                <w:color w:val="auto"/>
                <w:kern w:val="0"/>
                <w:sz w:val="24"/>
              </w:rPr>
              <w:t>经有关行政部门认定以欺骗、贿赂等不正当手段取得行政许可、行政确认、行政给付、行政奖励的信息</w:t>
            </w:r>
          </w:p>
        </w:tc>
        <w:tc>
          <w:tcPr>
            <w:tcW w:w="3422" w:type="dxa"/>
            <w:vAlign w:val="center"/>
          </w:tcPr>
          <w:p>
            <w:pPr>
              <w:widowControl/>
              <w:spacing w:line="310" w:lineRule="exact"/>
              <w:jc w:val="both"/>
              <w:textAlignment w:val="center"/>
              <w:rPr>
                <w:color w:val="auto"/>
                <w:sz w:val="24"/>
              </w:rPr>
            </w:pPr>
            <w:r>
              <w:rPr>
                <w:color w:val="auto"/>
                <w:kern w:val="0"/>
                <w:sz w:val="24"/>
              </w:rPr>
              <w:t>扣100</w:t>
            </w:r>
            <w:r>
              <w:rPr>
                <w:rStyle w:val="8"/>
                <w:rFonts w:ascii="Times New Roman" w:cs="Times New Roman"/>
                <w:color w:val="auto"/>
                <w:sz w:val="24"/>
                <w:szCs w:val="24"/>
              </w:rPr>
              <w:t>分/次</w:t>
            </w:r>
          </w:p>
        </w:tc>
        <w:tc>
          <w:tcPr>
            <w:tcW w:w="1181" w:type="dxa"/>
            <w:vAlign w:val="center"/>
          </w:tcPr>
          <w:p>
            <w:pPr>
              <w:widowControl/>
              <w:spacing w:line="310" w:lineRule="exact"/>
              <w:jc w:val="center"/>
              <w:textAlignment w:val="center"/>
              <w:rPr>
                <w:color w:val="auto"/>
                <w:sz w:val="24"/>
              </w:rPr>
            </w:pPr>
            <w:r>
              <w:rPr>
                <w:color w:val="auto"/>
                <w:kern w:val="0"/>
                <w:sz w:val="24"/>
              </w:rPr>
              <w:t>累计扣分</w:t>
            </w:r>
          </w:p>
        </w:tc>
        <w:tc>
          <w:tcPr>
            <w:tcW w:w="1679" w:type="dxa"/>
            <w:vMerge w:val="continue"/>
            <w:vAlign w:val="center"/>
          </w:tcPr>
          <w:p>
            <w:pPr>
              <w:widowControl/>
              <w:spacing w:line="310" w:lineRule="exact"/>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restart"/>
            <w:vAlign w:val="center"/>
          </w:tcPr>
          <w:p>
            <w:pPr>
              <w:widowControl/>
              <w:spacing w:line="240" w:lineRule="auto"/>
              <w:jc w:val="center"/>
              <w:textAlignment w:val="center"/>
              <w:rPr>
                <w:color w:val="auto"/>
                <w:sz w:val="24"/>
              </w:rPr>
            </w:pPr>
            <w:r>
              <w:rPr>
                <w:color w:val="auto"/>
                <w:kern w:val="0"/>
                <w:sz w:val="24"/>
              </w:rPr>
              <w:t>司法处理信息</w:t>
            </w:r>
          </w:p>
        </w:tc>
        <w:tc>
          <w:tcPr>
            <w:tcW w:w="810" w:type="dxa"/>
            <w:vMerge w:val="restart"/>
            <w:vAlign w:val="center"/>
          </w:tcPr>
          <w:p>
            <w:pPr>
              <w:widowControl/>
              <w:spacing w:line="240" w:lineRule="auto"/>
              <w:jc w:val="center"/>
              <w:textAlignment w:val="center"/>
              <w:rPr>
                <w:color w:val="auto"/>
                <w:sz w:val="24"/>
              </w:rPr>
            </w:pPr>
            <w:r>
              <w:rPr>
                <w:color w:val="auto"/>
                <w:kern w:val="0"/>
                <w:sz w:val="24"/>
              </w:rPr>
              <w:t>100</w:t>
            </w:r>
          </w:p>
        </w:tc>
        <w:tc>
          <w:tcPr>
            <w:tcW w:w="3558" w:type="dxa"/>
            <w:vAlign w:val="center"/>
          </w:tcPr>
          <w:p>
            <w:pPr>
              <w:widowControl/>
              <w:spacing w:line="310" w:lineRule="exact"/>
              <w:jc w:val="both"/>
              <w:textAlignment w:val="center"/>
              <w:rPr>
                <w:color w:val="auto"/>
                <w:sz w:val="24"/>
              </w:rPr>
            </w:pPr>
            <w:r>
              <w:rPr>
                <w:color w:val="auto"/>
                <w:kern w:val="0"/>
                <w:sz w:val="24"/>
              </w:rPr>
              <w:t>经司法生效判决认定构成犯罪，被追究刑事责任的</w:t>
            </w:r>
          </w:p>
        </w:tc>
        <w:tc>
          <w:tcPr>
            <w:tcW w:w="3422" w:type="dxa"/>
            <w:vAlign w:val="center"/>
          </w:tcPr>
          <w:p>
            <w:pPr>
              <w:widowControl/>
              <w:spacing w:line="310" w:lineRule="exact"/>
              <w:jc w:val="both"/>
              <w:textAlignment w:val="center"/>
              <w:rPr>
                <w:color w:val="auto"/>
                <w:sz w:val="24"/>
              </w:rPr>
            </w:pPr>
            <w:r>
              <w:rPr>
                <w:color w:val="auto"/>
                <w:kern w:val="0"/>
                <w:sz w:val="24"/>
              </w:rPr>
              <w:t>除名</w:t>
            </w:r>
          </w:p>
        </w:tc>
        <w:tc>
          <w:tcPr>
            <w:tcW w:w="1181" w:type="dxa"/>
            <w:vAlign w:val="center"/>
          </w:tcPr>
          <w:p>
            <w:pPr>
              <w:widowControl/>
              <w:spacing w:line="310" w:lineRule="exact"/>
              <w:jc w:val="center"/>
              <w:textAlignment w:val="center"/>
              <w:rPr>
                <w:color w:val="auto"/>
                <w:sz w:val="24"/>
              </w:rPr>
            </w:pPr>
            <w:r>
              <w:rPr>
                <w:color w:val="auto"/>
                <w:sz w:val="24"/>
              </w:rPr>
              <w:t>/</w:t>
            </w:r>
          </w:p>
        </w:tc>
        <w:tc>
          <w:tcPr>
            <w:tcW w:w="1679" w:type="dxa"/>
            <w:vMerge w:val="restart"/>
            <w:vAlign w:val="center"/>
          </w:tcPr>
          <w:p>
            <w:pPr>
              <w:widowControl/>
              <w:spacing w:line="310" w:lineRule="exact"/>
              <w:jc w:val="center"/>
              <w:textAlignment w:val="center"/>
              <w:rPr>
                <w:color w:val="auto"/>
                <w:sz w:val="24"/>
              </w:rPr>
            </w:pPr>
            <w:r>
              <w:rPr>
                <w:color w:val="auto"/>
                <w:kern w:val="0"/>
                <w:sz w:val="24"/>
              </w:rPr>
              <w:t>各级人民法院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310" w:lineRule="exact"/>
              <w:jc w:val="both"/>
              <w:textAlignment w:val="center"/>
              <w:rPr>
                <w:color w:val="auto"/>
                <w:sz w:val="24"/>
              </w:rPr>
            </w:pPr>
            <w:r>
              <w:rPr>
                <w:color w:val="auto"/>
                <w:kern w:val="0"/>
                <w:sz w:val="24"/>
              </w:rPr>
              <w:t>拒不履行判决、裁定等生效法律文书的</w:t>
            </w:r>
          </w:p>
        </w:tc>
        <w:tc>
          <w:tcPr>
            <w:tcW w:w="3422" w:type="dxa"/>
            <w:vAlign w:val="center"/>
          </w:tcPr>
          <w:p>
            <w:pPr>
              <w:widowControl/>
              <w:spacing w:line="310" w:lineRule="exact"/>
              <w:jc w:val="both"/>
              <w:textAlignment w:val="center"/>
              <w:rPr>
                <w:color w:val="auto"/>
                <w:sz w:val="24"/>
              </w:rPr>
            </w:pPr>
            <w:r>
              <w:rPr>
                <w:color w:val="auto"/>
                <w:kern w:val="0"/>
                <w:sz w:val="24"/>
              </w:rPr>
              <w:t>扣10</w:t>
            </w:r>
            <w:r>
              <w:rPr>
                <w:rStyle w:val="8"/>
                <w:rFonts w:ascii="Times New Roman" w:cs="Times New Roman"/>
                <w:color w:val="auto"/>
                <w:sz w:val="24"/>
                <w:szCs w:val="24"/>
              </w:rPr>
              <w:t>0分/次</w:t>
            </w:r>
          </w:p>
        </w:tc>
        <w:tc>
          <w:tcPr>
            <w:tcW w:w="1181" w:type="dxa"/>
            <w:vAlign w:val="center"/>
          </w:tcPr>
          <w:p>
            <w:pPr>
              <w:widowControl/>
              <w:spacing w:line="310" w:lineRule="exact"/>
              <w:jc w:val="center"/>
              <w:textAlignment w:val="center"/>
              <w:rPr>
                <w:color w:val="auto"/>
                <w:sz w:val="24"/>
              </w:rPr>
            </w:pPr>
            <w:r>
              <w:rPr>
                <w:color w:val="auto"/>
                <w:kern w:val="0"/>
                <w:sz w:val="24"/>
              </w:rPr>
              <w:t>累计扣分</w:t>
            </w:r>
          </w:p>
        </w:tc>
        <w:tc>
          <w:tcPr>
            <w:tcW w:w="1679" w:type="dxa"/>
            <w:vMerge w:val="continue"/>
            <w:vAlign w:val="center"/>
          </w:tcPr>
          <w:p>
            <w:pPr>
              <w:widowControl/>
              <w:spacing w:line="310" w:lineRule="exact"/>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restart"/>
            <w:vAlign w:val="center"/>
          </w:tcPr>
          <w:p>
            <w:pPr>
              <w:widowControl/>
              <w:spacing w:line="240" w:lineRule="auto"/>
              <w:jc w:val="center"/>
              <w:rPr>
                <w:b/>
                <w:color w:val="auto"/>
                <w:sz w:val="24"/>
              </w:rPr>
            </w:pPr>
            <w:r>
              <w:rPr>
                <w:b/>
                <w:color w:val="auto"/>
                <w:kern w:val="0"/>
                <w:sz w:val="24"/>
              </w:rPr>
              <w:t>遵纪守法</w:t>
            </w:r>
          </w:p>
        </w:tc>
        <w:tc>
          <w:tcPr>
            <w:tcW w:w="786" w:type="dxa"/>
            <w:vMerge w:val="restart"/>
            <w:vAlign w:val="center"/>
          </w:tcPr>
          <w:p>
            <w:pPr>
              <w:widowControl/>
              <w:spacing w:line="240" w:lineRule="auto"/>
              <w:jc w:val="center"/>
              <w:rPr>
                <w:color w:val="auto"/>
                <w:sz w:val="24"/>
              </w:rPr>
            </w:pPr>
            <w:r>
              <w:rPr>
                <w:color w:val="auto"/>
                <w:kern w:val="0"/>
                <w:sz w:val="24"/>
              </w:rPr>
              <w:t>300</w:t>
            </w:r>
          </w:p>
        </w:tc>
        <w:tc>
          <w:tcPr>
            <w:tcW w:w="809" w:type="dxa"/>
            <w:vMerge w:val="restart"/>
            <w:vAlign w:val="center"/>
          </w:tcPr>
          <w:p>
            <w:pPr>
              <w:widowControl/>
              <w:spacing w:line="240" w:lineRule="auto"/>
              <w:jc w:val="center"/>
              <w:textAlignment w:val="center"/>
              <w:rPr>
                <w:color w:val="auto"/>
                <w:sz w:val="24"/>
              </w:rPr>
            </w:pPr>
            <w:r>
              <w:rPr>
                <w:color w:val="auto"/>
                <w:kern w:val="0"/>
                <w:sz w:val="24"/>
              </w:rPr>
              <w:t>严重失信信息</w:t>
            </w:r>
          </w:p>
        </w:tc>
        <w:tc>
          <w:tcPr>
            <w:tcW w:w="810" w:type="dxa"/>
            <w:vMerge w:val="restart"/>
            <w:vAlign w:val="center"/>
          </w:tcPr>
          <w:p>
            <w:pPr>
              <w:widowControl/>
              <w:spacing w:line="240" w:lineRule="auto"/>
              <w:jc w:val="center"/>
              <w:textAlignment w:val="center"/>
              <w:rPr>
                <w:color w:val="auto"/>
                <w:sz w:val="24"/>
              </w:rPr>
            </w:pPr>
            <w:r>
              <w:rPr>
                <w:color w:val="auto"/>
                <w:kern w:val="0"/>
                <w:sz w:val="24"/>
              </w:rPr>
              <w:t>100</w:t>
            </w:r>
          </w:p>
        </w:tc>
        <w:tc>
          <w:tcPr>
            <w:tcW w:w="3558" w:type="dxa"/>
            <w:vAlign w:val="center"/>
          </w:tcPr>
          <w:p>
            <w:pPr>
              <w:widowControl/>
              <w:spacing w:line="240" w:lineRule="auto"/>
              <w:jc w:val="both"/>
              <w:textAlignment w:val="center"/>
              <w:rPr>
                <w:color w:val="auto"/>
                <w:sz w:val="24"/>
              </w:rPr>
            </w:pPr>
            <w:r>
              <w:rPr>
                <w:color w:val="auto"/>
                <w:kern w:val="0"/>
                <w:sz w:val="24"/>
              </w:rPr>
              <w:t>被列为失信被执行人的</w:t>
            </w:r>
          </w:p>
        </w:tc>
        <w:tc>
          <w:tcPr>
            <w:tcW w:w="3422" w:type="dxa"/>
            <w:vAlign w:val="center"/>
          </w:tcPr>
          <w:p>
            <w:pPr>
              <w:widowControl/>
              <w:spacing w:line="240" w:lineRule="auto"/>
              <w:jc w:val="both"/>
              <w:textAlignment w:val="center"/>
              <w:rPr>
                <w:color w:val="auto"/>
                <w:sz w:val="24"/>
              </w:rPr>
            </w:pPr>
            <w:r>
              <w:rPr>
                <w:color w:val="auto"/>
                <w:kern w:val="0"/>
                <w:sz w:val="24"/>
              </w:rPr>
              <w:t>除名</w:t>
            </w:r>
          </w:p>
        </w:tc>
        <w:tc>
          <w:tcPr>
            <w:tcW w:w="1181" w:type="dxa"/>
            <w:vAlign w:val="center"/>
          </w:tcPr>
          <w:p>
            <w:pPr>
              <w:widowControl/>
              <w:spacing w:line="240" w:lineRule="auto"/>
              <w:jc w:val="center"/>
              <w:textAlignment w:val="center"/>
              <w:rPr>
                <w:color w:val="auto"/>
                <w:sz w:val="24"/>
              </w:rPr>
            </w:pPr>
            <w:r>
              <w:rPr>
                <w:color w:val="auto"/>
                <w:sz w:val="24"/>
              </w:rPr>
              <w:t>/</w:t>
            </w:r>
          </w:p>
        </w:tc>
        <w:tc>
          <w:tcPr>
            <w:tcW w:w="1679" w:type="dxa"/>
            <w:vAlign w:val="center"/>
          </w:tcPr>
          <w:p>
            <w:pPr>
              <w:widowControl/>
              <w:spacing w:line="240" w:lineRule="auto"/>
              <w:jc w:val="center"/>
              <w:textAlignment w:val="center"/>
              <w:rPr>
                <w:color w:val="auto"/>
                <w:sz w:val="24"/>
              </w:rPr>
            </w:pPr>
            <w:r>
              <w:rPr>
                <w:color w:val="auto"/>
                <w:kern w:val="0"/>
                <w:sz w:val="24"/>
              </w:rPr>
              <w:t>信用中国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被列入严重失信名单的</w:t>
            </w:r>
          </w:p>
        </w:tc>
        <w:tc>
          <w:tcPr>
            <w:tcW w:w="3422" w:type="dxa"/>
            <w:vAlign w:val="center"/>
          </w:tcPr>
          <w:p>
            <w:pPr>
              <w:widowControl/>
              <w:spacing w:line="240" w:lineRule="auto"/>
              <w:jc w:val="both"/>
              <w:textAlignment w:val="center"/>
              <w:rPr>
                <w:color w:val="auto"/>
                <w:sz w:val="24"/>
              </w:rPr>
            </w:pPr>
            <w:r>
              <w:rPr>
                <w:color w:val="auto"/>
                <w:kern w:val="0"/>
                <w:sz w:val="24"/>
              </w:rPr>
              <w:t>扣1</w:t>
            </w:r>
            <w:r>
              <w:rPr>
                <w:rStyle w:val="8"/>
                <w:rFonts w:ascii="Times New Roman" w:cs="Times New Roman"/>
                <w:color w:val="auto"/>
                <w:sz w:val="24"/>
                <w:szCs w:val="24"/>
              </w:rPr>
              <w:t>00分/次</w:t>
            </w:r>
          </w:p>
        </w:tc>
        <w:tc>
          <w:tcPr>
            <w:tcW w:w="1181" w:type="dxa"/>
            <w:vAlign w:val="center"/>
          </w:tcPr>
          <w:p>
            <w:pPr>
              <w:widowControl/>
              <w:spacing w:line="240" w:lineRule="auto"/>
              <w:jc w:val="center"/>
              <w:textAlignment w:val="center"/>
              <w:rPr>
                <w:color w:val="auto"/>
                <w:sz w:val="24"/>
              </w:rPr>
            </w:pPr>
            <w:r>
              <w:rPr>
                <w:color w:val="auto"/>
                <w:kern w:val="0"/>
                <w:sz w:val="24"/>
              </w:rPr>
              <w:t>累计扣分</w:t>
            </w:r>
          </w:p>
        </w:tc>
        <w:tc>
          <w:tcPr>
            <w:tcW w:w="1679" w:type="dxa"/>
            <w:vAlign w:val="center"/>
          </w:tcPr>
          <w:p>
            <w:pPr>
              <w:widowControl/>
              <w:spacing w:line="240" w:lineRule="auto"/>
              <w:ind w:left="-54" w:leftChars="-17" w:right="-45" w:rightChars="-14"/>
              <w:jc w:val="center"/>
              <w:textAlignment w:val="center"/>
              <w:rPr>
                <w:color w:val="auto"/>
                <w:sz w:val="24"/>
              </w:rPr>
            </w:pPr>
            <w:r>
              <w:rPr>
                <w:rFonts w:hint="eastAsia"/>
                <w:spacing w:val="-8"/>
                <w:kern w:val="0"/>
                <w:sz w:val="24"/>
              </w:rPr>
              <w:t>浙江</w:t>
            </w:r>
            <w:r>
              <w:rPr>
                <w:color w:val="auto"/>
                <w:spacing w:val="-8"/>
                <w:kern w:val="0"/>
                <w:sz w:val="24"/>
              </w:rPr>
              <w:t>省公共信用</w:t>
            </w:r>
            <w:r>
              <w:rPr>
                <w:color w:val="auto"/>
                <w:kern w:val="0"/>
                <w:sz w:val="24"/>
              </w:rPr>
              <w:t>信息平台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restart"/>
            <w:vAlign w:val="center"/>
          </w:tcPr>
          <w:p>
            <w:pPr>
              <w:widowControl/>
              <w:spacing w:line="240" w:lineRule="auto"/>
              <w:jc w:val="center"/>
              <w:textAlignment w:val="center"/>
              <w:rPr>
                <w:b/>
                <w:color w:val="auto"/>
                <w:sz w:val="24"/>
              </w:rPr>
            </w:pPr>
            <w:r>
              <w:rPr>
                <w:b/>
                <w:color w:val="auto"/>
                <w:kern w:val="0"/>
                <w:sz w:val="24"/>
              </w:rPr>
              <w:t>社会公德</w:t>
            </w:r>
          </w:p>
        </w:tc>
        <w:tc>
          <w:tcPr>
            <w:tcW w:w="786" w:type="dxa"/>
            <w:vMerge w:val="restart"/>
            <w:vAlign w:val="center"/>
          </w:tcPr>
          <w:p>
            <w:pPr>
              <w:widowControl/>
              <w:spacing w:line="240" w:lineRule="auto"/>
              <w:jc w:val="center"/>
              <w:textAlignment w:val="center"/>
              <w:rPr>
                <w:color w:val="auto"/>
                <w:sz w:val="24"/>
              </w:rPr>
            </w:pPr>
            <w:r>
              <w:rPr>
                <w:color w:val="auto"/>
                <w:kern w:val="0"/>
                <w:sz w:val="24"/>
              </w:rPr>
              <w:t>200</w:t>
            </w:r>
          </w:p>
        </w:tc>
        <w:tc>
          <w:tcPr>
            <w:tcW w:w="809" w:type="dxa"/>
            <w:vMerge w:val="restart"/>
            <w:vAlign w:val="center"/>
          </w:tcPr>
          <w:p>
            <w:pPr>
              <w:widowControl/>
              <w:spacing w:line="240" w:lineRule="auto"/>
              <w:jc w:val="center"/>
              <w:textAlignment w:val="center"/>
              <w:rPr>
                <w:color w:val="auto"/>
                <w:sz w:val="24"/>
              </w:rPr>
            </w:pPr>
            <w:r>
              <w:rPr>
                <w:color w:val="auto"/>
                <w:kern w:val="0"/>
                <w:sz w:val="24"/>
              </w:rPr>
              <w:t>社会责任</w:t>
            </w:r>
          </w:p>
        </w:tc>
        <w:tc>
          <w:tcPr>
            <w:tcW w:w="810" w:type="dxa"/>
            <w:vMerge w:val="restart"/>
            <w:vAlign w:val="center"/>
          </w:tcPr>
          <w:p>
            <w:pPr>
              <w:widowControl/>
              <w:spacing w:line="240" w:lineRule="auto"/>
              <w:jc w:val="center"/>
              <w:textAlignment w:val="center"/>
              <w:rPr>
                <w:color w:val="auto"/>
                <w:sz w:val="24"/>
              </w:rPr>
            </w:pPr>
            <w:r>
              <w:rPr>
                <w:color w:val="auto"/>
                <w:kern w:val="0"/>
                <w:sz w:val="24"/>
              </w:rPr>
              <w:t>100</w:t>
            </w:r>
          </w:p>
        </w:tc>
        <w:tc>
          <w:tcPr>
            <w:tcW w:w="3558" w:type="dxa"/>
            <w:vAlign w:val="center"/>
          </w:tcPr>
          <w:p>
            <w:pPr>
              <w:widowControl/>
              <w:spacing w:line="240" w:lineRule="auto"/>
              <w:jc w:val="both"/>
              <w:textAlignment w:val="center"/>
              <w:rPr>
                <w:color w:val="auto"/>
                <w:sz w:val="24"/>
              </w:rPr>
            </w:pPr>
            <w:r>
              <w:rPr>
                <w:color w:val="auto"/>
                <w:kern w:val="0"/>
                <w:sz w:val="24"/>
              </w:rPr>
              <w:t>检举招投标活动中违法、违规、违纪行为，经查证属实的</w:t>
            </w:r>
          </w:p>
        </w:tc>
        <w:tc>
          <w:tcPr>
            <w:tcW w:w="3422" w:type="dxa"/>
            <w:vAlign w:val="center"/>
          </w:tcPr>
          <w:p>
            <w:pPr>
              <w:widowControl/>
              <w:spacing w:line="240" w:lineRule="auto"/>
              <w:jc w:val="both"/>
              <w:textAlignment w:val="center"/>
              <w:rPr>
                <w:color w:val="auto"/>
                <w:sz w:val="24"/>
              </w:rPr>
            </w:pPr>
            <w:r>
              <w:rPr>
                <w:color w:val="auto"/>
                <w:kern w:val="0"/>
                <w:sz w:val="24"/>
              </w:rPr>
              <w:t>得60</w:t>
            </w:r>
            <w:r>
              <w:rPr>
                <w:rStyle w:val="8"/>
                <w:rFonts w:ascii="Times New Roman" w:cs="Times New Roman"/>
                <w:color w:val="auto"/>
                <w:sz w:val="24"/>
                <w:szCs w:val="24"/>
              </w:rPr>
              <w:t>分/次</w:t>
            </w:r>
          </w:p>
        </w:tc>
        <w:tc>
          <w:tcPr>
            <w:tcW w:w="1181" w:type="dxa"/>
            <w:vAlign w:val="center"/>
          </w:tcPr>
          <w:p>
            <w:pPr>
              <w:widowControl/>
              <w:spacing w:line="240" w:lineRule="auto"/>
              <w:jc w:val="center"/>
              <w:textAlignment w:val="center"/>
              <w:rPr>
                <w:color w:val="auto"/>
                <w:sz w:val="24"/>
              </w:rPr>
            </w:pPr>
            <w:r>
              <w:rPr>
                <w:color w:val="auto"/>
                <w:kern w:val="0"/>
                <w:sz w:val="24"/>
              </w:rPr>
              <w:t>累计得分</w:t>
            </w:r>
          </w:p>
        </w:tc>
        <w:tc>
          <w:tcPr>
            <w:tcW w:w="1679" w:type="dxa"/>
            <w:vMerge w:val="restart"/>
            <w:vAlign w:val="center"/>
          </w:tcPr>
          <w:p>
            <w:pPr>
              <w:widowControl/>
              <w:spacing w:line="240" w:lineRule="auto"/>
              <w:jc w:val="center"/>
              <w:textAlignment w:val="center"/>
              <w:rPr>
                <w:color w:val="auto"/>
                <w:sz w:val="24"/>
              </w:rPr>
            </w:pPr>
            <w:r>
              <w:rPr>
                <w:color w:val="auto"/>
                <w:kern w:val="0"/>
                <w:sz w:val="24"/>
              </w:rPr>
              <w:t>自主申报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向招投标综合管理部门或有关行政监督管理部门书面提出建议意见并采纳的</w:t>
            </w:r>
          </w:p>
        </w:tc>
        <w:tc>
          <w:tcPr>
            <w:tcW w:w="3422" w:type="dxa"/>
            <w:vAlign w:val="center"/>
          </w:tcPr>
          <w:p>
            <w:pPr>
              <w:widowControl/>
              <w:spacing w:line="240" w:lineRule="auto"/>
              <w:jc w:val="both"/>
              <w:textAlignment w:val="center"/>
              <w:rPr>
                <w:color w:val="auto"/>
                <w:sz w:val="24"/>
              </w:rPr>
            </w:pPr>
            <w:r>
              <w:rPr>
                <w:color w:val="auto"/>
                <w:kern w:val="0"/>
                <w:sz w:val="24"/>
              </w:rPr>
              <w:t>得3</w:t>
            </w:r>
            <w:r>
              <w:rPr>
                <w:rStyle w:val="8"/>
                <w:rFonts w:ascii="Times New Roman" w:cs="Times New Roman"/>
                <w:color w:val="auto"/>
                <w:sz w:val="24"/>
                <w:szCs w:val="24"/>
              </w:rPr>
              <w:t>0分/次</w:t>
            </w:r>
          </w:p>
        </w:tc>
        <w:tc>
          <w:tcPr>
            <w:tcW w:w="1181" w:type="dxa"/>
            <w:vAlign w:val="center"/>
          </w:tcPr>
          <w:p>
            <w:pPr>
              <w:widowControl/>
              <w:spacing w:line="240" w:lineRule="auto"/>
              <w:jc w:val="center"/>
              <w:textAlignment w:val="center"/>
              <w:rPr>
                <w:color w:val="auto"/>
                <w:sz w:val="24"/>
              </w:rPr>
            </w:pPr>
            <w:r>
              <w:rPr>
                <w:color w:val="auto"/>
                <w:kern w:val="0"/>
                <w:sz w:val="24"/>
              </w:rPr>
              <w:t>累计得分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参与省部级以上行业技术标准或技术规范编制或修订的</w:t>
            </w:r>
          </w:p>
        </w:tc>
        <w:tc>
          <w:tcPr>
            <w:tcW w:w="3422" w:type="dxa"/>
            <w:vAlign w:val="center"/>
          </w:tcPr>
          <w:p>
            <w:pPr>
              <w:widowControl/>
              <w:spacing w:line="240" w:lineRule="auto"/>
              <w:jc w:val="both"/>
              <w:textAlignment w:val="center"/>
              <w:rPr>
                <w:color w:val="auto"/>
                <w:sz w:val="24"/>
              </w:rPr>
            </w:pPr>
            <w:r>
              <w:rPr>
                <w:color w:val="auto"/>
                <w:kern w:val="0"/>
                <w:sz w:val="24"/>
              </w:rPr>
              <w:t>得4</w:t>
            </w:r>
            <w:r>
              <w:rPr>
                <w:rStyle w:val="8"/>
                <w:rFonts w:ascii="Times New Roman" w:cs="Times New Roman"/>
                <w:color w:val="auto"/>
                <w:sz w:val="24"/>
                <w:szCs w:val="24"/>
              </w:rPr>
              <w:t>0分/次</w:t>
            </w:r>
          </w:p>
        </w:tc>
        <w:tc>
          <w:tcPr>
            <w:tcW w:w="1181" w:type="dxa"/>
            <w:vAlign w:val="center"/>
          </w:tcPr>
          <w:p>
            <w:pPr>
              <w:widowControl/>
              <w:spacing w:line="240" w:lineRule="auto"/>
              <w:jc w:val="center"/>
              <w:textAlignment w:val="center"/>
              <w:rPr>
                <w:color w:val="auto"/>
                <w:sz w:val="24"/>
              </w:rPr>
            </w:pPr>
            <w:r>
              <w:rPr>
                <w:color w:val="auto"/>
                <w:kern w:val="0"/>
                <w:sz w:val="24"/>
              </w:rPr>
              <w:t>累计得分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参与省级以上招投标规范性文件制定或修订的</w:t>
            </w:r>
          </w:p>
        </w:tc>
        <w:tc>
          <w:tcPr>
            <w:tcW w:w="3422" w:type="dxa"/>
            <w:vAlign w:val="center"/>
          </w:tcPr>
          <w:p>
            <w:pPr>
              <w:widowControl/>
              <w:spacing w:line="240" w:lineRule="auto"/>
              <w:jc w:val="both"/>
              <w:textAlignment w:val="center"/>
              <w:rPr>
                <w:color w:val="auto"/>
                <w:sz w:val="24"/>
              </w:rPr>
            </w:pPr>
            <w:r>
              <w:rPr>
                <w:color w:val="auto"/>
                <w:kern w:val="0"/>
                <w:sz w:val="24"/>
              </w:rPr>
              <w:t>省级层面40分/次；国家层面50分/次</w:t>
            </w:r>
          </w:p>
        </w:tc>
        <w:tc>
          <w:tcPr>
            <w:tcW w:w="1181" w:type="dxa"/>
            <w:vAlign w:val="center"/>
          </w:tcPr>
          <w:p>
            <w:pPr>
              <w:widowControl/>
              <w:spacing w:line="240" w:lineRule="auto"/>
              <w:jc w:val="center"/>
              <w:textAlignment w:val="center"/>
              <w:rPr>
                <w:color w:val="auto"/>
                <w:sz w:val="24"/>
              </w:rPr>
            </w:pPr>
            <w:r>
              <w:rPr>
                <w:color w:val="auto"/>
                <w:kern w:val="0"/>
                <w:sz w:val="24"/>
              </w:rPr>
              <w:t>累计得分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restart"/>
            <w:vAlign w:val="center"/>
          </w:tcPr>
          <w:p>
            <w:pPr>
              <w:widowControl/>
              <w:spacing w:line="240" w:lineRule="auto"/>
              <w:jc w:val="center"/>
              <w:textAlignment w:val="center"/>
              <w:rPr>
                <w:color w:val="auto"/>
                <w:sz w:val="24"/>
              </w:rPr>
            </w:pPr>
            <w:r>
              <w:rPr>
                <w:color w:val="auto"/>
                <w:kern w:val="0"/>
                <w:sz w:val="24"/>
              </w:rPr>
              <w:t>奖励信息</w:t>
            </w:r>
          </w:p>
        </w:tc>
        <w:tc>
          <w:tcPr>
            <w:tcW w:w="810" w:type="dxa"/>
            <w:vMerge w:val="restart"/>
            <w:vAlign w:val="center"/>
          </w:tcPr>
          <w:p>
            <w:pPr>
              <w:widowControl/>
              <w:spacing w:line="240" w:lineRule="auto"/>
              <w:jc w:val="center"/>
              <w:textAlignment w:val="center"/>
              <w:rPr>
                <w:color w:val="auto"/>
                <w:sz w:val="24"/>
              </w:rPr>
            </w:pPr>
            <w:r>
              <w:rPr>
                <w:color w:val="auto"/>
                <w:kern w:val="0"/>
                <w:sz w:val="24"/>
              </w:rPr>
              <w:t>100</w:t>
            </w:r>
          </w:p>
        </w:tc>
        <w:tc>
          <w:tcPr>
            <w:tcW w:w="3558" w:type="dxa"/>
            <w:vAlign w:val="center"/>
          </w:tcPr>
          <w:p>
            <w:pPr>
              <w:widowControl/>
              <w:spacing w:line="240" w:lineRule="auto"/>
              <w:jc w:val="both"/>
              <w:textAlignment w:val="center"/>
              <w:rPr>
                <w:color w:val="auto"/>
                <w:sz w:val="24"/>
              </w:rPr>
            </w:pPr>
            <w:r>
              <w:rPr>
                <w:color w:val="auto"/>
                <w:kern w:val="0"/>
                <w:sz w:val="24"/>
              </w:rPr>
              <w:t>被党政部门、各级人民政府及其部门授予表彰或奖励的</w:t>
            </w:r>
          </w:p>
        </w:tc>
        <w:tc>
          <w:tcPr>
            <w:tcW w:w="3422" w:type="dxa"/>
            <w:vAlign w:val="center"/>
          </w:tcPr>
          <w:p>
            <w:pPr>
              <w:widowControl/>
              <w:spacing w:line="240" w:lineRule="auto"/>
              <w:jc w:val="both"/>
              <w:textAlignment w:val="center"/>
              <w:rPr>
                <w:color w:val="auto"/>
                <w:sz w:val="24"/>
              </w:rPr>
            </w:pPr>
            <w:r>
              <w:rPr>
                <w:color w:val="auto"/>
                <w:kern w:val="0"/>
                <w:sz w:val="24"/>
              </w:rPr>
              <w:t>市级层面40分/次；省级层面45分/次；国家层面50分/次</w:t>
            </w:r>
          </w:p>
        </w:tc>
        <w:tc>
          <w:tcPr>
            <w:tcW w:w="1181" w:type="dxa"/>
            <w:vAlign w:val="center"/>
          </w:tcPr>
          <w:p>
            <w:pPr>
              <w:widowControl/>
              <w:spacing w:line="240" w:lineRule="auto"/>
              <w:jc w:val="center"/>
              <w:textAlignment w:val="center"/>
              <w:rPr>
                <w:color w:val="auto"/>
                <w:sz w:val="24"/>
              </w:rPr>
            </w:pPr>
            <w:r>
              <w:rPr>
                <w:color w:val="auto"/>
                <w:kern w:val="0"/>
                <w:sz w:val="24"/>
              </w:rPr>
              <w:t>累计得分</w:t>
            </w:r>
          </w:p>
        </w:tc>
        <w:tc>
          <w:tcPr>
            <w:tcW w:w="1679" w:type="dxa"/>
            <w:vMerge w:val="continue"/>
            <w:vAlign w:val="center"/>
          </w:tcPr>
          <w:p>
            <w:pPr>
              <w:widowControl/>
              <w:spacing w:line="240" w:lineRule="auto"/>
              <w:jc w:val="center"/>
              <w:rPr>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080" w:type="dxa"/>
            <w:vMerge w:val="continue"/>
            <w:vAlign w:val="center"/>
          </w:tcPr>
          <w:p>
            <w:pPr>
              <w:widowControl/>
              <w:spacing w:line="240" w:lineRule="auto"/>
              <w:jc w:val="center"/>
              <w:rPr>
                <w:b/>
                <w:color w:val="auto"/>
                <w:sz w:val="24"/>
              </w:rPr>
            </w:pPr>
          </w:p>
        </w:tc>
        <w:tc>
          <w:tcPr>
            <w:tcW w:w="786" w:type="dxa"/>
            <w:vMerge w:val="continue"/>
            <w:vAlign w:val="center"/>
          </w:tcPr>
          <w:p>
            <w:pPr>
              <w:widowControl/>
              <w:spacing w:line="240" w:lineRule="auto"/>
              <w:jc w:val="center"/>
              <w:rPr>
                <w:color w:val="auto"/>
                <w:sz w:val="24"/>
              </w:rPr>
            </w:pPr>
          </w:p>
        </w:tc>
        <w:tc>
          <w:tcPr>
            <w:tcW w:w="809" w:type="dxa"/>
            <w:vMerge w:val="continue"/>
            <w:vAlign w:val="center"/>
          </w:tcPr>
          <w:p>
            <w:pPr>
              <w:widowControl/>
              <w:spacing w:line="240" w:lineRule="auto"/>
              <w:jc w:val="center"/>
              <w:rPr>
                <w:color w:val="auto"/>
                <w:sz w:val="24"/>
              </w:rPr>
            </w:pPr>
          </w:p>
        </w:tc>
        <w:tc>
          <w:tcPr>
            <w:tcW w:w="810" w:type="dxa"/>
            <w:vMerge w:val="continue"/>
            <w:vAlign w:val="center"/>
          </w:tcPr>
          <w:p>
            <w:pPr>
              <w:widowControl/>
              <w:spacing w:line="240" w:lineRule="auto"/>
              <w:jc w:val="center"/>
              <w:rPr>
                <w:color w:val="auto"/>
                <w:sz w:val="24"/>
              </w:rPr>
            </w:pPr>
          </w:p>
        </w:tc>
        <w:tc>
          <w:tcPr>
            <w:tcW w:w="3558" w:type="dxa"/>
            <w:vAlign w:val="center"/>
          </w:tcPr>
          <w:p>
            <w:pPr>
              <w:widowControl/>
              <w:spacing w:line="240" w:lineRule="auto"/>
              <w:jc w:val="both"/>
              <w:textAlignment w:val="center"/>
              <w:rPr>
                <w:color w:val="auto"/>
                <w:sz w:val="24"/>
              </w:rPr>
            </w:pPr>
            <w:r>
              <w:rPr>
                <w:color w:val="auto"/>
                <w:kern w:val="0"/>
                <w:sz w:val="24"/>
              </w:rPr>
              <w:t>被行政部门纳入红名单信息的</w:t>
            </w:r>
          </w:p>
        </w:tc>
        <w:tc>
          <w:tcPr>
            <w:tcW w:w="3422" w:type="dxa"/>
            <w:vAlign w:val="center"/>
          </w:tcPr>
          <w:p>
            <w:pPr>
              <w:widowControl/>
              <w:spacing w:line="240" w:lineRule="auto"/>
              <w:jc w:val="both"/>
              <w:textAlignment w:val="center"/>
              <w:rPr>
                <w:color w:val="auto"/>
                <w:sz w:val="24"/>
              </w:rPr>
            </w:pPr>
            <w:r>
              <w:rPr>
                <w:color w:val="auto"/>
                <w:kern w:val="0"/>
                <w:sz w:val="24"/>
              </w:rPr>
              <w:t>得3</w:t>
            </w:r>
            <w:r>
              <w:rPr>
                <w:rStyle w:val="8"/>
                <w:rFonts w:ascii="Times New Roman" w:cs="Times New Roman"/>
                <w:color w:val="auto"/>
                <w:sz w:val="24"/>
                <w:szCs w:val="24"/>
              </w:rPr>
              <w:t>0分/次</w:t>
            </w:r>
          </w:p>
        </w:tc>
        <w:tc>
          <w:tcPr>
            <w:tcW w:w="1181" w:type="dxa"/>
            <w:vAlign w:val="center"/>
          </w:tcPr>
          <w:p>
            <w:pPr>
              <w:widowControl/>
              <w:spacing w:line="240" w:lineRule="auto"/>
              <w:jc w:val="center"/>
              <w:textAlignment w:val="center"/>
              <w:rPr>
                <w:color w:val="auto"/>
                <w:sz w:val="24"/>
              </w:rPr>
            </w:pPr>
            <w:r>
              <w:rPr>
                <w:color w:val="auto"/>
                <w:kern w:val="0"/>
                <w:sz w:val="24"/>
              </w:rPr>
              <w:t>累计得分</w:t>
            </w:r>
          </w:p>
        </w:tc>
        <w:tc>
          <w:tcPr>
            <w:tcW w:w="1679" w:type="dxa"/>
            <w:vAlign w:val="center"/>
          </w:tcPr>
          <w:p>
            <w:pPr>
              <w:widowControl/>
              <w:spacing w:line="240" w:lineRule="auto"/>
              <w:ind w:left="-54" w:leftChars="-17" w:right="-58" w:rightChars="-18"/>
              <w:jc w:val="center"/>
              <w:textAlignment w:val="center"/>
              <w:rPr>
                <w:color w:val="auto"/>
                <w:sz w:val="24"/>
              </w:rPr>
            </w:pPr>
            <w:r>
              <w:rPr>
                <w:color w:val="auto"/>
                <w:spacing w:val="-8"/>
                <w:kern w:val="0"/>
                <w:sz w:val="24"/>
              </w:rPr>
              <w:t>浙江省公共信用</w:t>
            </w:r>
            <w:r>
              <w:rPr>
                <w:color w:val="auto"/>
                <w:kern w:val="0"/>
                <w:sz w:val="24"/>
              </w:rPr>
              <w:t>信息平台</w:t>
            </w:r>
          </w:p>
        </w:tc>
      </w:tr>
    </w:tbl>
    <w:p>
      <w:pPr>
        <w:spacing w:line="590" w:lineRule="exact"/>
        <w:rPr>
          <w:bCs/>
          <w:sz w:val="30"/>
          <w:szCs w:val="30"/>
        </w:rPr>
        <w:sectPr>
          <w:pgSz w:w="16838" w:h="11906" w:orient="landscape"/>
          <w:pgMar w:top="1531" w:right="1871" w:bottom="1531" w:left="1701" w:header="851" w:footer="1134" w:gutter="0"/>
          <w:cols w:space="720" w:num="1"/>
          <w:docGrid w:linePitch="312" w:charSpace="0"/>
        </w:sectPr>
      </w:pPr>
    </w:p>
    <w:p>
      <w:pPr>
        <w:spacing w:line="590" w:lineRule="exact"/>
        <w:rPr>
          <w:rFonts w:eastAsia="黑体"/>
          <w:color w:val="auto"/>
          <w:szCs w:val="32"/>
        </w:rPr>
      </w:pPr>
      <w:r>
        <w:rPr>
          <w:rFonts w:eastAsia="黑体"/>
          <w:color w:val="auto"/>
          <w:szCs w:val="32"/>
        </w:rPr>
        <w:t>附2</w:t>
      </w:r>
    </w:p>
    <w:p>
      <w:pPr>
        <w:spacing w:line="590" w:lineRule="exact"/>
        <w:ind w:firstLine="640" w:firstLineChars="200"/>
        <w:jc w:val="both"/>
        <w:rPr>
          <w:rFonts w:eastAsia="方正小标宋简体"/>
          <w:color w:val="auto"/>
          <w:sz w:val="32"/>
          <w:szCs w:val="32"/>
        </w:rPr>
      </w:pPr>
    </w:p>
    <w:p>
      <w:pPr>
        <w:spacing w:line="590" w:lineRule="exact"/>
        <w:jc w:val="center"/>
        <w:rPr>
          <w:rFonts w:eastAsia="方正小标宋简体"/>
          <w:color w:val="auto"/>
          <w:sz w:val="44"/>
          <w:szCs w:val="44"/>
        </w:rPr>
      </w:pPr>
      <w:r>
        <w:rPr>
          <w:rFonts w:eastAsia="方正小标宋简体"/>
          <w:color w:val="auto"/>
          <w:sz w:val="44"/>
          <w:szCs w:val="44"/>
        </w:rPr>
        <w:t>浙江省综合性评标专家库专家</w:t>
      </w:r>
    </w:p>
    <w:p>
      <w:pPr>
        <w:spacing w:before="120" w:beforeLines="50" w:line="590" w:lineRule="exact"/>
        <w:jc w:val="center"/>
        <w:rPr>
          <w:rFonts w:eastAsia="方正小标宋简体"/>
          <w:color w:val="auto"/>
          <w:sz w:val="44"/>
          <w:szCs w:val="44"/>
        </w:rPr>
      </w:pPr>
      <w:r>
        <w:rPr>
          <w:rFonts w:eastAsia="方正小标宋简体"/>
          <w:color w:val="auto"/>
          <w:sz w:val="44"/>
          <w:szCs w:val="44"/>
        </w:rPr>
        <w:t>评标劳务报酬参考标准</w:t>
      </w:r>
    </w:p>
    <w:p>
      <w:pPr>
        <w:spacing w:line="590" w:lineRule="exact"/>
        <w:ind w:firstLine="640" w:firstLineChars="200"/>
        <w:jc w:val="both"/>
        <w:rPr>
          <w:color w:val="auto"/>
          <w:szCs w:val="32"/>
        </w:rPr>
      </w:pPr>
    </w:p>
    <w:p>
      <w:pPr>
        <w:spacing w:line="590" w:lineRule="exact"/>
        <w:ind w:firstLine="640" w:firstLineChars="200"/>
        <w:rPr>
          <w:color w:val="auto"/>
          <w:szCs w:val="32"/>
        </w:rPr>
      </w:pPr>
      <w:r>
        <w:rPr>
          <w:color w:val="auto"/>
          <w:szCs w:val="32"/>
        </w:rPr>
        <w:t>一、依法从浙江省综合性评标专家库抽取并参与全省行政区域内工程建设项目评标活动的专家劳务报酬支付可参考本标准。</w:t>
      </w:r>
    </w:p>
    <w:p>
      <w:pPr>
        <w:spacing w:line="590" w:lineRule="exact"/>
        <w:ind w:firstLine="640" w:firstLineChars="200"/>
        <w:rPr>
          <w:color w:val="auto"/>
          <w:szCs w:val="32"/>
        </w:rPr>
      </w:pPr>
      <w:r>
        <w:rPr>
          <w:color w:val="auto"/>
          <w:szCs w:val="32"/>
        </w:rPr>
        <w:t>二、评标劳务报酬包括评审费、交通费、在途补助三部分。</w:t>
      </w:r>
    </w:p>
    <w:p>
      <w:pPr>
        <w:spacing w:line="590" w:lineRule="exact"/>
        <w:ind w:firstLine="640" w:firstLineChars="200"/>
        <w:rPr>
          <w:szCs w:val="32"/>
        </w:rPr>
      </w:pPr>
      <w:r>
        <w:rPr>
          <w:szCs w:val="32"/>
        </w:rPr>
        <w:t>除隔夜评标外，需要住宿的，由专家自行安排，招标人参照浙江省财政厅规定的差旅费标准凭据报销。</w:t>
      </w:r>
    </w:p>
    <w:p>
      <w:pPr>
        <w:spacing w:line="590" w:lineRule="exact"/>
        <w:ind w:firstLine="640" w:firstLineChars="200"/>
        <w:rPr>
          <w:color w:val="auto"/>
          <w:spacing w:val="0"/>
          <w:szCs w:val="32"/>
        </w:rPr>
      </w:pPr>
      <w:r>
        <w:rPr>
          <w:color w:val="auto"/>
          <w:spacing w:val="0"/>
          <w:szCs w:val="32"/>
        </w:rPr>
        <w:t>三、评审费按照评标时间的整数时数计算，超过整数时数0.5小时以内的不计算，超过0.5小时、不足1小时按增加1小时计算。</w:t>
      </w:r>
    </w:p>
    <w:p>
      <w:pPr>
        <w:spacing w:line="590" w:lineRule="exact"/>
        <w:ind w:firstLine="640" w:firstLineChars="200"/>
        <w:rPr>
          <w:color w:val="auto"/>
          <w:szCs w:val="32"/>
        </w:rPr>
      </w:pPr>
      <w:r>
        <w:rPr>
          <w:color w:val="auto"/>
          <w:szCs w:val="32"/>
        </w:rPr>
        <w:t>评标时间从评标通知规定的评标开始时间起算，到提交评标报告结束：</w:t>
      </w:r>
    </w:p>
    <w:p>
      <w:pPr>
        <w:spacing w:line="590" w:lineRule="exact"/>
        <w:ind w:firstLine="640" w:firstLineChars="200"/>
        <w:rPr>
          <w:color w:val="auto"/>
          <w:szCs w:val="32"/>
        </w:rPr>
      </w:pPr>
      <w:r>
        <w:rPr>
          <w:color w:val="auto"/>
          <w:szCs w:val="32"/>
        </w:rPr>
        <w:t>（一）评审费用以200元/小时作为支付标准，评标时间不足2小时的按2小时计算；评标时间超过2小时且总评标时间8小时以内的，超过部分每增加1小时增加150元；评标时间超过8小时的，超过部分每增加1小时增加200元；</w:t>
      </w:r>
    </w:p>
    <w:p>
      <w:pPr>
        <w:spacing w:line="590" w:lineRule="exact"/>
        <w:ind w:firstLine="640" w:firstLineChars="200"/>
        <w:rPr>
          <w:color w:val="auto"/>
          <w:szCs w:val="32"/>
        </w:rPr>
      </w:pPr>
      <w:r>
        <w:rPr>
          <w:color w:val="auto"/>
          <w:szCs w:val="32"/>
        </w:rPr>
        <w:t>（二）项目开标后即宣布流标，尚未评审的，按每人200元标准发放；</w:t>
      </w:r>
    </w:p>
    <w:p>
      <w:pPr>
        <w:spacing w:line="590" w:lineRule="exact"/>
        <w:ind w:firstLine="640" w:firstLineChars="200"/>
        <w:rPr>
          <w:color w:val="auto"/>
          <w:szCs w:val="32"/>
        </w:rPr>
      </w:pPr>
      <w:r>
        <w:rPr>
          <w:color w:val="auto"/>
          <w:szCs w:val="32"/>
        </w:rPr>
        <w:t>（三）专家因故回避的，按每人200元标准发放，其中因专家未及时维护基础信息而造成回避的，不予发放。</w:t>
      </w:r>
    </w:p>
    <w:p>
      <w:pPr>
        <w:spacing w:line="590" w:lineRule="exact"/>
        <w:ind w:firstLine="640" w:firstLineChars="200"/>
        <w:rPr>
          <w:color w:val="auto"/>
          <w:szCs w:val="32"/>
        </w:rPr>
      </w:pPr>
      <w:r>
        <w:rPr>
          <w:color w:val="auto"/>
          <w:szCs w:val="32"/>
        </w:rPr>
        <w:t>四、交通费凭当次有效公共交通（包括公交车、地铁、出租车市内路段、长途汽车、火车硬座、高铁/动车/城轨二等座、飞机经济舱等）报销凭证实报实销，其中返程交通参照来程实际发生同等额度费用支付（需要票据的，专家应在回程后7日内将票据寄至招标人或其委托的代理机构）。</w:t>
      </w:r>
    </w:p>
    <w:p>
      <w:pPr>
        <w:spacing w:line="590" w:lineRule="exact"/>
        <w:ind w:firstLine="640" w:firstLineChars="200"/>
        <w:rPr>
          <w:color w:val="auto"/>
          <w:spacing w:val="0"/>
          <w:szCs w:val="32"/>
        </w:rPr>
      </w:pPr>
      <w:r>
        <w:rPr>
          <w:color w:val="auto"/>
          <w:spacing w:val="0"/>
          <w:szCs w:val="32"/>
        </w:rPr>
        <w:t>自驾车或者不能提供有效票据的，根据属地原则和实际情况，按以下标准包干发放，不再支付燃料、路桥、停车等其他交通费用：</w:t>
      </w:r>
    </w:p>
    <w:p>
      <w:pPr>
        <w:spacing w:line="590" w:lineRule="exact"/>
        <w:ind w:firstLine="640" w:firstLineChars="200"/>
        <w:rPr>
          <w:color w:val="auto"/>
          <w:szCs w:val="32"/>
        </w:rPr>
      </w:pPr>
      <w:r>
        <w:rPr>
          <w:color w:val="auto"/>
          <w:szCs w:val="32"/>
        </w:rPr>
        <w:t>（一）评标所在地与评标专家为同一县（市、区）或同一设区市主城区内的，每人按50元标准执行；</w:t>
      </w:r>
    </w:p>
    <w:p>
      <w:pPr>
        <w:spacing w:line="590" w:lineRule="exact"/>
        <w:ind w:firstLine="640" w:firstLineChars="200"/>
        <w:rPr>
          <w:color w:val="auto"/>
          <w:szCs w:val="32"/>
        </w:rPr>
      </w:pPr>
      <w:r>
        <w:rPr>
          <w:color w:val="auto"/>
          <w:szCs w:val="32"/>
        </w:rPr>
        <w:t>（</w:t>
      </w:r>
      <w:r>
        <w:rPr>
          <w:rFonts w:hint="eastAsia"/>
          <w:szCs w:val="32"/>
        </w:rPr>
        <w:t>二</w:t>
      </w:r>
      <w:r>
        <w:rPr>
          <w:color w:val="auto"/>
          <w:szCs w:val="32"/>
        </w:rPr>
        <w:t>）评标所在地与评标专家为同一设区市与下辖县（市、区）以及下辖县（市、区）之间的，每人按100元区间标准执行；</w:t>
      </w:r>
    </w:p>
    <w:p>
      <w:pPr>
        <w:spacing w:line="590" w:lineRule="exact"/>
        <w:ind w:firstLine="640" w:firstLineChars="200"/>
        <w:rPr>
          <w:color w:val="auto"/>
          <w:szCs w:val="32"/>
        </w:rPr>
      </w:pPr>
      <w:r>
        <w:rPr>
          <w:color w:val="auto"/>
          <w:szCs w:val="32"/>
        </w:rPr>
        <w:t>（</w:t>
      </w:r>
      <w:r>
        <w:rPr>
          <w:rFonts w:hint="eastAsia"/>
          <w:szCs w:val="32"/>
        </w:rPr>
        <w:t>三</w:t>
      </w:r>
      <w:r>
        <w:rPr>
          <w:color w:val="auto"/>
          <w:szCs w:val="32"/>
        </w:rPr>
        <w:t>）评标所在地与评标专家跨设区市的，每人按200元区间标准执行；</w:t>
      </w:r>
    </w:p>
    <w:p>
      <w:pPr>
        <w:spacing w:line="590" w:lineRule="exact"/>
        <w:ind w:firstLine="640" w:firstLineChars="200"/>
        <w:rPr>
          <w:color w:val="auto"/>
          <w:szCs w:val="32"/>
        </w:rPr>
      </w:pPr>
      <w:r>
        <w:rPr>
          <w:color w:val="auto"/>
          <w:szCs w:val="32"/>
        </w:rPr>
        <w:t>因故延期评标的，招标人或招标代理机构应及时通知已抽取的评标专家，对已到评标现场的专家应给予不低于往返一次的交通费补偿。</w:t>
      </w:r>
    </w:p>
    <w:p>
      <w:pPr>
        <w:spacing w:line="590" w:lineRule="exact"/>
        <w:ind w:firstLine="640" w:firstLineChars="200"/>
        <w:rPr>
          <w:color w:val="auto"/>
          <w:szCs w:val="32"/>
        </w:rPr>
      </w:pPr>
      <w:r>
        <w:rPr>
          <w:color w:val="auto"/>
          <w:szCs w:val="32"/>
        </w:rPr>
        <w:t>五、在途补助按每人每天100元发放，根据以下情况计算误工天数：</w:t>
      </w:r>
    </w:p>
    <w:p>
      <w:pPr>
        <w:spacing w:line="590" w:lineRule="exact"/>
        <w:ind w:firstLine="640" w:firstLineChars="200"/>
        <w:jc w:val="both"/>
        <w:rPr>
          <w:color w:val="auto"/>
          <w:szCs w:val="32"/>
        </w:rPr>
      </w:pPr>
      <w:r>
        <w:rPr>
          <w:color w:val="auto"/>
          <w:szCs w:val="32"/>
        </w:rPr>
        <w:t>（一）评标所在地与评标专家为同一县（市、区）内的以及同一设区市主城区内的，按1天计；</w:t>
      </w:r>
    </w:p>
    <w:p>
      <w:pPr>
        <w:spacing w:line="590" w:lineRule="exact"/>
        <w:ind w:firstLine="640" w:firstLineChars="200"/>
        <w:jc w:val="both"/>
        <w:rPr>
          <w:color w:val="auto"/>
          <w:szCs w:val="32"/>
        </w:rPr>
      </w:pPr>
      <w:r>
        <w:rPr>
          <w:color w:val="auto"/>
          <w:szCs w:val="32"/>
        </w:rPr>
        <w:t>（二）评标所在地与评标专家为同一设区市与下辖县（市、区）以及下辖县（市、区）之间的，按1.5天计；</w:t>
      </w:r>
    </w:p>
    <w:p>
      <w:pPr>
        <w:spacing w:line="590" w:lineRule="exact"/>
        <w:ind w:firstLine="640" w:firstLineChars="200"/>
        <w:jc w:val="both"/>
        <w:rPr>
          <w:color w:val="auto"/>
          <w:szCs w:val="32"/>
        </w:rPr>
      </w:pPr>
      <w:r>
        <w:rPr>
          <w:color w:val="auto"/>
          <w:szCs w:val="32"/>
        </w:rPr>
        <w:t>（三）评标所在地与评标专家跨设区市的，按2天计。</w:t>
      </w:r>
    </w:p>
    <w:p>
      <w:pPr>
        <w:spacing w:line="590" w:lineRule="exact"/>
        <w:ind w:firstLine="640" w:firstLineChars="200"/>
        <w:jc w:val="both"/>
        <w:rPr>
          <w:color w:val="auto"/>
          <w:szCs w:val="32"/>
        </w:rPr>
      </w:pPr>
      <w:r>
        <w:rPr>
          <w:color w:val="auto"/>
          <w:szCs w:val="32"/>
        </w:rPr>
        <w:t>六、同一项目由原评标委员会重新评标的，除按照第四条规定的标准给予交通费用补助外，不再给付其他评标劳务报酬。</w:t>
      </w:r>
    </w:p>
    <w:p>
      <w:pPr>
        <w:spacing w:line="590" w:lineRule="exact"/>
        <w:ind w:firstLine="640" w:firstLineChars="200"/>
        <w:jc w:val="both"/>
        <w:rPr>
          <w:color w:val="auto"/>
          <w:szCs w:val="32"/>
        </w:rPr>
      </w:pPr>
      <w:r>
        <w:rPr>
          <w:color w:val="auto"/>
          <w:szCs w:val="32"/>
        </w:rPr>
        <w:t>七、远程异地评标原则上按照评标所在地与评标专家为同一县（市、区）或同一设区市主城区内的标准给予交通费用和在途补助。</w:t>
      </w:r>
    </w:p>
    <w:p>
      <w:pPr>
        <w:spacing w:line="590" w:lineRule="exact"/>
        <w:ind w:firstLine="640" w:firstLineChars="200"/>
        <w:jc w:val="both"/>
        <w:rPr>
          <w:szCs w:val="32"/>
        </w:rPr>
      </w:pPr>
      <w:r>
        <w:rPr>
          <w:color w:val="auto"/>
          <w:szCs w:val="32"/>
        </w:rPr>
        <w:t>八、本标准可参照社会物价水平适时调整。</w:t>
      </w:r>
    </w:p>
    <w:p>
      <w:pPr>
        <w:spacing w:line="590" w:lineRule="exact"/>
        <w:ind w:firstLine="640" w:firstLineChars="200"/>
        <w:rPr>
          <w:bCs/>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楷体_GB2312">
    <w:altName w:val="汉仪楷体KW"/>
    <w:panose1 w:val="02010609030101010101"/>
    <w:charset w:val="00"/>
    <w:family w:val="modern"/>
    <w:pitch w:val="default"/>
    <w:sig w:usb0="00000000" w:usb1="0000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 w:name="黑体">
    <w:altName w:val="汉仪中黑KW"/>
    <w:panose1 w:val="02010609060101010101"/>
    <w:charset w:val="00"/>
    <w:family w:val="auto"/>
    <w:pitch w:val="default"/>
    <w:sig w:usb0="00000000" w:usb1="00000000" w:usb2="00000016" w:usb3="00000000" w:csb0="00040001" w:csb1="00000000"/>
  </w:font>
  <w:font w:name="方正仿宋简体">
    <w:altName w:val="苹方-简"/>
    <w:panose1 w:val="03000509000000000000"/>
    <w:charset w:val="00"/>
    <w:family w:val="script"/>
    <w:pitch w:val="default"/>
    <w:sig w:usb0="00000000" w:usb1="0000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华文仿宋">
    <w:altName w:val="苹方-简"/>
    <w:panose1 w:val="02010600040101010101"/>
    <w:charset w:val="00"/>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书宋简体">
    <w:altName w:val="苹方-简"/>
    <w:panose1 w:val="03000509000000000000"/>
    <w:charset w:val="00"/>
    <w:family w:val="script"/>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r>
      <w:rPr>
        <w:rStyle w:val="6"/>
        <w:rFonts w:hint="eastAsia"/>
        <w:sz w:val="28"/>
        <w:szCs w:val="28"/>
      </w:rPr>
      <w:t xml:space="preserve"> —</w:t>
    </w:r>
  </w:p>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column">
                <wp:posOffset>2863850</wp:posOffset>
              </wp:positionH>
              <wp:positionV relativeFrom="paragraph">
                <wp:posOffset>-128270</wp:posOffset>
              </wp:positionV>
              <wp:extent cx="3971925" cy="1911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971925" cy="191135"/>
                      </a:xfrm>
                      <a:prstGeom prst="rect">
                        <a:avLst/>
                      </a:prstGeom>
                      <a:noFill/>
                      <a:ln w="9525">
                        <a:noFill/>
                      </a:ln>
                    </wps:spPr>
                    <wps:txbx>
                      <w:txbxContent>
                        <w:p/>
                      </w:txbxContent>
                    </wps:txbx>
                    <wps:bodyPr upright="1"/>
                  </wps:wsp>
                </a:graphicData>
              </a:graphic>
            </wp:anchor>
          </w:drawing>
        </mc:Choice>
        <mc:Fallback>
          <w:pict>
            <v:shape id="_x0000_s1026" o:spid="_x0000_s1026" o:spt="202" type="#_x0000_t202" style="position:absolute;left:0pt;margin-left:225.5pt;margin-top:-10.1pt;height:15.05pt;width:312.75pt;z-index:251658240;mso-width-relative:page;mso-height-relative:page;" fillcolor="#FF0000" filled="f" stroked="f" coordsize="21600,21600" o:gfxdata="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FgAAAGRycy9QSwECFAAUAAAACACHTuJAoCxJ&#10;lNkAAAAKAQAADwAAAAAAAAABACAAAAA4AAAAZHJzL2Rvd25yZXYueG1sUEsBAhQAFAAAAAgAh07i&#10;QI2Eia6ZAQAACQMAAA4AAAAAAAAAAQAgAAAAPgEAAGRycy9lMm9Eb2MueG1sUEsFBgAAAAAGAAYA&#10;WQEAAEkFAAAAAA==&#10;">
              <v:path/>
              <v:fill on="f" focussize="0,0"/>
              <v:stroke on="f"/>
              <v:imagedata o:title=""/>
              <o:lock v:ext="edit"/>
              <v:textbox>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EF94D7"/>
    <w:rsid w:val="B7EF9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table of figures"/>
    <w:basedOn w:val="1"/>
    <w:next w:val="1"/>
    <w:uiPriority w:val="0"/>
    <w:pPr>
      <w:ind w:left="200" w:leftChars="200" w:hanging="200" w:hangingChars="200"/>
    </w:pPr>
    <w:rPr>
      <w:rFonts w:ascii="Calibri" w:hAnsi="Calibri" w:eastAsia="宋体"/>
      <w:sz w:val="21"/>
    </w:rPr>
  </w:style>
  <w:style w:type="paragraph" w:styleId="4">
    <w:name w:val="Normal (Web)"/>
    <w:basedOn w:val="1"/>
    <w:uiPriority w:val="0"/>
    <w:pPr>
      <w:spacing w:before="100" w:beforeAutospacing="1" w:after="100" w:afterAutospacing="1"/>
      <w:jc w:val="left"/>
    </w:pPr>
    <w:rPr>
      <w:rFonts w:eastAsia="方正仿宋简体"/>
      <w:kern w:val="0"/>
      <w:sz w:val="24"/>
    </w:rPr>
  </w:style>
  <w:style w:type="character" w:styleId="6">
    <w:name w:val="page number"/>
    <w:basedOn w:val="5"/>
    <w:uiPriority w:val="0"/>
  </w:style>
  <w:style w:type="character" w:customStyle="1" w:styleId="8">
    <w:name w:val="font11"/>
    <w:basedOn w:val="5"/>
    <w:qFormat/>
    <w:uiPriority w:val="0"/>
    <w:rPr>
      <w:rFonts w:ascii="仿宋_GB2312" w:hAnsi="Times New Roman"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2021-06-24T11:34:00Z</dcterms:created>
  <dc:creator>chanvictor</dc:creator>
  <cp:lastModifiedBy>chanvictor</cp:lastModifiedBy>
  <dcterms:modified xsi:type="dcterms:W3CDTF">2021-06-24T11:34:32Z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