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省发展改革委 省市场监管局关于进一步规范</w:t>
      </w:r>
      <w:r>
        <w:rPr>
          <w:rFonts w:hint="eastAsia" w:ascii="方正小标宋简体" w:eastAsia="方正小标宋简体"/>
          <w:sz w:val="44"/>
          <w:szCs w:val="44"/>
          <w:lang w:eastAsia="zh-CN"/>
        </w:rPr>
        <w:t>转供电</w:t>
      </w:r>
      <w:r>
        <w:rPr>
          <w:rFonts w:hint="eastAsia" w:ascii="方正小标宋简体" w:eastAsia="方正小标宋简体"/>
          <w:sz w:val="44"/>
          <w:szCs w:val="44"/>
        </w:rPr>
        <w:t>价格行为</w:t>
      </w:r>
      <w:r>
        <w:rPr>
          <w:rFonts w:hint="eastAsia" w:ascii="方正小标宋简体" w:eastAsia="方正小标宋简体"/>
          <w:sz w:val="44"/>
          <w:szCs w:val="44"/>
          <w:lang w:eastAsia="zh-CN"/>
        </w:rPr>
        <w:t>有关事项</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sz w:val="44"/>
          <w:szCs w:val="44"/>
        </w:rPr>
      </w:pPr>
      <w:r>
        <w:rPr>
          <w:rFonts w:hint="default" w:ascii="Times New Roman" w:hAnsi="Times New Roman" w:eastAsia="楷体_GB2312" w:cs="Times New Roman"/>
          <w:color w:val="auto"/>
          <w:sz w:val="32"/>
          <w:szCs w:val="32"/>
          <w:lang w:eastAsia="zh-CN"/>
        </w:rPr>
        <w:t>（征求意见稿）</w:t>
      </w:r>
    </w:p>
    <w:p>
      <w:pPr>
        <w:adjustRightInd w:val="0"/>
        <w:snapToGrid w:val="0"/>
        <w:spacing w:line="579" w:lineRule="exact"/>
        <w:rPr>
          <w:rFonts w:hint="eastAsia" w:ascii="仿宋_GB2312" w:eastAsia="仿宋_GB2312"/>
          <w:sz w:val="32"/>
          <w:szCs w:val="32"/>
        </w:rPr>
      </w:pPr>
    </w:p>
    <w:p>
      <w:pPr>
        <w:adjustRightInd w:val="0"/>
        <w:snapToGrid w:val="0"/>
        <w:spacing w:line="579" w:lineRule="exact"/>
        <w:rPr>
          <w:rFonts w:ascii="仿宋_GB2312" w:eastAsia="仿宋_GB2312"/>
          <w:sz w:val="32"/>
          <w:szCs w:val="32"/>
        </w:rPr>
      </w:pPr>
      <w:r>
        <w:rPr>
          <w:rFonts w:hint="eastAsia" w:ascii="仿宋_GB2312" w:eastAsia="仿宋_GB2312"/>
          <w:sz w:val="32"/>
          <w:szCs w:val="32"/>
        </w:rPr>
        <w:t>各市 、县（市、区）发展改革委（局）、市场监管局，国网浙江省电力有限公司：</w:t>
      </w:r>
    </w:p>
    <w:p>
      <w:pPr>
        <w:adjustRightInd w:val="0"/>
        <w:snapToGrid w:val="0"/>
        <w:spacing w:line="579" w:lineRule="exact"/>
        <w:ind w:firstLine="640" w:firstLineChars="200"/>
        <w:rPr>
          <w:rFonts w:ascii="仿宋_GB2312" w:eastAsia="仿宋_GB2312"/>
          <w:sz w:val="32"/>
          <w:szCs w:val="32"/>
        </w:rPr>
      </w:pPr>
      <w:r>
        <w:rPr>
          <w:rFonts w:hint="eastAsia" w:ascii="仿宋_GB2312" w:eastAsia="仿宋_GB2312"/>
          <w:sz w:val="32"/>
          <w:szCs w:val="32"/>
        </w:rPr>
        <w:t>为贯彻落实今年《政府工作报告》部署和《国务院办公厅转发国家发展改革委等部门关于清理规范城镇供水供电供气供暖行业收费 促进行业高质量发展意见的通知》（国办函〔2020〕129号）</w:t>
      </w:r>
      <w:r>
        <w:rPr>
          <w:rFonts w:hint="eastAsia" w:ascii="仿宋_GB2312" w:eastAsia="仿宋_GB2312"/>
          <w:sz w:val="32"/>
          <w:szCs w:val="32"/>
          <w:lang w:eastAsia="zh-CN"/>
        </w:rPr>
        <w:t>及国家发展改革委相关工作指引</w:t>
      </w:r>
      <w:r>
        <w:rPr>
          <w:rFonts w:hint="eastAsia" w:ascii="仿宋_GB2312" w:eastAsia="仿宋_GB2312"/>
          <w:sz w:val="32"/>
          <w:szCs w:val="32"/>
        </w:rPr>
        <w:t>要求，进一步清理用电不合理加价，确保国家电价政策红利足额传导至终端用户，继续推动降低一般工商业电价，现就进一步规范</w:t>
      </w:r>
      <w:r>
        <w:rPr>
          <w:rFonts w:hint="eastAsia" w:ascii="仿宋_GB2312" w:eastAsia="仿宋_GB2312"/>
          <w:sz w:val="32"/>
          <w:szCs w:val="32"/>
          <w:lang w:eastAsia="zh-CN"/>
        </w:rPr>
        <w:t>转供电</w:t>
      </w:r>
      <w:r>
        <w:rPr>
          <w:rFonts w:hint="eastAsia" w:ascii="仿宋_GB2312" w:eastAsia="仿宋_GB2312"/>
          <w:sz w:val="32"/>
          <w:szCs w:val="32"/>
        </w:rPr>
        <w:t>价格行为相关事项通知如下。</w:t>
      </w:r>
    </w:p>
    <w:p>
      <w:pPr>
        <w:adjustRightInd w:val="0"/>
        <w:snapToGrid w:val="0"/>
        <w:spacing w:line="579" w:lineRule="exact"/>
        <w:ind w:firstLine="640" w:firstLineChars="200"/>
        <w:rPr>
          <w:rFonts w:ascii="黑体" w:hAnsi="黑体" w:eastAsia="黑体"/>
          <w:sz w:val="32"/>
          <w:szCs w:val="32"/>
        </w:rPr>
      </w:pPr>
      <w:r>
        <w:rPr>
          <w:rFonts w:hint="eastAsia" w:ascii="黑体" w:hAnsi="黑体" w:eastAsia="黑体"/>
          <w:sz w:val="32"/>
          <w:szCs w:val="32"/>
        </w:rPr>
        <w:t>一、总体要求</w:t>
      </w:r>
    </w:p>
    <w:p>
      <w:pPr>
        <w:adjustRightInd w:val="0"/>
        <w:snapToGrid w:val="0"/>
        <w:spacing w:line="579" w:lineRule="exact"/>
        <w:ind w:firstLine="640" w:firstLineChars="200"/>
        <w:rPr>
          <w:rFonts w:hint="eastAsia" w:ascii="仿宋_GB2312" w:eastAsia="仿宋_GB2312"/>
          <w:b w:val="0"/>
          <w:bCs/>
          <w:sz w:val="32"/>
          <w:szCs w:val="32"/>
          <w:lang w:eastAsia="zh-CN"/>
        </w:rPr>
      </w:pPr>
      <w:r>
        <w:rPr>
          <w:rFonts w:hint="eastAsia" w:ascii="仿宋_GB2312" w:eastAsia="仿宋_GB2312"/>
          <w:sz w:val="32"/>
          <w:szCs w:val="32"/>
          <w:lang w:eastAsia="zh-CN"/>
        </w:rPr>
        <w:t>转供电</w:t>
      </w:r>
      <w:r>
        <w:rPr>
          <w:rFonts w:hint="eastAsia" w:ascii="仿宋_GB2312" w:eastAsia="仿宋_GB2312"/>
          <w:sz w:val="32"/>
          <w:szCs w:val="32"/>
        </w:rPr>
        <w:t>主体不得在终端用户电费中加收其他费用。对具备表计条件的终端用户，按照政府规定的销售电价执行；对不具备表计条件的终端用户，电费由终端用户公平分摊。物业公共部位、共用设施和配套设施用电电费、运行维护费等通过物业费、租金或公共收益等途径解决。</w:t>
      </w:r>
      <w:r>
        <w:rPr>
          <w:rFonts w:hint="eastAsia" w:ascii="仿宋_GB2312" w:eastAsia="仿宋_GB2312"/>
          <w:sz w:val="32"/>
          <w:szCs w:val="32"/>
          <w:lang w:eastAsia="zh-CN"/>
        </w:rPr>
        <w:t>参与电力市场化交易的转供电主体与终端用户协商确定市场化交易价格波动的合理分摊。</w:t>
      </w:r>
    </w:p>
    <w:p>
      <w:pPr>
        <w:adjustRightInd w:val="0"/>
        <w:snapToGrid w:val="0"/>
        <w:spacing w:line="579"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进一步明确不同终端用户表计条件的用电价格行为</w:t>
      </w:r>
    </w:p>
    <w:p>
      <w:pPr>
        <w:adjustRightInd w:val="0"/>
        <w:snapToGrid w:val="0"/>
        <w:spacing w:line="579" w:lineRule="exact"/>
        <w:ind w:firstLine="640" w:firstLineChars="200"/>
        <w:rPr>
          <w:rFonts w:ascii="仿宋_GB2312" w:eastAsia="仿宋_GB2312"/>
          <w:b/>
          <w:color w:val="auto"/>
          <w:sz w:val="32"/>
          <w:szCs w:val="32"/>
        </w:rPr>
      </w:pPr>
      <w:r>
        <w:rPr>
          <w:rFonts w:hint="eastAsia" w:ascii="仿宋_GB2312" w:hAnsi="黑体" w:eastAsia="仿宋_GB2312"/>
          <w:sz w:val="32"/>
          <w:szCs w:val="32"/>
        </w:rPr>
        <w:t>区分终端用户不同表计条件，建立规范</w:t>
      </w:r>
      <w:r>
        <w:rPr>
          <w:rFonts w:hint="eastAsia" w:ascii="仿宋_GB2312" w:hAnsi="黑体" w:eastAsia="仿宋_GB2312"/>
          <w:sz w:val="32"/>
          <w:szCs w:val="32"/>
          <w:lang w:eastAsia="zh-CN"/>
        </w:rPr>
        <w:t>转供电</w:t>
      </w:r>
      <w:r>
        <w:rPr>
          <w:rFonts w:hint="eastAsia" w:ascii="仿宋_GB2312" w:hAnsi="黑体" w:eastAsia="仿宋_GB2312"/>
          <w:sz w:val="32"/>
          <w:szCs w:val="32"/>
        </w:rPr>
        <w:t>价格行为的长效机制。</w:t>
      </w:r>
      <w:r>
        <w:rPr>
          <w:rFonts w:hint="eastAsia" w:ascii="仿宋_GB2312" w:eastAsia="仿宋_GB2312"/>
          <w:color w:val="auto"/>
          <w:sz w:val="32"/>
          <w:szCs w:val="32"/>
          <w:shd w:val="clear" w:color="auto" w:fill="FFFFFF"/>
        </w:rPr>
        <w:t>经营者要建立健全各项收费及费用分摊相关信息的公示制度，及时向终端用户公开</w:t>
      </w:r>
      <w:r>
        <w:rPr>
          <w:rFonts w:hint="eastAsia" w:ascii="仿宋_GB2312" w:eastAsia="仿宋_GB2312"/>
          <w:color w:val="auto"/>
          <w:sz w:val="32"/>
          <w:szCs w:val="32"/>
          <w:shd w:val="clear" w:color="auto" w:fill="FFFFFF"/>
          <w:lang w:eastAsia="zh-CN"/>
        </w:rPr>
        <w:t>收取的电价水平及分摊方式</w:t>
      </w:r>
      <w:r>
        <w:rPr>
          <w:rFonts w:hint="eastAsia" w:ascii="仿宋_GB2312" w:eastAsia="仿宋_GB2312"/>
          <w:color w:val="auto"/>
          <w:sz w:val="32"/>
          <w:szCs w:val="32"/>
          <w:shd w:val="clear" w:color="auto" w:fill="FFFFFF"/>
        </w:rPr>
        <w:t>。严禁以</w:t>
      </w:r>
      <w:r>
        <w:rPr>
          <w:rFonts w:hint="eastAsia" w:ascii="仿宋_GB2312" w:eastAsia="仿宋_GB2312"/>
          <w:color w:val="auto"/>
          <w:sz w:val="32"/>
          <w:szCs w:val="32"/>
          <w:shd w:val="clear" w:color="auto" w:fill="FFFFFF"/>
          <w:lang w:eastAsia="zh-CN"/>
        </w:rPr>
        <w:t>用电量为基数分摊</w:t>
      </w:r>
      <w:r>
        <w:rPr>
          <w:rFonts w:hint="eastAsia" w:ascii="仿宋_GB2312" w:eastAsia="仿宋_GB2312"/>
          <w:color w:val="auto"/>
          <w:sz w:val="32"/>
          <w:szCs w:val="32"/>
          <w:shd w:val="clear" w:color="auto" w:fill="FFFFFF"/>
        </w:rPr>
        <w:t>费用。</w:t>
      </w:r>
    </w:p>
    <w:p>
      <w:pPr>
        <w:adjustRightInd w:val="0"/>
        <w:snapToGrid w:val="0"/>
        <w:spacing w:line="579" w:lineRule="exact"/>
        <w:ind w:firstLine="640" w:firstLineChars="200"/>
        <w:rPr>
          <w:rFonts w:ascii="仿宋_GB2312" w:hAnsi="黑体" w:eastAsia="仿宋_GB2312"/>
          <w:sz w:val="32"/>
          <w:szCs w:val="32"/>
        </w:rPr>
      </w:pPr>
      <w:r>
        <w:rPr>
          <w:rFonts w:hint="eastAsia" w:ascii="楷体_GB2312" w:hAnsi="黑体" w:eastAsia="楷体_GB2312"/>
          <w:sz w:val="32"/>
          <w:szCs w:val="32"/>
        </w:rPr>
        <w:t>（一）</w:t>
      </w:r>
      <w:r>
        <w:rPr>
          <w:rFonts w:hint="eastAsia" w:ascii="楷体_GB2312" w:hAnsi="黑体" w:eastAsia="楷体_GB2312"/>
          <w:sz w:val="32"/>
          <w:szCs w:val="32"/>
          <w:lang w:eastAsia="zh-CN"/>
        </w:rPr>
        <w:t>转供电主体和终端</w:t>
      </w:r>
      <w:r>
        <w:rPr>
          <w:rFonts w:hint="eastAsia" w:ascii="楷体_GB2312" w:hAnsi="黑体" w:eastAsia="楷体_GB2312"/>
          <w:sz w:val="32"/>
          <w:szCs w:val="32"/>
        </w:rPr>
        <w:t>用户</w:t>
      </w:r>
      <w:r>
        <w:rPr>
          <w:rFonts w:hint="eastAsia" w:ascii="楷体_GB2312" w:hAnsi="黑体" w:eastAsia="楷体_GB2312"/>
          <w:sz w:val="32"/>
          <w:szCs w:val="32"/>
          <w:lang w:eastAsia="zh-CN"/>
        </w:rPr>
        <w:t>都</w:t>
      </w:r>
      <w:r>
        <w:rPr>
          <w:rFonts w:hint="eastAsia" w:ascii="楷体_GB2312" w:hAnsi="黑体" w:eastAsia="楷体_GB2312"/>
          <w:sz w:val="32"/>
          <w:szCs w:val="32"/>
        </w:rPr>
        <w:t>安装分时计量电表的，</w:t>
      </w:r>
      <w:r>
        <w:rPr>
          <w:rFonts w:hint="eastAsia" w:ascii="楷体_GB2312" w:hAnsi="黑体" w:eastAsia="楷体_GB2312"/>
          <w:sz w:val="32"/>
          <w:szCs w:val="32"/>
          <w:lang w:eastAsia="zh-CN"/>
        </w:rPr>
        <w:t>如转供电主体执行峰谷分时电价的，</w:t>
      </w:r>
      <w:r>
        <w:rPr>
          <w:rFonts w:hint="eastAsia" w:ascii="楷体_GB2312" w:hAnsi="黑体" w:eastAsia="楷体_GB2312"/>
          <w:sz w:val="32"/>
          <w:szCs w:val="32"/>
        </w:rPr>
        <w:t>终端用户电价严格执行</w:t>
      </w:r>
      <w:r>
        <w:rPr>
          <w:rFonts w:hint="eastAsia" w:ascii="楷体_GB2312" w:hAnsi="黑体" w:eastAsia="楷体_GB2312"/>
          <w:sz w:val="32"/>
          <w:szCs w:val="32"/>
          <w:lang w:eastAsia="zh-CN"/>
        </w:rPr>
        <w:t>我省</w:t>
      </w:r>
      <w:r>
        <w:rPr>
          <w:rFonts w:hint="eastAsia" w:ascii="楷体_GB2312" w:hAnsi="黑体" w:eastAsia="楷体_GB2312"/>
          <w:sz w:val="32"/>
          <w:szCs w:val="32"/>
        </w:rPr>
        <w:t>目录</w:t>
      </w:r>
      <w:r>
        <w:rPr>
          <w:rFonts w:hint="eastAsia" w:ascii="楷体_GB2312" w:hAnsi="黑体" w:eastAsia="楷体_GB2312"/>
          <w:sz w:val="32"/>
          <w:szCs w:val="32"/>
          <w:lang w:eastAsia="zh-CN"/>
        </w:rPr>
        <w:t>峰谷分时</w:t>
      </w:r>
      <w:r>
        <w:rPr>
          <w:rFonts w:hint="eastAsia" w:ascii="楷体_GB2312" w:hAnsi="黑体" w:eastAsia="楷体_GB2312"/>
          <w:sz w:val="32"/>
          <w:szCs w:val="32"/>
        </w:rPr>
        <w:t>电价。</w:t>
      </w:r>
      <w:r>
        <w:rPr>
          <w:rFonts w:hint="eastAsia" w:ascii="仿宋_GB2312" w:hAnsi="黑体" w:eastAsia="仿宋_GB2312"/>
          <w:sz w:val="32"/>
          <w:szCs w:val="32"/>
          <w:lang w:eastAsia="zh-CN"/>
        </w:rPr>
        <w:t>转供电主</w:t>
      </w:r>
      <w:r>
        <w:rPr>
          <w:rFonts w:hint="eastAsia" w:ascii="仿宋_GB2312" w:hAnsi="黑体" w:eastAsia="仿宋_GB2312"/>
          <w:sz w:val="32"/>
          <w:szCs w:val="32"/>
        </w:rPr>
        <w:t>体自用电费由自身承担，公共部位、共用设施和配套设施用电电费、运行维护费等通过物业费、租金或公共收益等途径解决。</w:t>
      </w:r>
    </w:p>
    <w:p>
      <w:pPr>
        <w:adjustRightInd w:val="0"/>
        <w:snapToGrid w:val="0"/>
        <w:spacing w:line="579"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（二）对安装非分时计量电表的</w:t>
      </w:r>
      <w:r>
        <w:rPr>
          <w:rFonts w:hint="eastAsia" w:ascii="楷体_GB2312" w:hAnsi="黑体" w:eastAsia="楷体_GB2312"/>
          <w:sz w:val="32"/>
          <w:szCs w:val="32"/>
          <w:lang w:eastAsia="zh-CN"/>
        </w:rPr>
        <w:t>终端</w:t>
      </w:r>
      <w:r>
        <w:rPr>
          <w:rFonts w:hint="eastAsia" w:ascii="楷体_GB2312" w:hAnsi="黑体" w:eastAsia="楷体_GB2312"/>
          <w:sz w:val="32"/>
          <w:szCs w:val="32"/>
        </w:rPr>
        <w:t>用户，终端用户电价按“基准电价</w:t>
      </w:r>
      <w:r>
        <w:rPr>
          <w:rFonts w:hint="eastAsia" w:ascii="楷体_GB2312" w:hAnsi="黑体" w:eastAsia="楷体_GB2312"/>
          <w:sz w:val="32"/>
          <w:szCs w:val="32"/>
          <w:lang w:val="en-US" w:eastAsia="zh-CN"/>
        </w:rPr>
        <w:t>*（1+</w:t>
      </w:r>
      <w:r>
        <w:rPr>
          <w:rFonts w:hint="eastAsia" w:ascii="楷体_GB2312" w:hAnsi="黑体" w:eastAsia="楷体_GB2312"/>
          <w:sz w:val="32"/>
          <w:szCs w:val="32"/>
        </w:rPr>
        <w:t>最大上浮幅度</w:t>
      </w:r>
      <w:r>
        <w:rPr>
          <w:rFonts w:hint="eastAsia" w:ascii="楷体_GB2312" w:hAnsi="黑体" w:eastAsia="楷体_GB2312"/>
          <w:sz w:val="32"/>
          <w:szCs w:val="32"/>
          <w:lang w:eastAsia="zh-CN"/>
        </w:rPr>
        <w:t>）</w:t>
      </w:r>
      <w:r>
        <w:rPr>
          <w:rFonts w:hint="eastAsia" w:ascii="楷体_GB2312" w:hAnsi="黑体" w:eastAsia="楷体_GB2312"/>
          <w:sz w:val="32"/>
          <w:szCs w:val="32"/>
        </w:rPr>
        <w:t>”方式形成。</w:t>
      </w:r>
    </w:p>
    <w:p>
      <w:pPr>
        <w:adjustRightInd w:val="0"/>
        <w:snapToGrid w:val="0"/>
        <w:spacing w:line="579"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1.基准电价的确定。</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主体不执行峰谷分时电价的，基准电价按</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主体向电网企业购电对应电压等级的电度电价确定；</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主体执行峰谷分时电价的，基准电价按</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主体月度平均购电价确定，月度平均购电价由其向电网企业缴纳的月度总电费和总购电量计算确定。</w:t>
      </w:r>
    </w:p>
    <w:p>
      <w:pPr>
        <w:adjustRightInd w:val="0"/>
        <w:snapToGrid w:val="0"/>
        <w:spacing w:line="579" w:lineRule="exact"/>
        <w:ind w:firstLine="640" w:firstLineChars="200"/>
        <w:rPr>
          <w:rFonts w:ascii="仿宋_GB2312" w:hAnsi="黑体" w:eastAsia="仿宋_GB2312"/>
          <w:sz w:val="32"/>
          <w:szCs w:val="32"/>
        </w:rPr>
      </w:pPr>
      <w:r>
        <w:rPr>
          <w:rFonts w:hint="eastAsia" w:ascii="仿宋_GB2312" w:hAnsi="黑体" w:eastAsia="仿宋_GB2312"/>
          <w:sz w:val="32"/>
          <w:szCs w:val="32"/>
        </w:rPr>
        <w:t>2.最大上浮幅度的确定。最大上浮幅度根据</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主体供电的合理损耗等</w:t>
      </w:r>
      <w:r>
        <w:rPr>
          <w:rFonts w:hint="eastAsia" w:ascii="仿宋_GB2312" w:hAnsi="黑体" w:eastAsia="仿宋_GB2312"/>
          <w:sz w:val="32"/>
          <w:szCs w:val="32"/>
          <w:lang w:eastAsia="zh-CN"/>
        </w:rPr>
        <w:t>因素</w:t>
      </w:r>
      <w:r>
        <w:rPr>
          <w:rFonts w:hint="eastAsia" w:ascii="仿宋_GB2312" w:hAnsi="黑体" w:eastAsia="仿宋_GB2312"/>
          <w:sz w:val="32"/>
          <w:szCs w:val="32"/>
        </w:rPr>
        <w:t>确定，</w:t>
      </w:r>
      <w:r>
        <w:rPr>
          <w:rFonts w:hint="eastAsia" w:ascii="仿宋_GB2312" w:hAnsi="黑体" w:eastAsia="仿宋_GB2312"/>
          <w:sz w:val="32"/>
          <w:szCs w:val="32"/>
          <w:lang w:eastAsia="zh-CN"/>
        </w:rPr>
        <w:t>由转供电主体与终端用户协商确定，但</w:t>
      </w:r>
      <w:r>
        <w:rPr>
          <w:rFonts w:hint="eastAsia" w:ascii="仿宋_GB2312" w:hAnsi="黑体" w:eastAsia="仿宋_GB2312"/>
          <w:sz w:val="32"/>
          <w:szCs w:val="32"/>
        </w:rPr>
        <w:t>最大上浮幅度</w:t>
      </w:r>
      <w:r>
        <w:rPr>
          <w:rFonts w:hint="eastAsia" w:ascii="仿宋_GB2312" w:hAnsi="黑体" w:eastAsia="仿宋_GB2312"/>
          <w:sz w:val="32"/>
          <w:szCs w:val="32"/>
          <w:lang w:eastAsia="zh-CN"/>
        </w:rPr>
        <w:t>不超过</w:t>
      </w:r>
      <w:r>
        <w:rPr>
          <w:rFonts w:hint="eastAsia" w:ascii="仿宋_GB2312" w:hAnsi="黑体" w:eastAsia="仿宋_GB2312"/>
          <w:sz w:val="32"/>
          <w:szCs w:val="32"/>
        </w:rPr>
        <w:t>10%。有条件的</w:t>
      </w:r>
      <w:r>
        <w:rPr>
          <w:rFonts w:hint="eastAsia" w:ascii="仿宋_GB2312" w:hAnsi="黑体" w:eastAsia="仿宋_GB2312"/>
          <w:sz w:val="32"/>
          <w:szCs w:val="32"/>
          <w:lang w:eastAsia="zh-CN"/>
        </w:rPr>
        <w:t>转供电</w:t>
      </w:r>
      <w:r>
        <w:rPr>
          <w:rFonts w:hint="eastAsia" w:ascii="仿宋_GB2312" w:hAnsi="黑体" w:eastAsia="仿宋_GB2312"/>
          <w:sz w:val="32"/>
          <w:szCs w:val="32"/>
        </w:rPr>
        <w:t>主体可选择不上浮，其供电的合理损耗等通过物业费、租金或公共收益等途径解决。存在多层</w:t>
      </w:r>
      <w:r>
        <w:rPr>
          <w:rFonts w:hint="eastAsia" w:ascii="仿宋_GB2312" w:hAnsi="黑体" w:eastAsia="仿宋_GB2312"/>
          <w:sz w:val="32"/>
          <w:szCs w:val="32"/>
          <w:lang w:eastAsia="zh-CN"/>
        </w:rPr>
        <w:t>转供电</w:t>
      </w:r>
      <w:r>
        <w:rPr>
          <w:rFonts w:hint="eastAsia" w:ascii="仿宋_GB2312" w:hAnsi="黑体" w:eastAsia="仿宋_GB2312"/>
          <w:sz w:val="32"/>
          <w:szCs w:val="32"/>
        </w:rPr>
        <w:t>情况的，终端用户执行的电价上浮幅度合计不得超过</w:t>
      </w: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p>
    <w:p>
      <w:pPr>
        <w:adjustRightInd w:val="0"/>
        <w:snapToGrid w:val="0"/>
        <w:spacing w:line="579" w:lineRule="exact"/>
        <w:ind w:firstLine="640" w:firstLineChars="200"/>
        <w:rPr>
          <w:rFonts w:ascii="黑体" w:hAnsi="黑体" w:eastAsia="黑体"/>
          <w:sz w:val="32"/>
          <w:szCs w:val="32"/>
        </w:rPr>
      </w:pPr>
      <w:r>
        <w:rPr>
          <w:rFonts w:hint="eastAsia" w:ascii="楷体_GB2312" w:hAnsi="黑体" w:eastAsia="楷体_GB2312"/>
          <w:sz w:val="32"/>
          <w:szCs w:val="32"/>
        </w:rPr>
        <w:t>（三）对未安装电表的终端用户，电费由终端用户公平分摊。</w:t>
      </w:r>
      <w:r>
        <w:rPr>
          <w:rFonts w:hint="eastAsia" w:ascii="仿宋_GB2312" w:hAnsi="黑体" w:eastAsia="仿宋_GB2312"/>
          <w:sz w:val="32"/>
          <w:szCs w:val="32"/>
        </w:rPr>
        <w:t>未安装电表的终端用户</w:t>
      </w:r>
      <w:r>
        <w:rPr>
          <w:rFonts w:hint="eastAsia" w:ascii="仿宋_GB2312" w:hAnsi="黑体" w:eastAsia="仿宋_GB2312"/>
          <w:sz w:val="32"/>
          <w:szCs w:val="32"/>
          <w:lang w:eastAsia="zh-CN"/>
        </w:rPr>
        <w:t>和转供电</w:t>
      </w:r>
      <w:r>
        <w:rPr>
          <w:rFonts w:hint="eastAsia" w:ascii="仿宋_GB2312" w:hAnsi="黑体" w:eastAsia="仿宋_GB2312"/>
          <w:sz w:val="32"/>
          <w:szCs w:val="32"/>
        </w:rPr>
        <w:t>主体</w:t>
      </w:r>
      <w:r>
        <w:rPr>
          <w:rFonts w:hint="eastAsia" w:ascii="仿宋_GB2312" w:hAnsi="黑体" w:eastAsia="仿宋_GB2312"/>
          <w:sz w:val="32"/>
          <w:szCs w:val="32"/>
          <w:lang w:eastAsia="zh-CN"/>
        </w:rPr>
        <w:t>的</w:t>
      </w:r>
      <w:r>
        <w:rPr>
          <w:rFonts w:hint="eastAsia" w:ascii="仿宋_GB2312" w:hAnsi="黑体" w:eastAsia="仿宋_GB2312"/>
          <w:sz w:val="32"/>
          <w:szCs w:val="32"/>
        </w:rPr>
        <w:t>自用电量</w:t>
      </w:r>
      <w:r>
        <w:rPr>
          <w:rFonts w:hint="eastAsia" w:ascii="仿宋_GB2312" w:hAnsi="黑体" w:eastAsia="仿宋_GB2312"/>
          <w:sz w:val="32"/>
          <w:szCs w:val="32"/>
          <w:lang w:eastAsia="zh-CN"/>
        </w:rPr>
        <w:t>通过协商约定分摊方式</w:t>
      </w:r>
      <w:r>
        <w:rPr>
          <w:rFonts w:hint="eastAsia" w:ascii="仿宋_GB2312" w:hAnsi="黑体" w:eastAsia="仿宋_GB2312"/>
          <w:sz w:val="32"/>
          <w:szCs w:val="32"/>
        </w:rPr>
        <w:t>，</w:t>
      </w:r>
      <w:r>
        <w:rPr>
          <w:rFonts w:hint="eastAsia" w:ascii="仿宋_GB2312" w:hAnsi="黑体" w:eastAsia="仿宋_GB2312"/>
          <w:sz w:val="32"/>
          <w:szCs w:val="32"/>
          <w:lang w:eastAsia="zh-CN"/>
        </w:rPr>
        <w:t>分别由自身承担。</w:t>
      </w:r>
      <w:r>
        <w:rPr>
          <w:rFonts w:hint="eastAsia" w:ascii="仿宋_GB2312" w:hAnsi="黑体" w:eastAsia="仿宋_GB2312"/>
          <w:sz w:val="32"/>
          <w:szCs w:val="32"/>
        </w:rPr>
        <w:t>物业公共部位、共用设施和配套设施用电电费、运行维护费等通过物业费、租金或公共收益等途径解决。</w:t>
      </w:r>
    </w:p>
    <w:p>
      <w:pPr>
        <w:adjustRightInd w:val="0"/>
        <w:snapToGrid w:val="0"/>
        <w:spacing w:line="579" w:lineRule="exact"/>
        <w:ind w:firstLine="640" w:firstLineChars="200"/>
        <w:rPr>
          <w:rFonts w:ascii="黑体" w:hAnsi="黑体" w:eastAsia="黑体"/>
          <w:sz w:val="32"/>
          <w:szCs w:val="32"/>
        </w:rPr>
      </w:pPr>
      <w:r>
        <w:rPr>
          <w:rFonts w:hint="eastAsia" w:ascii="黑体" w:hAnsi="黑体" w:eastAsia="黑体"/>
          <w:sz w:val="32"/>
          <w:szCs w:val="32"/>
        </w:rPr>
        <w:t>三、强化配套保障</w:t>
      </w:r>
    </w:p>
    <w:p>
      <w:pPr>
        <w:adjustRightInd w:val="0"/>
        <w:snapToGrid w:val="0"/>
        <w:spacing w:line="579" w:lineRule="exact"/>
        <w:ind w:firstLine="640" w:firstLineChars="200"/>
        <w:rPr>
          <w:rFonts w:ascii="仿宋_GB2312" w:eastAsia="仿宋_GB2312"/>
          <w:sz w:val="32"/>
          <w:szCs w:val="32"/>
        </w:rPr>
      </w:pPr>
      <w:r>
        <w:rPr>
          <w:rFonts w:hint="eastAsia" w:ascii="楷体_GB2312" w:eastAsia="楷体_GB2312"/>
          <w:sz w:val="32"/>
          <w:szCs w:val="32"/>
        </w:rPr>
        <w:t>（一）加快户表改造。</w:t>
      </w:r>
      <w:r>
        <w:rPr>
          <w:rFonts w:hint="eastAsia" w:ascii="仿宋_GB2312" w:eastAsia="仿宋_GB2312"/>
          <w:sz w:val="32"/>
          <w:szCs w:val="32"/>
        </w:rPr>
        <w:t>电网企业应对具备“一户一表”改造条件的用户加大改造力度，按产权分界分别承担改造费用</w:t>
      </w:r>
      <w:r>
        <w:rPr>
          <w:rFonts w:hint="eastAsia" w:ascii="仿宋_GB2312" w:eastAsia="仿宋_GB2312"/>
          <w:sz w:val="32"/>
          <w:szCs w:val="32"/>
          <w:lang w:eastAsia="zh-CN"/>
        </w:rPr>
        <w:t>。电网企业</w:t>
      </w:r>
      <w:r>
        <w:rPr>
          <w:rFonts w:hint="eastAsia" w:ascii="仿宋_GB2312" w:eastAsia="仿宋_GB2312"/>
          <w:sz w:val="32"/>
          <w:szCs w:val="32"/>
        </w:rPr>
        <w:t>因“一户一表”改造增加的成本费用，纳入电网输配电价回收。</w:t>
      </w:r>
    </w:p>
    <w:p>
      <w:pPr>
        <w:adjustRightInd w:val="0"/>
        <w:snapToGrid w:val="0"/>
        <w:spacing w:line="579" w:lineRule="exact"/>
        <w:ind w:firstLine="640" w:firstLineChars="200"/>
        <w:rPr>
          <w:rFonts w:ascii="仿宋_GB2312" w:eastAsia="仿宋_GB2312"/>
          <w:sz w:val="32"/>
          <w:szCs w:val="32"/>
        </w:rPr>
      </w:pPr>
      <w:r>
        <w:rPr>
          <w:rFonts w:hint="eastAsia" w:ascii="楷体_GB2312" w:eastAsia="楷体_GB2312"/>
          <w:sz w:val="32"/>
          <w:szCs w:val="32"/>
        </w:rPr>
        <w:t>（二）加强监督检查。</w:t>
      </w:r>
      <w:r>
        <w:rPr>
          <w:rFonts w:hint="eastAsia" w:ascii="仿宋_GB2312" w:hAnsi="仿宋_GB2312" w:eastAsia="仿宋_GB2312" w:cs="仿宋_GB2312"/>
          <w:sz w:val="32"/>
          <w:szCs w:val="32"/>
          <w:lang w:eastAsia="zh-CN"/>
        </w:rPr>
        <w:t>各级市场监管和发展改革部门要</w:t>
      </w:r>
      <w:r>
        <w:rPr>
          <w:rFonts w:hint="eastAsia" w:ascii="仿宋_GB2312" w:eastAsia="仿宋_GB2312"/>
          <w:sz w:val="32"/>
          <w:szCs w:val="32"/>
        </w:rPr>
        <w:t>加大对</w:t>
      </w:r>
      <w:r>
        <w:rPr>
          <w:rFonts w:hint="eastAsia" w:ascii="仿宋_GB2312" w:eastAsia="仿宋_GB2312"/>
          <w:sz w:val="32"/>
          <w:szCs w:val="32"/>
          <w:lang w:eastAsia="zh-CN"/>
        </w:rPr>
        <w:t>转供电</w:t>
      </w:r>
      <w:r>
        <w:rPr>
          <w:rFonts w:hint="eastAsia" w:ascii="仿宋_GB2312" w:eastAsia="仿宋_GB2312"/>
          <w:sz w:val="32"/>
          <w:szCs w:val="32"/>
        </w:rPr>
        <w:t>价格行为的监督检查力度，对存在不合理加价行为的要限期整改到位。对违法违规典型案例，要及时向社会公开曝光。</w:t>
      </w:r>
    </w:p>
    <w:p>
      <w:pPr>
        <w:adjustRightInd w:val="0"/>
        <w:snapToGrid w:val="0"/>
        <w:spacing w:line="579" w:lineRule="exact"/>
        <w:ind w:firstLine="640" w:firstLineChars="200"/>
        <w:rPr>
          <w:rFonts w:ascii="仿宋_GB2312" w:eastAsia="仿宋_GB2312"/>
          <w:sz w:val="32"/>
          <w:szCs w:val="32"/>
        </w:rPr>
      </w:pPr>
      <w:r>
        <w:rPr>
          <w:rFonts w:hint="eastAsia" w:ascii="楷体_GB2312" w:eastAsia="楷体_GB2312"/>
          <w:sz w:val="32"/>
          <w:szCs w:val="32"/>
        </w:rPr>
        <w:t>（三）加大政策宣传。</w:t>
      </w:r>
      <w:r>
        <w:rPr>
          <w:rFonts w:hint="eastAsia" w:ascii="仿宋_GB2312" w:eastAsia="仿宋_GB2312"/>
          <w:sz w:val="32"/>
          <w:szCs w:val="32"/>
        </w:rPr>
        <w:t>各</w:t>
      </w:r>
      <w:r>
        <w:rPr>
          <w:rFonts w:hint="eastAsia" w:ascii="仿宋_GB2312" w:eastAsia="仿宋_GB2312"/>
          <w:sz w:val="32"/>
          <w:szCs w:val="32"/>
          <w:lang w:eastAsia="zh-CN"/>
        </w:rPr>
        <w:t>地</w:t>
      </w:r>
      <w:r>
        <w:rPr>
          <w:rFonts w:hint="eastAsia" w:ascii="仿宋_GB2312" w:eastAsia="仿宋_GB2312"/>
          <w:sz w:val="32"/>
          <w:szCs w:val="32"/>
        </w:rPr>
        <w:t>要通过多种形式积极开展政策宣传和解读，确保</w:t>
      </w:r>
      <w:r>
        <w:rPr>
          <w:rFonts w:hint="eastAsia" w:ascii="仿宋_GB2312" w:hAnsi="黑体" w:eastAsia="仿宋_GB2312"/>
          <w:sz w:val="32"/>
          <w:szCs w:val="32"/>
          <w:lang w:eastAsia="zh-CN"/>
        </w:rPr>
        <w:t>转供电</w:t>
      </w:r>
      <w:r>
        <w:rPr>
          <w:rFonts w:hint="eastAsia" w:ascii="仿宋_GB2312" w:eastAsia="仿宋_GB2312"/>
          <w:sz w:val="32"/>
          <w:szCs w:val="32"/>
        </w:rPr>
        <w:t>主体和用户及时准确知晓；及时回应社会关切，营造良好舆论氛围，引导</w:t>
      </w:r>
      <w:r>
        <w:rPr>
          <w:rFonts w:hint="eastAsia" w:ascii="仿宋_GB2312" w:hAnsi="黑体" w:eastAsia="仿宋_GB2312"/>
          <w:sz w:val="32"/>
          <w:szCs w:val="32"/>
          <w:lang w:eastAsia="zh-CN"/>
        </w:rPr>
        <w:t>转供电</w:t>
      </w:r>
      <w:r>
        <w:rPr>
          <w:rFonts w:hint="eastAsia" w:ascii="仿宋_GB2312" w:eastAsia="仿宋_GB2312"/>
          <w:sz w:val="32"/>
          <w:szCs w:val="32"/>
        </w:rPr>
        <w:t>主体自觉规范价格行为。</w:t>
      </w:r>
    </w:p>
    <w:p>
      <w:pPr>
        <w:adjustRightInd w:val="0"/>
        <w:snapToGrid w:val="0"/>
        <w:spacing w:line="579" w:lineRule="exact"/>
        <w:ind w:firstLine="648" w:firstLineChars="200"/>
        <w:rPr>
          <w:rFonts w:hint="eastAsia" w:ascii="仿宋_GB2312" w:eastAsia="仿宋_GB2312"/>
          <w:b/>
          <w:color w:val="auto"/>
          <w:sz w:val="32"/>
          <w:szCs w:val="32"/>
        </w:rPr>
      </w:pPr>
      <w:r>
        <w:rPr>
          <w:rFonts w:hint="eastAsia" w:ascii="仿宋_GB2312" w:hAnsi="微软雅黑" w:eastAsia="仿宋_GB2312"/>
          <w:color w:val="auto"/>
          <w:spacing w:val="2"/>
          <w:sz w:val="32"/>
          <w:szCs w:val="32"/>
          <w:shd w:val="clear" w:color="auto" w:fill="FFFFFF"/>
        </w:rPr>
        <w:t>本通知自2021年</w:t>
      </w:r>
      <w:r>
        <w:rPr>
          <w:rFonts w:hint="eastAsia" w:ascii="仿宋_GB2312" w:hAnsi="微软雅黑" w:eastAsia="仿宋_GB2312"/>
          <w:color w:val="auto"/>
          <w:spacing w:val="2"/>
          <w:sz w:val="32"/>
          <w:szCs w:val="32"/>
          <w:shd w:val="clear" w:color="auto" w:fill="FFFFFF"/>
          <w:lang w:val="en-US" w:eastAsia="zh-CN"/>
        </w:rPr>
        <w:t>10</w:t>
      </w:r>
      <w:r>
        <w:rPr>
          <w:rFonts w:hint="eastAsia" w:ascii="仿宋_GB2312" w:hAnsi="微软雅黑" w:eastAsia="仿宋_GB2312"/>
          <w:b w:val="0"/>
          <w:bCs w:val="0"/>
          <w:color w:val="auto"/>
          <w:spacing w:val="2"/>
          <w:sz w:val="32"/>
          <w:szCs w:val="32"/>
          <w:shd w:val="clear" w:color="auto" w:fill="FFFFFF"/>
        </w:rPr>
        <w:t>月1日</w:t>
      </w:r>
      <w:r>
        <w:rPr>
          <w:rFonts w:hint="eastAsia" w:ascii="仿宋_GB2312" w:hAnsi="微软雅黑" w:eastAsia="仿宋_GB2312"/>
          <w:color w:val="auto"/>
          <w:spacing w:val="2"/>
          <w:sz w:val="32"/>
          <w:szCs w:val="32"/>
          <w:shd w:val="clear" w:color="auto" w:fill="FFFFFF"/>
        </w:rPr>
        <w:t>起执行。凡以前有关规定与本通知不符的，按本通知执行。国家另有政策规定的从其规定。</w:t>
      </w:r>
    </w:p>
    <w:p>
      <w:pPr>
        <w:adjustRightInd w:val="0"/>
        <w:snapToGrid w:val="0"/>
        <w:spacing w:line="579" w:lineRule="exact"/>
        <w:ind w:firstLine="642" w:firstLineChars="200"/>
        <w:rPr>
          <w:rFonts w:hint="eastAsia" w:ascii="仿宋_GB2312" w:eastAsia="仿宋_GB2312"/>
          <w:b/>
          <w:sz w:val="32"/>
          <w:szCs w:val="32"/>
        </w:rPr>
      </w:pPr>
    </w:p>
    <w:p>
      <w:pPr>
        <w:adjustRightInd w:val="0"/>
        <w:snapToGrid w:val="0"/>
        <w:spacing w:line="579"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浙江省发展和改革委员会</w:t>
      </w:r>
    </w:p>
    <w:p>
      <w:pPr>
        <w:adjustRightInd w:val="0"/>
        <w:snapToGrid w:val="0"/>
        <w:spacing w:line="579"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浙江省市场监督管理局</w:t>
      </w:r>
    </w:p>
    <w:p>
      <w:pPr>
        <w:adjustRightInd w:val="0"/>
        <w:snapToGrid w:val="0"/>
        <w:spacing w:line="579"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874027"/>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B7"/>
    <w:rsid w:val="00063EB0"/>
    <w:rsid w:val="00080811"/>
    <w:rsid w:val="000F3C8F"/>
    <w:rsid w:val="000F707E"/>
    <w:rsid w:val="0011440E"/>
    <w:rsid w:val="00164D61"/>
    <w:rsid w:val="00253E25"/>
    <w:rsid w:val="00282010"/>
    <w:rsid w:val="003111E1"/>
    <w:rsid w:val="003A480C"/>
    <w:rsid w:val="005A314B"/>
    <w:rsid w:val="005B7CC9"/>
    <w:rsid w:val="005E2405"/>
    <w:rsid w:val="005E4F4B"/>
    <w:rsid w:val="006E3B7A"/>
    <w:rsid w:val="00713382"/>
    <w:rsid w:val="007369A3"/>
    <w:rsid w:val="007451B7"/>
    <w:rsid w:val="007B0992"/>
    <w:rsid w:val="008673E8"/>
    <w:rsid w:val="00933C69"/>
    <w:rsid w:val="009855BD"/>
    <w:rsid w:val="00B35525"/>
    <w:rsid w:val="00BB0FCF"/>
    <w:rsid w:val="00BE383F"/>
    <w:rsid w:val="00CF1CBB"/>
    <w:rsid w:val="00D14A0C"/>
    <w:rsid w:val="00D203D3"/>
    <w:rsid w:val="00D35156"/>
    <w:rsid w:val="00D80A1A"/>
    <w:rsid w:val="00DD4D03"/>
    <w:rsid w:val="00E3658C"/>
    <w:rsid w:val="00EE6E37"/>
    <w:rsid w:val="00FA309D"/>
    <w:rsid w:val="00FE4F5B"/>
    <w:rsid w:val="09287642"/>
    <w:rsid w:val="12803F7E"/>
    <w:rsid w:val="1A610C16"/>
    <w:rsid w:val="1B08015B"/>
    <w:rsid w:val="1C360A32"/>
    <w:rsid w:val="1F8608BE"/>
    <w:rsid w:val="20C0654F"/>
    <w:rsid w:val="21B36639"/>
    <w:rsid w:val="227756CE"/>
    <w:rsid w:val="28594FB4"/>
    <w:rsid w:val="32FD2E04"/>
    <w:rsid w:val="371431B0"/>
    <w:rsid w:val="38C00CEE"/>
    <w:rsid w:val="3AE75B2A"/>
    <w:rsid w:val="3EA97913"/>
    <w:rsid w:val="4058544D"/>
    <w:rsid w:val="42934DBE"/>
    <w:rsid w:val="4D450511"/>
    <w:rsid w:val="51DD3726"/>
    <w:rsid w:val="53673F32"/>
    <w:rsid w:val="55F94F79"/>
    <w:rsid w:val="59F197C0"/>
    <w:rsid w:val="5D1F7EE2"/>
    <w:rsid w:val="5DF987CC"/>
    <w:rsid w:val="660D5525"/>
    <w:rsid w:val="6B5F3634"/>
    <w:rsid w:val="6EFE2564"/>
    <w:rsid w:val="7A61076D"/>
    <w:rsid w:val="7B4A5D36"/>
    <w:rsid w:val="7FFBFFAD"/>
    <w:rsid w:val="DFE0936B"/>
    <w:rsid w:val="FBC77FF3"/>
    <w:rsid w:val="FD6C3109"/>
    <w:rsid w:val="FE77FF6B"/>
    <w:rsid w:val="FEF9C439"/>
    <w:rsid w:val="FFAF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217</Words>
  <Characters>1238</Characters>
  <Lines>10</Lines>
  <Paragraphs>2</Paragraphs>
  <TotalTime>0</TotalTime>
  <ScaleCrop>false</ScaleCrop>
  <LinksUpToDate>false</LinksUpToDate>
  <CharactersWithSpaces>1453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2021-05-30T00:57:00Z</dcterms:created>
  <dc:creator>韩琛</dc:creator>
  <cp:lastModifiedBy>usr</cp:lastModifiedBy>
  <cp:lastPrinted>2021-08-06T01:12:00Z</cp:lastPrinted>
  <dcterms:modified xsi:type="dcterms:W3CDTF">2021-08-13T10:16:43Z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