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p>
    <w:p>
      <w:pPr>
        <w:spacing w:line="660" w:lineRule="exact"/>
        <w:jc w:val="center"/>
        <w:rPr>
          <w:rFonts w:ascii="方正小标宋简体" w:eastAsia="方正小标宋简体"/>
          <w:sz w:val="44"/>
          <w:szCs w:val="44"/>
        </w:rPr>
      </w:pPr>
    </w:p>
    <w:p>
      <w:pPr>
        <w:spacing w:line="660" w:lineRule="exact"/>
        <w:jc w:val="center"/>
        <w:rPr>
          <w:rFonts w:ascii="方正小标宋简体" w:eastAsia="方正小标宋简体"/>
          <w:sz w:val="44"/>
          <w:szCs w:val="44"/>
        </w:rPr>
      </w:pPr>
    </w:p>
    <w:p>
      <w:pPr>
        <w:spacing w:line="660" w:lineRule="exact"/>
        <w:jc w:val="center"/>
        <w:rPr>
          <w:rFonts w:ascii="方正小标宋简体" w:hAnsi="方正小标宋_GBK" w:eastAsia="方正小标宋简体"/>
          <w:sz w:val="44"/>
          <w:szCs w:val="44"/>
        </w:rPr>
      </w:pPr>
      <w:r>
        <w:rPr>
          <w:rFonts w:hint="eastAsia" w:ascii="方正小标宋简体" w:hAnsi="方正小标宋_GBK" w:eastAsia="方正小标宋简体" w:cs="方正小标宋简体"/>
          <w:sz w:val="44"/>
          <w:szCs w:val="44"/>
        </w:rPr>
        <w:t>浙江省取消高速公路省界收费站后</w:t>
      </w:r>
    </w:p>
    <w:p>
      <w:pPr>
        <w:spacing w:line="660" w:lineRule="exact"/>
        <w:jc w:val="center"/>
        <w:rPr>
          <w:rFonts w:ascii="方正小标宋简体" w:hAnsi="方正小标宋_GBK" w:eastAsia="方正小标宋简体"/>
          <w:sz w:val="44"/>
          <w:szCs w:val="44"/>
        </w:rPr>
      </w:pPr>
      <w:r>
        <w:rPr>
          <w:rFonts w:hint="eastAsia" w:ascii="方正小标宋简体" w:hAnsi="方正小标宋_GBK" w:eastAsia="方正小标宋简体" w:cs="方正小标宋简体"/>
          <w:sz w:val="44"/>
          <w:szCs w:val="44"/>
        </w:rPr>
        <w:t>收费公路相关政策调整方案</w:t>
      </w:r>
    </w:p>
    <w:p>
      <w:pPr>
        <w:spacing w:line="660" w:lineRule="exact"/>
        <w:jc w:val="center"/>
        <w:rPr>
          <w:rFonts w:ascii="楷体_GB2312" w:eastAsia="楷体_GB2312"/>
          <w:sz w:val="32"/>
          <w:szCs w:val="32"/>
        </w:rPr>
      </w:pPr>
      <w:r>
        <w:rPr>
          <w:rFonts w:hint="eastAsia" w:ascii="楷体_GB2312" w:eastAsia="楷体_GB2312" w:cs="楷体_GB2312"/>
          <w:sz w:val="32"/>
          <w:szCs w:val="32"/>
        </w:rPr>
        <w:t>（征求意见稿）</w:t>
      </w:r>
    </w:p>
    <w:p>
      <w:pPr>
        <w:adjustRightInd w:val="0"/>
        <w:snapToGrid w:val="0"/>
        <w:spacing w:line="580" w:lineRule="exact"/>
        <w:ind w:firstLine="640" w:firstLineChars="200"/>
        <w:rPr>
          <w:rFonts w:ascii="仿宋_GB2312" w:eastAsia="仿宋_GB2312"/>
          <w:sz w:val="32"/>
          <w:szCs w:val="32"/>
        </w:rPr>
      </w:pPr>
    </w:p>
    <w:p>
      <w:pPr>
        <w:spacing w:line="580" w:lineRule="exact"/>
        <w:ind w:firstLine="645"/>
        <w:rPr>
          <w:rFonts w:eastAsia="仿宋_GB2312"/>
          <w:sz w:val="32"/>
          <w:szCs w:val="32"/>
        </w:rPr>
      </w:pPr>
      <w:r>
        <w:rPr>
          <w:rFonts w:hint="eastAsia" w:ascii="仿宋_GB2312" w:eastAsia="仿宋_GB2312" w:cs="仿宋_GB2312"/>
          <w:sz w:val="32"/>
          <w:szCs w:val="32"/>
        </w:rPr>
        <w:t>为贯彻落实党中央、国务院关于深化收费公路制度改革取消高速公路省界收费站决策部署，根据《国务院</w:t>
      </w:r>
      <w:r>
        <w:rPr>
          <w:rFonts w:hint="eastAsia" w:eastAsia="仿宋_GB2312" w:cs="仿宋_GB2312"/>
          <w:sz w:val="32"/>
          <w:szCs w:val="32"/>
        </w:rPr>
        <w:t>办公厅关于印发深化收费公路制度改革取消高速公路省界收费站实施方案的通知》（国办发〔</w:t>
      </w:r>
      <w:r>
        <w:rPr>
          <w:rFonts w:eastAsia="仿宋_GB2312"/>
          <w:sz w:val="32"/>
          <w:szCs w:val="32"/>
        </w:rPr>
        <w:t>2019</w:t>
      </w:r>
      <w:r>
        <w:rPr>
          <w:rFonts w:hint="eastAsia" w:eastAsia="仿宋_GB2312" w:cs="仿宋_GB2312"/>
          <w:sz w:val="32"/>
          <w:szCs w:val="32"/>
        </w:rPr>
        <w:t>〕</w:t>
      </w:r>
      <w:r>
        <w:rPr>
          <w:rFonts w:eastAsia="仿宋_GB2312"/>
          <w:sz w:val="32"/>
          <w:szCs w:val="32"/>
        </w:rPr>
        <w:t>23</w:t>
      </w:r>
      <w:r>
        <w:rPr>
          <w:rFonts w:hint="eastAsia" w:eastAsia="仿宋_GB2312" w:cs="仿宋_GB2312"/>
          <w:sz w:val="32"/>
          <w:szCs w:val="32"/>
        </w:rPr>
        <w:t>号）和</w:t>
      </w:r>
      <w:r>
        <w:rPr>
          <w:rFonts w:hint="eastAsia" w:ascii="仿宋_GB2312" w:eastAsia="仿宋_GB2312" w:cs="仿宋_GB2312"/>
          <w:sz w:val="32"/>
          <w:szCs w:val="32"/>
        </w:rPr>
        <w:t>交通运输部等国家部委《关于切实做好货车通行费计费方式调整有关工作的通知》（交公路发〔</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93</w:t>
      </w:r>
      <w:r>
        <w:rPr>
          <w:rFonts w:hint="eastAsia" w:ascii="仿宋_GB2312" w:eastAsia="仿宋_GB2312" w:cs="仿宋_GB2312"/>
          <w:sz w:val="32"/>
          <w:szCs w:val="32"/>
        </w:rPr>
        <w:t>号）等系列文件规定，省交通运输厅、省发展改革委、省财政厅联合提出了我省取消高速公路省界收费站后收费公路相关政策调整方案。</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cs="黑体"/>
          <w:sz w:val="32"/>
          <w:szCs w:val="32"/>
        </w:rPr>
        <w:t>一、国家部委相关要求</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一是调整车型分类。自</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日起，收费公路车辆通行费车型分类调整为客车、货车和专项作业车；客车</w:t>
      </w:r>
      <w:r>
        <w:rPr>
          <w:rFonts w:ascii="仿宋_GB2312" w:hAnsi="微软雅黑" w:eastAsia="仿宋_GB2312" w:cs="仿宋_GB2312"/>
          <w:kern w:val="0"/>
          <w:sz w:val="32"/>
          <w:szCs w:val="32"/>
        </w:rPr>
        <w:t>1</w:t>
      </w:r>
      <w:r>
        <w:rPr>
          <w:rFonts w:hint="eastAsia" w:ascii="仿宋_GB2312" w:hAnsi="微软雅黑" w:eastAsia="仿宋_GB2312" w:cs="仿宋_GB2312"/>
          <w:kern w:val="0"/>
          <w:sz w:val="32"/>
          <w:szCs w:val="32"/>
        </w:rPr>
        <w:t>类和</w:t>
      </w:r>
      <w:r>
        <w:rPr>
          <w:rFonts w:ascii="仿宋_GB2312" w:hAnsi="微软雅黑" w:eastAsia="仿宋_GB2312" w:cs="仿宋_GB2312"/>
          <w:kern w:val="0"/>
          <w:sz w:val="32"/>
          <w:szCs w:val="32"/>
        </w:rPr>
        <w:t>2</w:t>
      </w:r>
      <w:r>
        <w:rPr>
          <w:rFonts w:hint="eastAsia" w:ascii="仿宋_GB2312" w:hAnsi="微软雅黑" w:eastAsia="仿宋_GB2312" w:cs="仿宋_GB2312"/>
          <w:kern w:val="0"/>
          <w:sz w:val="32"/>
          <w:szCs w:val="32"/>
        </w:rPr>
        <w:t>类的分类界限值由核定载人数</w:t>
      </w:r>
      <w:r>
        <w:rPr>
          <w:rFonts w:ascii="仿宋_GB2312" w:hAnsi="微软雅黑" w:eastAsia="仿宋_GB2312" w:cs="仿宋_GB2312"/>
          <w:kern w:val="0"/>
          <w:sz w:val="32"/>
          <w:szCs w:val="32"/>
        </w:rPr>
        <w:t>7</w:t>
      </w:r>
      <w:r>
        <w:rPr>
          <w:rFonts w:hint="eastAsia" w:ascii="仿宋_GB2312" w:hAnsi="微软雅黑" w:eastAsia="仿宋_GB2312" w:cs="仿宋_GB2312"/>
          <w:kern w:val="0"/>
          <w:sz w:val="32"/>
          <w:szCs w:val="32"/>
        </w:rPr>
        <w:t>人修订为</w:t>
      </w:r>
      <w:r>
        <w:rPr>
          <w:rFonts w:ascii="仿宋_GB2312" w:hAnsi="微软雅黑" w:eastAsia="仿宋_GB2312" w:cs="仿宋_GB2312"/>
          <w:kern w:val="0"/>
          <w:sz w:val="32"/>
          <w:szCs w:val="32"/>
        </w:rPr>
        <w:t>9</w:t>
      </w:r>
      <w:r>
        <w:rPr>
          <w:rFonts w:hint="eastAsia" w:ascii="仿宋_GB2312" w:hAnsi="微软雅黑" w:eastAsia="仿宋_GB2312" w:cs="仿宋_GB2312"/>
          <w:kern w:val="0"/>
          <w:sz w:val="32"/>
          <w:szCs w:val="32"/>
        </w:rPr>
        <w:t>人；</w:t>
      </w:r>
      <w:r>
        <w:rPr>
          <w:rFonts w:hint="eastAsia" w:ascii="仿宋_GB2312" w:eastAsia="仿宋_GB2312" w:cs="仿宋_GB2312"/>
          <w:sz w:val="32"/>
          <w:szCs w:val="32"/>
        </w:rPr>
        <w:t>货车和专项作业车由按</w:t>
      </w:r>
      <w:r>
        <w:rPr>
          <w:rFonts w:hint="eastAsia" w:ascii="仿宋_GB2312" w:hAnsi="黑体" w:eastAsia="仿宋_GB2312" w:cs="仿宋_GB2312"/>
          <w:kern w:val="0"/>
          <w:sz w:val="32"/>
          <w:szCs w:val="32"/>
        </w:rPr>
        <w:t>核定</w:t>
      </w:r>
      <w:r>
        <w:rPr>
          <w:rFonts w:hint="eastAsia" w:ascii="仿宋_GB2312" w:eastAsia="仿宋_GB2312" w:cs="仿宋_GB2312"/>
          <w:sz w:val="32"/>
          <w:szCs w:val="32"/>
        </w:rPr>
        <w:t>载质量分</w:t>
      </w:r>
      <w:r>
        <w:rPr>
          <w:rFonts w:ascii="仿宋_GB2312" w:eastAsia="仿宋_GB2312" w:cs="仿宋_GB2312"/>
          <w:sz w:val="32"/>
          <w:szCs w:val="32"/>
        </w:rPr>
        <w:t>5</w:t>
      </w:r>
      <w:r>
        <w:rPr>
          <w:rFonts w:hint="eastAsia" w:ascii="仿宋_GB2312" w:eastAsia="仿宋_GB2312" w:cs="仿宋_GB2312"/>
          <w:sz w:val="32"/>
          <w:szCs w:val="32"/>
        </w:rPr>
        <w:t>类调整为按</w:t>
      </w:r>
      <w:r>
        <w:rPr>
          <w:rFonts w:hint="eastAsia" w:ascii="仿宋_GB2312" w:hAnsi="微软雅黑" w:eastAsia="仿宋_GB2312" w:cs="仿宋_GB2312"/>
          <w:kern w:val="0"/>
          <w:sz w:val="32"/>
          <w:szCs w:val="32"/>
        </w:rPr>
        <w:t>总轴数、车长和最大允许总质量</w:t>
      </w:r>
      <w:r>
        <w:rPr>
          <w:rFonts w:hint="eastAsia" w:ascii="仿宋_GB2312" w:eastAsia="仿宋_GB2312" w:cs="仿宋_GB2312"/>
          <w:sz w:val="32"/>
          <w:szCs w:val="32"/>
        </w:rPr>
        <w:t>分</w:t>
      </w:r>
      <w:r>
        <w:rPr>
          <w:rFonts w:ascii="仿宋_GB2312" w:eastAsia="仿宋_GB2312" w:cs="仿宋_GB2312"/>
          <w:sz w:val="32"/>
          <w:szCs w:val="32"/>
        </w:rPr>
        <w:t>6</w:t>
      </w:r>
      <w:r>
        <w:rPr>
          <w:rFonts w:hint="eastAsia" w:ascii="仿宋_GB2312" w:eastAsia="仿宋_GB2312" w:cs="仿宋_GB2312"/>
          <w:sz w:val="32"/>
          <w:szCs w:val="32"/>
        </w:rPr>
        <w:t>类。</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二是通行费由按行程出口计费改为分段计费、扣费。</w:t>
      </w:r>
      <w:r>
        <w:rPr>
          <w:rFonts w:ascii="仿宋_GB2312" w:eastAsia="仿宋_GB2312" w:cs="仿宋_GB2312"/>
          <w:sz w:val="32"/>
          <w:szCs w:val="32"/>
        </w:rPr>
        <w:t>ETC</w:t>
      </w:r>
      <w:r>
        <w:rPr>
          <w:rFonts w:hint="eastAsia" w:ascii="仿宋_GB2312" w:eastAsia="仿宋_GB2312" w:cs="仿宋_GB2312"/>
          <w:sz w:val="32"/>
          <w:szCs w:val="32"/>
        </w:rPr>
        <w:t>记账卡用户实行“分段计费，通过车载单元（</w:t>
      </w:r>
      <w:r>
        <w:rPr>
          <w:rFonts w:ascii="仿宋_GB2312" w:eastAsia="仿宋_GB2312" w:cs="仿宋_GB2312"/>
          <w:sz w:val="32"/>
          <w:szCs w:val="32"/>
        </w:rPr>
        <w:t>OBU</w:t>
      </w:r>
      <w:r>
        <w:rPr>
          <w:rFonts w:hint="eastAsia" w:ascii="仿宋_GB2312" w:eastAsia="仿宋_GB2312" w:cs="仿宋_GB2312"/>
          <w:sz w:val="32"/>
          <w:szCs w:val="32"/>
        </w:rPr>
        <w:t>）和后台记账形式自动完成扣费”；</w:t>
      </w:r>
      <w:r>
        <w:rPr>
          <w:rFonts w:ascii="仿宋_GB2312" w:eastAsia="仿宋_GB2312" w:cs="仿宋_GB2312"/>
          <w:sz w:val="32"/>
          <w:szCs w:val="32"/>
        </w:rPr>
        <w:t>ETC</w:t>
      </w:r>
      <w:r>
        <w:rPr>
          <w:rFonts w:hint="eastAsia" w:ascii="仿宋_GB2312" w:eastAsia="仿宋_GB2312" w:cs="仿宋_GB2312"/>
          <w:sz w:val="32"/>
          <w:szCs w:val="32"/>
        </w:rPr>
        <w:t>储值卡用户实行“分段计费，实时扣费（扣除卡面余额）”。人工收费车辆实行“入口领卡，分段计费，出口交卡收费”。</w:t>
      </w:r>
    </w:p>
    <w:p>
      <w:pPr>
        <w:adjustRightInd w:val="0"/>
        <w:snapToGrid w:val="0"/>
        <w:spacing w:line="580" w:lineRule="exact"/>
        <w:ind w:firstLine="640" w:firstLineChars="200"/>
        <w:rPr>
          <w:rFonts w:ascii="仿宋_GB2312" w:eastAsia="仿宋_GB2312"/>
          <w:spacing w:val="-6"/>
          <w:sz w:val="32"/>
          <w:szCs w:val="32"/>
        </w:rPr>
      </w:pPr>
      <w:r>
        <w:rPr>
          <w:rFonts w:hint="eastAsia" w:ascii="仿宋_GB2312" w:eastAsia="仿宋_GB2312" w:cs="仿宋_GB2312"/>
          <w:sz w:val="32"/>
          <w:szCs w:val="32"/>
        </w:rPr>
        <w:t>三是调整货车通行费定价机制和计费方式。</w:t>
      </w:r>
      <w:r>
        <w:rPr>
          <w:rFonts w:hint="eastAsia" w:ascii="仿宋_GB2312" w:eastAsia="仿宋_GB2312" w:cs="仿宋_GB2312"/>
          <w:spacing w:val="-6"/>
          <w:sz w:val="32"/>
          <w:szCs w:val="32"/>
        </w:rPr>
        <w:t>从</w:t>
      </w:r>
      <w:r>
        <w:rPr>
          <w:rFonts w:ascii="仿宋_GB2312" w:eastAsia="仿宋_GB2312" w:cs="仿宋_GB2312"/>
          <w:spacing w:val="-6"/>
          <w:sz w:val="32"/>
          <w:szCs w:val="32"/>
        </w:rPr>
        <w:t>2020</w:t>
      </w:r>
      <w:r>
        <w:rPr>
          <w:rFonts w:hint="eastAsia" w:ascii="仿宋_GB2312" w:eastAsia="仿宋_GB2312" w:cs="仿宋_GB2312"/>
          <w:spacing w:val="-6"/>
          <w:sz w:val="32"/>
          <w:szCs w:val="32"/>
        </w:rPr>
        <w:t>年</w:t>
      </w:r>
      <w:r>
        <w:rPr>
          <w:rFonts w:ascii="仿宋_GB2312" w:eastAsia="仿宋_GB2312" w:cs="仿宋_GB2312"/>
          <w:spacing w:val="-6"/>
          <w:sz w:val="32"/>
          <w:szCs w:val="32"/>
        </w:rPr>
        <w:t>1</w:t>
      </w:r>
      <w:r>
        <w:rPr>
          <w:rFonts w:hint="eastAsia" w:ascii="仿宋_GB2312" w:eastAsia="仿宋_GB2312" w:cs="仿宋_GB2312"/>
          <w:spacing w:val="-6"/>
          <w:sz w:val="32"/>
          <w:szCs w:val="32"/>
        </w:rPr>
        <w:t>月</w:t>
      </w:r>
      <w:r>
        <w:rPr>
          <w:rFonts w:ascii="仿宋_GB2312" w:eastAsia="仿宋_GB2312" w:cs="仿宋_GB2312"/>
          <w:spacing w:val="-6"/>
          <w:sz w:val="32"/>
          <w:szCs w:val="32"/>
        </w:rPr>
        <w:t>1</w:t>
      </w:r>
      <w:r>
        <w:rPr>
          <w:rFonts w:hint="eastAsia" w:ascii="仿宋_GB2312" w:eastAsia="仿宋_GB2312" w:cs="仿宋_GB2312"/>
          <w:spacing w:val="-6"/>
          <w:sz w:val="32"/>
          <w:szCs w:val="32"/>
        </w:rPr>
        <w:t>日起，货车由计重收费改为按车（轴）型收费，相应调整货车通行费定价机制。</w:t>
      </w:r>
    </w:p>
    <w:p>
      <w:pPr>
        <w:spacing w:line="580" w:lineRule="exact"/>
        <w:ind w:firstLine="720" w:firstLineChars="225"/>
        <w:rPr>
          <w:rFonts w:ascii="黑体" w:hAnsi="黑体" w:eastAsia="黑体"/>
          <w:sz w:val="32"/>
          <w:szCs w:val="32"/>
        </w:rPr>
      </w:pPr>
      <w:r>
        <w:rPr>
          <w:rFonts w:hint="eastAsia" w:ascii="黑体" w:hAnsi="黑体" w:eastAsia="黑体" w:cs="黑体"/>
          <w:sz w:val="32"/>
          <w:szCs w:val="32"/>
        </w:rPr>
        <w:t>二、调整原则</w:t>
      </w:r>
    </w:p>
    <w:p>
      <w:pPr>
        <w:spacing w:line="580" w:lineRule="exact"/>
        <w:ind w:firstLine="640" w:firstLineChars="200"/>
        <w:rPr>
          <w:rFonts w:ascii="仿宋_GB2312" w:eastAsia="仿宋_GB2312"/>
          <w:sz w:val="32"/>
          <w:szCs w:val="32"/>
        </w:rPr>
      </w:pPr>
      <w:r>
        <w:rPr>
          <w:rFonts w:hint="eastAsia" w:ascii="仿宋_GB2312" w:hAnsi="仿宋" w:eastAsia="仿宋_GB2312" w:cs="仿宋_GB2312"/>
          <w:kern w:val="0"/>
          <w:sz w:val="32"/>
          <w:szCs w:val="32"/>
        </w:rPr>
        <w:t>一是保持总体平衡。现行高速公路收费政策体系基本不变，</w:t>
      </w:r>
      <w:r>
        <w:rPr>
          <w:rStyle w:val="9"/>
          <w:rFonts w:hint="eastAsia" w:ascii="仿宋_GB2312" w:eastAsia="仿宋_GB2312" w:cs="仿宋_GB2312"/>
          <w:sz w:val="32"/>
          <w:szCs w:val="32"/>
        </w:rPr>
        <w:t>对不适应交通运输部取消高速公路省界收费站总体技术方案的内容进行必要调整，</w:t>
      </w:r>
      <w:r>
        <w:rPr>
          <w:rFonts w:hint="eastAsia" w:ascii="仿宋_GB2312" w:eastAsia="仿宋_GB2312" w:cs="仿宋_GB2312"/>
          <w:sz w:val="32"/>
          <w:szCs w:val="32"/>
        </w:rPr>
        <w:t>以实现新旧定价机制和计费方式的平衡并有序过渡</w:t>
      </w:r>
      <w:r>
        <w:rPr>
          <w:rFonts w:hint="eastAsia" w:eastAsia="仿宋_GB2312" w:cs="仿宋_GB2312"/>
          <w:sz w:val="32"/>
          <w:szCs w:val="32"/>
        </w:rPr>
        <w:t>。</w:t>
      </w:r>
    </w:p>
    <w:p>
      <w:pPr>
        <w:spacing w:line="580" w:lineRule="exact"/>
        <w:ind w:firstLine="640" w:firstLineChars="200"/>
        <w:rPr>
          <w:rFonts w:ascii="仿宋_GB2312" w:hAnsi="宋体" w:eastAsia="仿宋_GB2312"/>
          <w:sz w:val="32"/>
          <w:szCs w:val="32"/>
        </w:rPr>
      </w:pPr>
      <w:r>
        <w:rPr>
          <w:rFonts w:hint="eastAsia" w:ascii="仿宋_GB2312" w:eastAsia="仿宋_GB2312" w:cs="仿宋_GB2312"/>
          <w:sz w:val="32"/>
          <w:szCs w:val="32"/>
        </w:rPr>
        <w:t>二是</w:t>
      </w:r>
      <w:r>
        <w:rPr>
          <w:rFonts w:hint="eastAsia" w:ascii="仿宋_GB2312" w:hAnsi="仿宋" w:eastAsia="仿宋_GB2312" w:cs="仿宋_GB2312"/>
          <w:kern w:val="0"/>
          <w:sz w:val="32"/>
          <w:szCs w:val="32"/>
        </w:rPr>
        <w:t>促进</w:t>
      </w:r>
      <w:r>
        <w:rPr>
          <w:rFonts w:ascii="仿宋_GB2312" w:hAnsi="仿宋" w:eastAsia="仿宋_GB2312" w:cs="仿宋_GB2312"/>
          <w:kern w:val="0"/>
          <w:sz w:val="32"/>
          <w:szCs w:val="32"/>
        </w:rPr>
        <w:t>ETC</w:t>
      </w:r>
      <w:r>
        <w:rPr>
          <w:rFonts w:hint="eastAsia" w:ascii="仿宋_GB2312" w:hAnsi="仿宋" w:eastAsia="仿宋_GB2312" w:cs="仿宋_GB2312"/>
          <w:kern w:val="0"/>
          <w:sz w:val="32"/>
          <w:szCs w:val="32"/>
        </w:rPr>
        <w:t>发展。围绕</w:t>
      </w:r>
      <w:r>
        <w:rPr>
          <w:rFonts w:ascii="仿宋_GB2312" w:hAnsi="仿宋" w:eastAsia="仿宋_GB2312" w:cs="仿宋_GB2312"/>
          <w:kern w:val="0"/>
          <w:sz w:val="32"/>
          <w:szCs w:val="32"/>
        </w:rPr>
        <w:t>ETC</w:t>
      </w:r>
      <w:r>
        <w:rPr>
          <w:rFonts w:hint="eastAsia" w:ascii="仿宋_GB2312" w:hAnsi="仿宋" w:eastAsia="仿宋_GB2312" w:cs="仿宋_GB2312"/>
          <w:kern w:val="0"/>
          <w:sz w:val="32"/>
          <w:szCs w:val="32"/>
        </w:rPr>
        <w:t>发展目标，</w:t>
      </w:r>
      <w:r>
        <w:rPr>
          <w:rFonts w:hint="eastAsia" w:ascii="仿宋_GB2312" w:hAnsi="宋体" w:eastAsia="仿宋_GB2312" w:cs="仿宋_GB2312"/>
          <w:sz w:val="32"/>
          <w:szCs w:val="32"/>
        </w:rPr>
        <w:t>依托</w:t>
      </w:r>
      <w:r>
        <w:rPr>
          <w:rFonts w:ascii="仿宋_GB2312" w:hAnsi="宋体" w:eastAsia="仿宋_GB2312" w:cs="仿宋_GB2312"/>
          <w:sz w:val="32"/>
          <w:szCs w:val="32"/>
        </w:rPr>
        <w:t>ETC</w:t>
      </w:r>
      <w:r>
        <w:rPr>
          <w:rFonts w:hint="eastAsia" w:ascii="仿宋_GB2312" w:hAnsi="宋体" w:eastAsia="仿宋_GB2312" w:cs="仿宋_GB2312"/>
          <w:sz w:val="32"/>
          <w:szCs w:val="32"/>
        </w:rPr>
        <w:t>技术，优化完善通行费减免政策和实施差异化收费政策，加大</w:t>
      </w:r>
      <w:r>
        <w:rPr>
          <w:rFonts w:ascii="仿宋_GB2312" w:hAnsi="宋体" w:eastAsia="仿宋_GB2312" w:cs="仿宋_GB2312"/>
          <w:sz w:val="32"/>
          <w:szCs w:val="32"/>
        </w:rPr>
        <w:t>ETC</w:t>
      </w:r>
      <w:r>
        <w:rPr>
          <w:rFonts w:hint="eastAsia" w:ascii="仿宋_GB2312" w:hAnsi="宋体" w:eastAsia="仿宋_GB2312" w:cs="仿宋_GB2312"/>
          <w:sz w:val="32"/>
          <w:szCs w:val="32"/>
        </w:rPr>
        <w:t>车辆通行费优惠力度，吸引用户主动办理</w:t>
      </w:r>
      <w:r>
        <w:rPr>
          <w:rFonts w:ascii="仿宋_GB2312" w:hAnsi="宋体" w:eastAsia="仿宋_GB2312" w:cs="仿宋_GB2312"/>
          <w:sz w:val="32"/>
          <w:szCs w:val="32"/>
        </w:rPr>
        <w:t>ETC</w:t>
      </w:r>
      <w:r>
        <w:rPr>
          <w:rFonts w:hint="eastAsia" w:ascii="仿宋_GB2312" w:hAnsi="宋体" w:eastAsia="仿宋_GB2312" w:cs="仿宋_GB2312"/>
          <w:sz w:val="32"/>
          <w:szCs w:val="32"/>
        </w:rPr>
        <w:t>。</w:t>
      </w:r>
    </w:p>
    <w:p>
      <w:pPr>
        <w:spacing w:line="580" w:lineRule="exact"/>
        <w:ind w:firstLine="640" w:firstLineChars="200"/>
        <w:rPr>
          <w:rFonts w:ascii="仿宋_GB2312" w:eastAsia="仿宋_GB2312"/>
          <w:sz w:val="32"/>
          <w:szCs w:val="32"/>
        </w:rPr>
      </w:pPr>
      <w:r>
        <w:rPr>
          <w:rFonts w:hint="eastAsia" w:ascii="仿宋_GB2312" w:hAnsi="宋体" w:eastAsia="仿宋_GB2312" w:cs="仿宋_GB2312"/>
          <w:sz w:val="32"/>
          <w:szCs w:val="32"/>
        </w:rPr>
        <w:t>三是优惠力度不减。在交通运输部取消高速公路省界收费站总体技术方案下，尽可能保留现已实施的优惠政策。</w:t>
      </w:r>
    </w:p>
    <w:p>
      <w:pPr>
        <w:spacing w:line="580" w:lineRule="exact"/>
        <w:ind w:firstLine="720" w:firstLineChars="225"/>
        <w:rPr>
          <w:rFonts w:ascii="黑体" w:hAnsi="黑体" w:eastAsia="黑体"/>
          <w:kern w:val="0"/>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、调整内容</w:t>
      </w:r>
    </w:p>
    <w:p>
      <w:pPr>
        <w:spacing w:line="580" w:lineRule="exact"/>
        <w:ind w:firstLine="645"/>
        <w:rPr>
          <w:rFonts w:ascii="仿宋_GB2312" w:hAnsi="微软雅黑" w:eastAsia="仿宋_GB2312"/>
          <w:kern w:val="0"/>
          <w:sz w:val="32"/>
          <w:szCs w:val="32"/>
        </w:rPr>
      </w:pPr>
      <w:r>
        <w:rPr>
          <w:rFonts w:hint="eastAsia" w:ascii="楷体_GB2312" w:eastAsia="楷体_GB2312" w:cs="楷体_GB2312"/>
          <w:sz w:val="32"/>
          <w:szCs w:val="32"/>
        </w:rPr>
        <w:t>（一）调整车型分类。</w:t>
      </w:r>
      <w:r>
        <w:rPr>
          <w:rFonts w:hint="eastAsia" w:ascii="仿宋_GB2312" w:hAnsi="黑体" w:eastAsia="仿宋_GB2312" w:cs="仿宋_GB2312"/>
          <w:kern w:val="0"/>
          <w:sz w:val="32"/>
          <w:szCs w:val="32"/>
        </w:rPr>
        <w:t>调整高速公路一、二类</w:t>
      </w:r>
      <w:r>
        <w:rPr>
          <w:rFonts w:hint="eastAsia" w:ascii="仿宋_GB2312" w:hAnsi="黑体" w:eastAsia="仿宋_GB2312" w:cs="仿宋_GB2312"/>
          <w:sz w:val="32"/>
          <w:szCs w:val="32"/>
        </w:rPr>
        <w:t>客车</w:t>
      </w:r>
      <w:r>
        <w:rPr>
          <w:rFonts w:hint="eastAsia" w:ascii="仿宋_GB2312" w:hAnsi="黑体" w:eastAsia="仿宋_GB2312" w:cs="仿宋_GB2312"/>
          <w:kern w:val="0"/>
          <w:sz w:val="32"/>
          <w:szCs w:val="32"/>
        </w:rPr>
        <w:t>车型分类，一类车从现</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座调整为≤</w:t>
      </w: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座，相应调整二类客车分类，其他不变。货车由</w:t>
      </w:r>
      <w:r>
        <w:rPr>
          <w:rFonts w:hint="eastAsia" w:ascii="仿宋_GB2312" w:hAnsi="黑体" w:eastAsia="仿宋_GB2312" w:cs="仿宋_GB2312"/>
          <w:kern w:val="0"/>
          <w:sz w:val="32"/>
          <w:szCs w:val="32"/>
        </w:rPr>
        <w:t>按核定载质量分</w:t>
      </w:r>
      <w:r>
        <w:rPr>
          <w:rFonts w:ascii="仿宋_GB2312" w:hAnsi="黑体" w:eastAsia="仿宋_GB2312" w:cs="仿宋_GB2312"/>
          <w:kern w:val="0"/>
          <w:sz w:val="32"/>
          <w:szCs w:val="32"/>
        </w:rPr>
        <w:t>5</w:t>
      </w:r>
      <w:r>
        <w:rPr>
          <w:rFonts w:hint="eastAsia" w:ascii="仿宋_GB2312" w:hAnsi="黑体" w:eastAsia="仿宋_GB2312" w:cs="仿宋_GB2312"/>
          <w:kern w:val="0"/>
          <w:sz w:val="32"/>
          <w:szCs w:val="32"/>
        </w:rPr>
        <w:t>类调整为按车轴数和最大</w:t>
      </w:r>
      <w:r>
        <w:rPr>
          <w:rFonts w:hint="eastAsia" w:ascii="仿宋_GB2312" w:hAnsi="微软雅黑" w:eastAsia="仿宋_GB2312" w:cs="仿宋_GB2312"/>
          <w:kern w:val="0"/>
          <w:sz w:val="32"/>
          <w:szCs w:val="32"/>
        </w:rPr>
        <w:t>允许总质量等分</w:t>
      </w:r>
      <w:r>
        <w:rPr>
          <w:rFonts w:ascii="仿宋_GB2312" w:hAnsi="微软雅黑" w:eastAsia="仿宋_GB2312" w:cs="仿宋_GB2312"/>
          <w:kern w:val="0"/>
          <w:sz w:val="32"/>
          <w:szCs w:val="32"/>
        </w:rPr>
        <w:t>6</w:t>
      </w:r>
      <w:r>
        <w:rPr>
          <w:rFonts w:hint="eastAsia" w:ascii="仿宋_GB2312" w:hAnsi="微软雅黑" w:eastAsia="仿宋_GB2312" w:cs="仿宋_GB2312"/>
          <w:kern w:val="0"/>
          <w:sz w:val="32"/>
          <w:szCs w:val="32"/>
        </w:rPr>
        <w:t>类。</w:t>
      </w:r>
    </w:p>
    <w:p>
      <w:pPr>
        <w:spacing w:line="580" w:lineRule="exact"/>
        <w:ind w:firstLine="720" w:firstLineChars="225"/>
        <w:rPr>
          <w:rFonts w:ascii="仿宋_GB2312" w:hAnsi="微软雅黑" w:eastAsia="仿宋_GB2312"/>
          <w:kern w:val="0"/>
          <w:sz w:val="32"/>
          <w:szCs w:val="32"/>
        </w:rPr>
      </w:pPr>
      <w:r>
        <w:rPr>
          <w:rFonts w:hint="eastAsia" w:ascii="楷体_GB2312" w:hAnsi="微软雅黑" w:eastAsia="楷体_GB2312" w:cs="楷体_GB2312"/>
          <w:kern w:val="0"/>
          <w:sz w:val="32"/>
          <w:szCs w:val="32"/>
        </w:rPr>
        <w:t>（二）调整货车定价机制及计费方式。</w:t>
      </w:r>
      <w:r>
        <w:rPr>
          <w:rFonts w:hint="eastAsia" w:ascii="仿宋_GB2312" w:hAnsi="微软雅黑" w:eastAsia="仿宋_GB2312" w:cs="仿宋_GB2312"/>
          <w:kern w:val="0"/>
          <w:sz w:val="32"/>
          <w:szCs w:val="32"/>
        </w:rPr>
        <w:t>货车由计重收费改为按车型收费，计费公式拟为：</w:t>
      </w:r>
      <w:r>
        <w:rPr>
          <w:rFonts w:hint="eastAsia" w:ascii="仿宋_GB2312" w:eastAsia="仿宋_GB2312" w:cs="仿宋_GB2312"/>
          <w:snapToGrid w:val="0"/>
          <w:kern w:val="0"/>
          <w:sz w:val="32"/>
          <w:szCs w:val="32"/>
        </w:rPr>
        <w:t>货车车辆通行费</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车公里费率×车辆实际行驶里程数</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隧道（桥梁）叠加通行费。</w:t>
      </w:r>
    </w:p>
    <w:p>
      <w:pPr>
        <w:spacing w:line="580" w:lineRule="exact"/>
        <w:ind w:firstLine="645"/>
        <w:rPr>
          <w:rFonts w:ascii="仿宋_GB2312" w:eastAsia="仿宋_GB2312"/>
          <w:sz w:val="32"/>
          <w:szCs w:val="32"/>
        </w:rPr>
      </w:pPr>
      <w:r>
        <w:rPr>
          <w:rFonts w:hint="eastAsia" w:eastAsia="仿宋_GB2312" w:cs="仿宋_GB2312"/>
          <w:sz w:val="32"/>
          <w:szCs w:val="32"/>
        </w:rPr>
        <w:t>按照费率平移和等效转换原则，</w:t>
      </w:r>
      <w:r>
        <w:rPr>
          <w:rFonts w:hint="eastAsia" w:ascii="仿宋_GB2312" w:hAnsi="微软雅黑" w:eastAsia="仿宋_GB2312" w:cs="仿宋_GB2312"/>
          <w:kern w:val="0"/>
          <w:sz w:val="32"/>
          <w:szCs w:val="32"/>
        </w:rPr>
        <w:t>以</w:t>
      </w:r>
      <w:r>
        <w:rPr>
          <w:rFonts w:ascii="仿宋_GB2312" w:hAnsi="微软雅黑" w:eastAsia="仿宋_GB2312" w:cs="仿宋_GB2312"/>
          <w:kern w:val="0"/>
          <w:sz w:val="32"/>
          <w:szCs w:val="32"/>
        </w:rPr>
        <w:t>2019</w:t>
      </w:r>
      <w:r>
        <w:rPr>
          <w:rFonts w:hint="eastAsia" w:ascii="仿宋_GB2312" w:hAnsi="微软雅黑" w:eastAsia="仿宋_GB2312" w:cs="仿宋_GB2312"/>
          <w:kern w:val="0"/>
          <w:sz w:val="32"/>
          <w:szCs w:val="32"/>
        </w:rPr>
        <w:t>年</w:t>
      </w:r>
      <w:r>
        <w:rPr>
          <w:rFonts w:ascii="仿宋_GB2312" w:hAnsi="微软雅黑" w:eastAsia="仿宋_GB2312" w:cs="仿宋_GB2312"/>
          <w:kern w:val="0"/>
          <w:sz w:val="32"/>
          <w:szCs w:val="32"/>
        </w:rPr>
        <w:t>1-6</w:t>
      </w:r>
      <w:r>
        <w:rPr>
          <w:rFonts w:hint="eastAsia" w:ascii="仿宋_GB2312" w:hAnsi="微软雅黑" w:eastAsia="仿宋_GB2312" w:cs="仿宋_GB2312"/>
          <w:kern w:val="0"/>
          <w:sz w:val="32"/>
          <w:szCs w:val="32"/>
        </w:rPr>
        <w:t>月全省高速公路网货车通行流水数据为基础，剔除超限运输加收的通行费后，</w:t>
      </w:r>
      <w:r>
        <w:rPr>
          <w:rFonts w:ascii="仿宋_GB2312" w:eastAsia="仿宋_GB2312" w:cs="仿宋_GB2312"/>
          <w:snapToGrid w:val="0"/>
          <w:kern w:val="0"/>
          <w:sz w:val="32"/>
          <w:szCs w:val="32"/>
        </w:rPr>
        <w:t>1-6</w:t>
      </w:r>
      <w:r>
        <w:rPr>
          <w:rFonts w:hint="eastAsia" w:ascii="仿宋_GB2312" w:eastAsia="仿宋_GB2312" w:cs="仿宋_GB2312"/>
          <w:snapToGrid w:val="0"/>
          <w:kern w:val="0"/>
          <w:sz w:val="32"/>
          <w:szCs w:val="32"/>
        </w:rPr>
        <w:t>类货车车公里费率拟为</w:t>
      </w:r>
      <w:r>
        <w:rPr>
          <w:rFonts w:ascii="仿宋_GB2312" w:eastAsia="仿宋_GB2312" w:cs="仿宋_GB2312"/>
          <w:snapToGrid w:val="0"/>
          <w:kern w:val="0"/>
          <w:sz w:val="32"/>
          <w:szCs w:val="32"/>
        </w:rPr>
        <w:t>0.450</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w:t>
      </w:r>
      <w:r>
        <w:rPr>
          <w:rFonts w:ascii="仿宋_GB2312" w:eastAsia="仿宋_GB2312" w:cs="仿宋_GB2312"/>
          <w:snapToGrid w:val="0"/>
          <w:kern w:val="0"/>
          <w:sz w:val="32"/>
          <w:szCs w:val="32"/>
        </w:rPr>
        <w:t>0.841</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w:t>
      </w:r>
      <w:r>
        <w:rPr>
          <w:rFonts w:ascii="仿宋_GB2312" w:eastAsia="仿宋_GB2312" w:cs="仿宋_GB2312"/>
          <w:snapToGrid w:val="0"/>
          <w:kern w:val="0"/>
          <w:sz w:val="32"/>
          <w:szCs w:val="32"/>
        </w:rPr>
        <w:t>1.321</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w:t>
      </w:r>
      <w:r>
        <w:rPr>
          <w:rFonts w:ascii="仿宋_GB2312" w:eastAsia="仿宋_GB2312" w:cs="仿宋_GB2312"/>
          <w:snapToGrid w:val="0"/>
          <w:kern w:val="0"/>
          <w:sz w:val="32"/>
          <w:szCs w:val="32"/>
        </w:rPr>
        <w:t>1.639</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w:t>
      </w:r>
      <w:r>
        <w:rPr>
          <w:rFonts w:ascii="仿宋_GB2312" w:eastAsia="仿宋_GB2312" w:cs="仿宋_GB2312"/>
          <w:snapToGrid w:val="0"/>
          <w:kern w:val="0"/>
          <w:sz w:val="32"/>
          <w:szCs w:val="32"/>
        </w:rPr>
        <w:t>1.675</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公里和</w:t>
      </w:r>
      <w:r>
        <w:rPr>
          <w:rFonts w:ascii="仿宋_GB2312" w:eastAsia="仿宋_GB2312" w:cs="仿宋_GB2312"/>
          <w:snapToGrid w:val="0"/>
          <w:kern w:val="0"/>
          <w:sz w:val="32"/>
          <w:szCs w:val="32"/>
        </w:rPr>
        <w:t>1.747</w:t>
      </w:r>
      <w:r>
        <w:rPr>
          <w:rFonts w:hint="eastAsia" w:ascii="仿宋_GB2312" w:eastAsia="仿宋_GB2312" w:cs="仿宋_GB2312"/>
          <w:snapToGrid w:val="0"/>
          <w:kern w:val="0"/>
          <w:sz w:val="32"/>
          <w:szCs w:val="32"/>
        </w:rPr>
        <w:t>元</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车</w:t>
      </w:r>
      <w:r>
        <w:rPr>
          <w:rFonts w:ascii="仿宋_GB2312" w:eastAsia="仿宋_GB2312"/>
          <w:snapToGrid w:val="0"/>
          <w:kern w:val="0"/>
          <w:sz w:val="32"/>
          <w:szCs w:val="32"/>
        </w:rPr>
        <w:t>·</w:t>
      </w:r>
      <w:r>
        <w:rPr>
          <w:rFonts w:hint="eastAsia" w:ascii="仿宋_GB2312" w:eastAsia="仿宋_GB2312" w:cs="仿宋_GB2312"/>
          <w:snapToGrid w:val="0"/>
          <w:kern w:val="0"/>
          <w:sz w:val="32"/>
          <w:szCs w:val="32"/>
        </w:rPr>
        <w:t>公里。</w:t>
      </w:r>
      <w:r>
        <w:rPr>
          <w:rFonts w:hint="eastAsia" w:ascii="仿宋_GB2312" w:eastAsia="仿宋_GB2312" w:cs="仿宋_GB2312"/>
          <w:sz w:val="32"/>
          <w:szCs w:val="32"/>
        </w:rPr>
        <w:t>专业作业车按照货车执行。</w:t>
      </w:r>
    </w:p>
    <w:p>
      <w:pPr>
        <w:tabs>
          <w:tab w:val="center" w:pos="4670"/>
        </w:tabs>
        <w:spacing w:line="580" w:lineRule="exact"/>
        <w:ind w:firstLine="720" w:firstLineChars="225"/>
        <w:rPr>
          <w:rFonts w:ascii="仿宋_GB2312" w:eastAsia="仿宋_GB2312"/>
          <w:sz w:val="32"/>
          <w:szCs w:val="32"/>
        </w:rPr>
      </w:pPr>
      <w:r>
        <w:rPr>
          <w:rFonts w:hint="eastAsia" w:ascii="楷体_GB2312" w:eastAsia="楷体_GB2312" w:cs="楷体_GB2312"/>
          <w:sz w:val="32"/>
          <w:szCs w:val="32"/>
        </w:rPr>
        <w:t>（三）其他政策。</w:t>
      </w:r>
      <w:r>
        <w:rPr>
          <w:rFonts w:hint="eastAsia" w:ascii="仿宋_GB2312" w:eastAsia="仿宋_GB2312" w:cs="仿宋_GB2312"/>
          <w:kern w:val="0"/>
          <w:sz w:val="32"/>
          <w:szCs w:val="32"/>
        </w:rPr>
        <w:t>一是调整国际标准集装箱运输车辆通行费优惠政策。</w:t>
      </w:r>
      <w:r>
        <w:rPr>
          <w:rFonts w:hint="eastAsia" w:ascii="仿宋_GB2312" w:eastAsia="仿宋_GB2312" w:cs="仿宋_GB2312"/>
          <w:sz w:val="32"/>
          <w:szCs w:val="32"/>
        </w:rPr>
        <w:t>简化集装箱车型分类，</w:t>
      </w:r>
      <w:r>
        <w:rPr>
          <w:rFonts w:hint="eastAsia" w:ascii="仿宋_GB2312" w:hAnsi="黑体" w:eastAsia="仿宋_GB2312" w:cs="仿宋_GB2312"/>
          <w:sz w:val="32"/>
          <w:szCs w:val="32"/>
        </w:rPr>
        <w:t>即运输</w:t>
      </w:r>
      <w:r>
        <w:rPr>
          <w:rFonts w:ascii="仿宋_GB2312" w:hAnsi="黑体" w:eastAsia="仿宋_GB2312" w:cs="仿宋_GB2312"/>
          <w:sz w:val="32"/>
          <w:szCs w:val="32"/>
        </w:rPr>
        <w:t>1</w:t>
      </w:r>
      <w:r>
        <w:rPr>
          <w:rFonts w:hint="eastAsia" w:ascii="仿宋_GB2312" w:hAnsi="黑体" w:eastAsia="仿宋_GB2312" w:cs="仿宋_GB2312"/>
          <w:sz w:val="32"/>
          <w:szCs w:val="32"/>
        </w:rPr>
        <w:t>只</w:t>
      </w:r>
      <w:r>
        <w:rPr>
          <w:rFonts w:ascii="仿宋_GB2312" w:hAnsi="黑体" w:eastAsia="仿宋_GB2312" w:cs="仿宋_GB2312"/>
          <w:sz w:val="32"/>
          <w:szCs w:val="32"/>
        </w:rPr>
        <w:t>20</w:t>
      </w:r>
      <w:r>
        <w:rPr>
          <w:rFonts w:hint="eastAsia" w:ascii="仿宋_GB2312" w:hAnsi="黑体" w:eastAsia="仿宋_GB2312" w:cs="仿宋_GB2312"/>
          <w:sz w:val="32"/>
          <w:szCs w:val="32"/>
        </w:rPr>
        <w:t>英尺箱与运输</w:t>
      </w:r>
      <w:r>
        <w:rPr>
          <w:rFonts w:ascii="仿宋_GB2312" w:hAnsi="黑体" w:eastAsia="仿宋_GB2312" w:cs="仿宋_GB2312"/>
          <w:sz w:val="32"/>
          <w:szCs w:val="32"/>
        </w:rPr>
        <w:t>2</w:t>
      </w:r>
      <w:r>
        <w:rPr>
          <w:rFonts w:hint="eastAsia" w:ascii="仿宋_GB2312" w:hAnsi="黑体" w:eastAsia="仿宋_GB2312" w:cs="仿宋_GB2312"/>
          <w:sz w:val="32"/>
          <w:szCs w:val="32"/>
        </w:rPr>
        <w:t>只</w:t>
      </w:r>
      <w:r>
        <w:rPr>
          <w:rFonts w:ascii="仿宋_GB2312" w:hAnsi="黑体" w:eastAsia="仿宋_GB2312" w:cs="仿宋_GB2312"/>
          <w:sz w:val="32"/>
          <w:szCs w:val="32"/>
        </w:rPr>
        <w:t>20</w:t>
      </w:r>
      <w:r>
        <w:rPr>
          <w:rFonts w:hint="eastAsia" w:ascii="仿宋_GB2312" w:hAnsi="黑体" w:eastAsia="仿宋_GB2312" w:cs="仿宋_GB2312"/>
          <w:sz w:val="32"/>
          <w:szCs w:val="32"/>
        </w:rPr>
        <w:t>英尺箱、</w:t>
      </w:r>
      <w:r>
        <w:rPr>
          <w:rFonts w:ascii="仿宋_GB2312" w:hAnsi="黑体" w:eastAsia="仿宋_GB2312" w:cs="仿宋_GB2312"/>
          <w:sz w:val="32"/>
          <w:szCs w:val="32"/>
        </w:rPr>
        <w:t>1</w:t>
      </w:r>
      <w:r>
        <w:rPr>
          <w:rFonts w:hint="eastAsia" w:ascii="仿宋_GB2312" w:hAnsi="黑体" w:eastAsia="仿宋_GB2312" w:cs="仿宋_GB2312"/>
          <w:sz w:val="32"/>
          <w:szCs w:val="32"/>
        </w:rPr>
        <w:t>只</w:t>
      </w:r>
      <w:r>
        <w:rPr>
          <w:rFonts w:ascii="仿宋_GB2312" w:hAnsi="黑体" w:eastAsia="仿宋_GB2312" w:cs="仿宋_GB2312"/>
          <w:sz w:val="32"/>
          <w:szCs w:val="32"/>
        </w:rPr>
        <w:t>40</w:t>
      </w:r>
      <w:r>
        <w:rPr>
          <w:rFonts w:hint="eastAsia" w:ascii="仿宋_GB2312" w:hAnsi="黑体" w:eastAsia="仿宋_GB2312" w:cs="仿宋_GB2312"/>
          <w:sz w:val="32"/>
          <w:szCs w:val="32"/>
        </w:rPr>
        <w:t>（</w:t>
      </w:r>
      <w:r>
        <w:rPr>
          <w:rFonts w:ascii="仿宋_GB2312" w:hAnsi="黑体" w:eastAsia="仿宋_GB2312" w:cs="仿宋_GB2312"/>
          <w:sz w:val="32"/>
          <w:szCs w:val="32"/>
        </w:rPr>
        <w:t>45</w:t>
      </w:r>
      <w:r>
        <w:rPr>
          <w:rFonts w:hint="eastAsia" w:ascii="仿宋_GB2312" w:hAnsi="黑体" w:eastAsia="仿宋_GB2312" w:cs="仿宋_GB2312"/>
          <w:sz w:val="32"/>
          <w:szCs w:val="32"/>
        </w:rPr>
        <w:t>）英尺集装箱车辆认定为同一种车型。</w:t>
      </w:r>
      <w:r>
        <w:rPr>
          <w:rFonts w:hint="eastAsia" w:ascii="仿宋_GB2312" w:eastAsia="仿宋_GB2312" w:cs="仿宋_GB2312"/>
          <w:kern w:val="0"/>
          <w:sz w:val="32"/>
          <w:szCs w:val="32"/>
        </w:rPr>
        <w:t>基本保留现行优惠政策</w:t>
      </w:r>
      <w:r>
        <w:rPr>
          <w:rFonts w:hint="eastAsia" w:ascii="仿宋_GB2312" w:eastAsia="仿宋_GB2312" w:cs="仿宋_GB2312"/>
          <w:sz w:val="32"/>
          <w:szCs w:val="32"/>
        </w:rPr>
        <w:t>，具体实施细则待交通运输部公布相关技术方案后再行确定。二是调整连续高架桥通行费</w:t>
      </w:r>
      <w:r>
        <w:rPr>
          <w:rFonts w:hint="eastAsia" w:ascii="仿宋_GB2312" w:eastAsia="仿宋_GB2312" w:cs="仿宋_GB2312"/>
          <w:kern w:val="0"/>
          <w:sz w:val="32"/>
          <w:szCs w:val="32"/>
        </w:rPr>
        <w:t>叠加方式，对</w:t>
      </w:r>
      <w:r>
        <w:rPr>
          <w:rFonts w:hint="eastAsia" w:ascii="仿宋_GB2312" w:eastAsia="仿宋_GB2312" w:cs="仿宋_GB2312"/>
          <w:sz w:val="32"/>
          <w:szCs w:val="32"/>
        </w:rPr>
        <w:t>连续</w:t>
      </w:r>
      <w:r>
        <w:rPr>
          <w:rFonts w:ascii="仿宋_GB2312" w:eastAsia="仿宋_GB2312" w:cs="仿宋_GB2312"/>
          <w:sz w:val="32"/>
          <w:szCs w:val="32"/>
        </w:rPr>
        <w:t>10</w:t>
      </w:r>
      <w:r>
        <w:rPr>
          <w:rFonts w:hint="eastAsia" w:ascii="仿宋_GB2312" w:eastAsia="仿宋_GB2312" w:cs="仿宋_GB2312"/>
          <w:sz w:val="32"/>
          <w:szCs w:val="32"/>
        </w:rPr>
        <w:t>公里以上的</w:t>
      </w:r>
      <w:r>
        <w:rPr>
          <w:rFonts w:hint="eastAsia" w:ascii="仿宋_GB2312" w:eastAsia="仿宋_GB2312" w:cs="仿宋_GB2312"/>
          <w:kern w:val="0"/>
          <w:sz w:val="32"/>
          <w:szCs w:val="32"/>
        </w:rPr>
        <w:t>高架桥，改为在收费单元分段叠加。三是尾数取舍规则按交通运输部相关规定执行。四是现按车型定额收费的高速公路项目，货车车型分类由</w:t>
      </w:r>
      <w:r>
        <w:rPr>
          <w:rFonts w:ascii="仿宋_GB2312" w:eastAsia="仿宋_GB2312" w:cs="仿宋_GB2312"/>
          <w:kern w:val="0"/>
          <w:sz w:val="32"/>
          <w:szCs w:val="32"/>
        </w:rPr>
        <w:t>5</w:t>
      </w:r>
      <w:r>
        <w:rPr>
          <w:rFonts w:hint="eastAsia" w:ascii="仿宋_GB2312" w:eastAsia="仿宋_GB2312" w:cs="仿宋_GB2312"/>
          <w:kern w:val="0"/>
          <w:sz w:val="32"/>
          <w:szCs w:val="32"/>
        </w:rPr>
        <w:t>类调整为</w:t>
      </w:r>
      <w:r>
        <w:rPr>
          <w:rFonts w:ascii="仿宋_GB2312" w:eastAsia="仿宋_GB2312" w:cs="仿宋_GB2312"/>
          <w:kern w:val="0"/>
          <w:sz w:val="32"/>
          <w:szCs w:val="32"/>
        </w:rPr>
        <w:t>6</w:t>
      </w:r>
      <w:r>
        <w:rPr>
          <w:rFonts w:hint="eastAsia" w:ascii="仿宋_GB2312" w:eastAsia="仿宋_GB2312" w:cs="仿宋_GB2312"/>
          <w:kern w:val="0"/>
          <w:sz w:val="32"/>
          <w:szCs w:val="32"/>
        </w:rPr>
        <w:t>类后，</w:t>
      </w:r>
      <w:r>
        <w:rPr>
          <w:rFonts w:ascii="仿宋_GB2312" w:eastAsia="仿宋_GB2312" w:cs="仿宋_GB2312"/>
          <w:kern w:val="0"/>
          <w:sz w:val="32"/>
          <w:szCs w:val="32"/>
        </w:rPr>
        <w:t>1-5</w:t>
      </w:r>
      <w:r>
        <w:rPr>
          <w:rFonts w:hint="eastAsia" w:ascii="仿宋_GB2312" w:eastAsia="仿宋_GB2312" w:cs="仿宋_GB2312"/>
          <w:kern w:val="0"/>
          <w:sz w:val="32"/>
          <w:szCs w:val="32"/>
        </w:rPr>
        <w:t>类车收费标准不变，</w:t>
      </w:r>
      <w:r>
        <w:rPr>
          <w:rFonts w:ascii="仿宋_GB2312" w:eastAsia="仿宋_GB2312" w:cs="仿宋_GB2312"/>
          <w:kern w:val="0"/>
          <w:sz w:val="32"/>
          <w:szCs w:val="32"/>
        </w:rPr>
        <w:t>6</w:t>
      </w:r>
      <w:r>
        <w:rPr>
          <w:rFonts w:hint="eastAsia" w:ascii="仿宋_GB2312" w:eastAsia="仿宋_GB2312" w:cs="仿宋_GB2312"/>
          <w:kern w:val="0"/>
          <w:sz w:val="32"/>
          <w:szCs w:val="32"/>
        </w:rPr>
        <w:t>类车收费标准按</w:t>
      </w:r>
      <w:r>
        <w:rPr>
          <w:rFonts w:ascii="仿宋_GB2312" w:eastAsia="仿宋_GB2312" w:cs="仿宋_GB2312"/>
          <w:kern w:val="0"/>
          <w:sz w:val="32"/>
          <w:szCs w:val="32"/>
        </w:rPr>
        <w:t>5</w:t>
      </w:r>
      <w:r>
        <w:rPr>
          <w:rFonts w:hint="eastAsia" w:ascii="仿宋_GB2312" w:eastAsia="仿宋_GB2312" w:cs="仿宋_GB2312"/>
          <w:kern w:val="0"/>
          <w:sz w:val="32"/>
          <w:szCs w:val="32"/>
        </w:rPr>
        <w:t>类车标准执行。</w:t>
      </w:r>
    </w:p>
    <w:p>
      <w:pPr>
        <w:autoSpaceDE w:val="0"/>
        <w:autoSpaceDN w:val="0"/>
        <w:adjustRightInd w:val="0"/>
        <w:spacing w:line="580" w:lineRule="exact"/>
        <w:ind w:firstLine="640" w:firstLineChars="200"/>
        <w:rPr>
          <w:rFonts w:ascii="黑体" w:hAnsi="黑体" w:eastAsia="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、影响分析</w:t>
      </w:r>
    </w:p>
    <w:p>
      <w:pPr>
        <w:spacing w:line="580" w:lineRule="exact"/>
        <w:ind w:firstLine="645"/>
        <w:rPr>
          <w:rFonts w:ascii="仿宋_GB2312" w:eastAsia="仿宋_GB2312"/>
          <w:spacing w:val="-4"/>
          <w:sz w:val="32"/>
          <w:szCs w:val="32"/>
        </w:rPr>
      </w:pPr>
      <w:r>
        <w:rPr>
          <w:rFonts w:hint="eastAsia" w:ascii="仿宋_GB2312" w:eastAsia="仿宋_GB2312" w:cs="仿宋_GB2312"/>
          <w:spacing w:val="-4"/>
          <w:sz w:val="32"/>
          <w:szCs w:val="32"/>
        </w:rPr>
        <w:t>（一）客车维持现行定价机制和计费方式，对客车用户基本无影响。</w:t>
      </w:r>
    </w:p>
    <w:p>
      <w:pPr>
        <w:spacing w:line="580" w:lineRule="exact"/>
        <w:ind w:firstLine="645"/>
      </w:pPr>
      <w:r>
        <w:rPr>
          <w:rFonts w:hint="eastAsia" w:ascii="仿宋_GB2312" w:eastAsia="仿宋_GB2312" w:cs="仿宋_GB2312"/>
          <w:spacing w:val="-4"/>
          <w:sz w:val="32"/>
          <w:szCs w:val="32"/>
        </w:rPr>
        <w:t>（二）货车调整定价</w:t>
      </w:r>
      <w:bookmarkStart w:id="0" w:name="_GoBack"/>
      <w:bookmarkEnd w:id="0"/>
      <w:r>
        <w:rPr>
          <w:rFonts w:hint="eastAsia" w:ascii="仿宋_GB2312" w:eastAsia="仿宋_GB2312" w:cs="仿宋_GB2312"/>
          <w:spacing w:val="-4"/>
          <w:sz w:val="32"/>
          <w:szCs w:val="32"/>
        </w:rPr>
        <w:t>机制和计费方式的</w:t>
      </w:r>
      <w:r>
        <w:rPr>
          <w:rFonts w:hint="eastAsia" w:eastAsia="仿宋_GB2312" w:cs="仿宋_GB2312"/>
          <w:sz w:val="32"/>
          <w:szCs w:val="32"/>
        </w:rPr>
        <w:t>方案，满足交通运输部“确保在相同交通流量条件下，不增加货车通行费总体负担，确保每一类收费车型在标准装载状态下的应交通行费额均不大于原计重收费的应交通行费额”的要求，但存在空载车通行费有所增加、满载车通行费有所下降等可能。</w:t>
      </w:r>
    </w:p>
    <w:sectPr>
      <w:footerReference r:id="rId3" w:type="default"/>
      <w:pgSz w:w="11906" w:h="16838"/>
      <w:pgMar w:top="1644" w:right="1644" w:bottom="1644" w:left="1644"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5F016E"/>
    <w:rsid w:val="000334D1"/>
    <w:rsid w:val="00095E58"/>
    <w:rsid w:val="000D281F"/>
    <w:rsid w:val="000E4177"/>
    <w:rsid w:val="000F5F4A"/>
    <w:rsid w:val="00114445"/>
    <w:rsid w:val="0013434F"/>
    <w:rsid w:val="00135D41"/>
    <w:rsid w:val="00150F1C"/>
    <w:rsid w:val="00151A1B"/>
    <w:rsid w:val="001E6CA2"/>
    <w:rsid w:val="00207846"/>
    <w:rsid w:val="0021112B"/>
    <w:rsid w:val="00211714"/>
    <w:rsid w:val="00234C33"/>
    <w:rsid w:val="002A6143"/>
    <w:rsid w:val="002E1998"/>
    <w:rsid w:val="00301431"/>
    <w:rsid w:val="003144B0"/>
    <w:rsid w:val="003403D3"/>
    <w:rsid w:val="003C1E86"/>
    <w:rsid w:val="003E1079"/>
    <w:rsid w:val="004309EF"/>
    <w:rsid w:val="00435352"/>
    <w:rsid w:val="004417DB"/>
    <w:rsid w:val="00473351"/>
    <w:rsid w:val="00481B0D"/>
    <w:rsid w:val="004A067A"/>
    <w:rsid w:val="004A0CC7"/>
    <w:rsid w:val="004B74B0"/>
    <w:rsid w:val="004D58CF"/>
    <w:rsid w:val="004D736B"/>
    <w:rsid w:val="00514BD7"/>
    <w:rsid w:val="00582C22"/>
    <w:rsid w:val="005864B3"/>
    <w:rsid w:val="005913E5"/>
    <w:rsid w:val="00591CC2"/>
    <w:rsid w:val="005A0EAF"/>
    <w:rsid w:val="005B536B"/>
    <w:rsid w:val="005F4416"/>
    <w:rsid w:val="006005A6"/>
    <w:rsid w:val="0060517E"/>
    <w:rsid w:val="00631253"/>
    <w:rsid w:val="00675D74"/>
    <w:rsid w:val="00681368"/>
    <w:rsid w:val="006E2522"/>
    <w:rsid w:val="00702E22"/>
    <w:rsid w:val="007143DD"/>
    <w:rsid w:val="007639B3"/>
    <w:rsid w:val="007A3F5E"/>
    <w:rsid w:val="007E53C3"/>
    <w:rsid w:val="007F2F2C"/>
    <w:rsid w:val="00801E0A"/>
    <w:rsid w:val="008153C5"/>
    <w:rsid w:val="00877066"/>
    <w:rsid w:val="008A2F72"/>
    <w:rsid w:val="00921F3A"/>
    <w:rsid w:val="00923376"/>
    <w:rsid w:val="00943A42"/>
    <w:rsid w:val="009547E3"/>
    <w:rsid w:val="00956FDE"/>
    <w:rsid w:val="009856DC"/>
    <w:rsid w:val="00993543"/>
    <w:rsid w:val="009A49D0"/>
    <w:rsid w:val="009E6401"/>
    <w:rsid w:val="00A15A06"/>
    <w:rsid w:val="00A46B96"/>
    <w:rsid w:val="00A65CA2"/>
    <w:rsid w:val="00A71F15"/>
    <w:rsid w:val="00AA6E26"/>
    <w:rsid w:val="00AB256E"/>
    <w:rsid w:val="00AC1111"/>
    <w:rsid w:val="00AE20E4"/>
    <w:rsid w:val="00AF2F29"/>
    <w:rsid w:val="00B130C7"/>
    <w:rsid w:val="00B243A4"/>
    <w:rsid w:val="00B64629"/>
    <w:rsid w:val="00B92A54"/>
    <w:rsid w:val="00B960F2"/>
    <w:rsid w:val="00BC0ED9"/>
    <w:rsid w:val="00BC19BE"/>
    <w:rsid w:val="00BD3C68"/>
    <w:rsid w:val="00BD7DBD"/>
    <w:rsid w:val="00BE7C44"/>
    <w:rsid w:val="00C0341D"/>
    <w:rsid w:val="00C831DF"/>
    <w:rsid w:val="00CE0359"/>
    <w:rsid w:val="00D24F3C"/>
    <w:rsid w:val="00D52E05"/>
    <w:rsid w:val="00D55F5B"/>
    <w:rsid w:val="00D96A06"/>
    <w:rsid w:val="00DB2151"/>
    <w:rsid w:val="00DF4758"/>
    <w:rsid w:val="00E11269"/>
    <w:rsid w:val="00E14968"/>
    <w:rsid w:val="00E25E53"/>
    <w:rsid w:val="00E65DE2"/>
    <w:rsid w:val="00EF01A8"/>
    <w:rsid w:val="00F056AE"/>
    <w:rsid w:val="00F15112"/>
    <w:rsid w:val="00F5647B"/>
    <w:rsid w:val="00F73E29"/>
    <w:rsid w:val="00FB58E6"/>
    <w:rsid w:val="00FC174B"/>
    <w:rsid w:val="00FC73E1"/>
    <w:rsid w:val="00FE1C5D"/>
    <w:rsid w:val="00FE4D89"/>
    <w:rsid w:val="00FF149D"/>
    <w:rsid w:val="42E65ECA"/>
    <w:rsid w:val="52327500"/>
    <w:rsid w:val="765F01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semiHidden/>
    <w:locked/>
    <w:uiPriority w:val="99"/>
    <w:rPr>
      <w:sz w:val="18"/>
      <w:szCs w:val="18"/>
    </w:rPr>
  </w:style>
  <w:style w:type="character" w:customStyle="1" w:styleId="8">
    <w:name w:val="Header Char"/>
    <w:basedOn w:val="5"/>
    <w:link w:val="3"/>
    <w:qFormat/>
    <w:locked/>
    <w:uiPriority w:val="99"/>
    <w:rPr>
      <w:kern w:val="2"/>
      <w:sz w:val="18"/>
      <w:szCs w:val="18"/>
    </w:rPr>
  </w:style>
  <w:style w:type="character" w:customStyle="1" w:styleId="9">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228</Words>
  <Characters>1301</Characters>
  <Lines>0</Lines>
  <Paragraphs>0</Paragraphs>
  <TotalTime>99</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2019-11-30T07:25:00Z</dcterms:created>
  <dc:creator>寄鸿</dc:creator>
  <cp:lastModifiedBy>信息采编</cp:lastModifiedBy>
  <cp:lastPrinted>2019-12-02T00:17:00Z</cp:lastPrinted>
  <dcterms:modified xsi:type="dcterms:W3CDTF">2019-12-02T06:55:18Z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