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ascii="Times New Roman" w:hAnsi="Times New Roman" w:eastAsia="黑体"/>
          <w:color w:val="000000"/>
          <w:sz w:val="32"/>
          <w:szCs w:val="32"/>
        </w:rPr>
      </w:pPr>
      <w:r>
        <w:rPr>
          <w:rFonts w:ascii="Times New Roman" w:hAnsi="Times New Roman" w:eastAsia="黑体"/>
          <w:color w:val="000000"/>
          <w:sz w:val="32"/>
          <w:szCs w:val="32"/>
        </w:rPr>
        <w:t>附件</w:t>
      </w:r>
    </w:p>
    <w:p>
      <w:pPr>
        <w:pStyle w:val="2"/>
        <w:ind w:firstLine="0"/>
        <w:rPr>
          <w:rFonts w:ascii="Times New Roman" w:hAnsi="Times New Roman" w:eastAsia="黑体"/>
          <w:color w:val="000000"/>
          <w:sz w:val="32"/>
          <w:szCs w:val="32"/>
        </w:rPr>
      </w:pPr>
    </w:p>
    <w:p>
      <w:pPr>
        <w:spacing w:line="600" w:lineRule="exact"/>
        <w:jc w:val="center"/>
        <w:rPr>
          <w:rFonts w:eastAsia="楷体_GB2312"/>
          <w:color w:val="000000"/>
          <w:szCs w:val="32"/>
        </w:rPr>
      </w:pPr>
      <w:r>
        <w:rPr>
          <w:rFonts w:eastAsia="方正小标宋简体"/>
          <w:color w:val="000000"/>
          <w:sz w:val="44"/>
          <w:szCs w:val="44"/>
        </w:rPr>
        <w:t>浙江省重大产业项目申报及奖励管理办法</w:t>
      </w:r>
      <w:r>
        <w:rPr>
          <w:rFonts w:eastAsia="楷体_GB2312"/>
          <w:color w:val="000000"/>
          <w:szCs w:val="32"/>
        </w:rPr>
        <w:t>（</w:t>
      </w:r>
      <w:r>
        <w:rPr>
          <w:rFonts w:hint="eastAsia" w:eastAsia="楷体_GB2312"/>
          <w:color w:val="000000"/>
          <w:szCs w:val="32"/>
        </w:rPr>
        <w:t>征求意见稿</w:t>
      </w:r>
      <w:r>
        <w:rPr>
          <w:rFonts w:eastAsia="楷体_GB2312"/>
          <w:color w:val="000000"/>
          <w:szCs w:val="32"/>
        </w:rPr>
        <w:t>）</w:t>
      </w:r>
    </w:p>
    <w:p>
      <w:pPr>
        <w:pStyle w:val="2"/>
      </w:pPr>
    </w:p>
    <w:p>
      <w:pPr>
        <w:pStyle w:val="3"/>
        <w:rPr>
          <w:rFonts w:ascii="黑体" w:hAnsi="黑体" w:eastAsia="黑体" w:cs="仿宋_GB2312"/>
          <w:b w:val="0"/>
          <w:bCs/>
          <w:snapToGrid w:val="0"/>
        </w:rPr>
      </w:pPr>
      <w:r>
        <w:rPr>
          <w:rFonts w:hint="eastAsia" w:ascii="黑体" w:hAnsi="黑体" w:eastAsia="黑体" w:cs="仿宋_GB2312"/>
          <w:b w:val="0"/>
          <w:bCs/>
          <w:snapToGrid w:val="0"/>
        </w:rPr>
        <w:t>第一章</w:t>
      </w:r>
      <w:r>
        <w:rPr>
          <w:rFonts w:ascii="黑体" w:hAnsi="黑体" w:eastAsia="黑体" w:cs="仿宋_GB2312"/>
          <w:b w:val="0"/>
          <w:bCs/>
          <w:snapToGrid w:val="0"/>
        </w:rPr>
        <w:t xml:space="preserve">  </w:t>
      </w:r>
      <w:r>
        <w:rPr>
          <w:rFonts w:hint="eastAsia" w:ascii="黑体" w:hAnsi="黑体" w:eastAsia="黑体" w:cs="仿宋_GB2312"/>
          <w:b w:val="0"/>
          <w:bCs/>
          <w:snapToGrid w:val="0"/>
        </w:rPr>
        <w:t>总</w:t>
      </w:r>
      <w:r>
        <w:rPr>
          <w:rFonts w:ascii="黑体" w:hAnsi="黑体" w:eastAsia="黑体" w:cs="仿宋_GB2312"/>
          <w:b w:val="0"/>
          <w:bCs/>
          <w:snapToGrid w:val="0"/>
        </w:rPr>
        <w:t xml:space="preserve">  </w:t>
      </w:r>
      <w:r>
        <w:rPr>
          <w:rFonts w:hint="eastAsia" w:ascii="黑体" w:hAnsi="黑体" w:eastAsia="黑体" w:cs="仿宋_GB2312"/>
          <w:b w:val="0"/>
          <w:bCs/>
          <w:snapToGrid w:val="0"/>
        </w:rPr>
        <w:t>则</w:t>
      </w:r>
    </w:p>
    <w:p>
      <w:pPr>
        <w:numPr>
          <w:ilvl w:val="255"/>
          <w:numId w:val="0"/>
        </w:numPr>
        <w:ind w:firstLine="640" w:firstLineChars="200"/>
      </w:pPr>
      <w:r>
        <w:rPr>
          <w:rFonts w:hint="eastAsia" w:ascii="黑体" w:hAnsi="黑体" w:eastAsia="黑体" w:cs="黑体"/>
          <w:color w:val="000000"/>
          <w:szCs w:val="32"/>
        </w:rPr>
        <w:t>第一条</w:t>
      </w:r>
      <w:r>
        <w:rPr>
          <w:b/>
          <w:bCs/>
          <w:color w:val="000000"/>
          <w:szCs w:val="32"/>
        </w:rPr>
        <w:t xml:space="preserve"> </w:t>
      </w:r>
      <w:r>
        <w:rPr>
          <w:rFonts w:hint="eastAsia"/>
          <w:szCs w:val="32"/>
        </w:rPr>
        <w:t>为扎实做好“六稳”工作、全面落实“六保”任务，</w:t>
      </w:r>
      <w:r>
        <w:rPr>
          <w:color w:val="000000"/>
          <w:szCs w:val="32"/>
        </w:rPr>
        <w:t>忠实践行“八八战略”、奋力打造“重要窗口”，加快建设现代化经济体系，推动形成以国内大循环为主体、国内国际双循环相互促进的新发展格局，进一步加强</w:t>
      </w:r>
      <w:r>
        <w:rPr>
          <w:rFonts w:hint="eastAsia"/>
          <w:color w:val="000000"/>
          <w:szCs w:val="32"/>
          <w:lang w:val="en-US" w:eastAsia="zh-CN"/>
        </w:rPr>
        <w:t>省</w:t>
      </w:r>
      <w:r>
        <w:rPr>
          <w:color w:val="000000"/>
          <w:szCs w:val="32"/>
        </w:rPr>
        <w:t>重大产业项目用地保障</w:t>
      </w:r>
      <w:r>
        <w:rPr>
          <w:rFonts w:hint="eastAsia"/>
          <w:color w:val="000000"/>
          <w:szCs w:val="32"/>
        </w:rPr>
        <w:t>，</w:t>
      </w:r>
      <w:r>
        <w:rPr>
          <w:color w:val="000000"/>
          <w:szCs w:val="32"/>
        </w:rPr>
        <w:t>根据《浙江省政府办公厅关于建立我省重大产业项目用地保障机制的意见》（浙政办发〔2012〕84号）、《浙江省人民政府关于进一步优化投资结构提高投资质量的若干意见》（浙政发〔2018〕13号）</w:t>
      </w:r>
      <w:r>
        <w:rPr>
          <w:szCs w:val="32"/>
        </w:rPr>
        <w:t>等文件精神，特制订本管理办法</w:t>
      </w:r>
      <w:r>
        <w:rPr>
          <w:color w:val="000000"/>
          <w:szCs w:val="32"/>
        </w:rPr>
        <w:t>。</w:t>
      </w:r>
    </w:p>
    <w:p>
      <w:pPr>
        <w:numPr>
          <w:ilvl w:val="255"/>
          <w:numId w:val="0"/>
        </w:numPr>
        <w:ind w:firstLine="640" w:firstLineChars="200"/>
        <w:rPr>
          <w:color w:val="000000"/>
          <w:szCs w:val="32"/>
        </w:rPr>
      </w:pPr>
      <w:r>
        <w:rPr>
          <w:rFonts w:ascii="黑体" w:hAnsi="黑体" w:eastAsia="黑体" w:cs="黑体"/>
          <w:color w:val="000000"/>
          <w:szCs w:val="32"/>
        </w:rPr>
        <w:t>第</w:t>
      </w:r>
      <w:r>
        <w:rPr>
          <w:rFonts w:hint="eastAsia" w:ascii="黑体" w:hAnsi="黑体" w:eastAsia="黑体" w:cs="黑体"/>
          <w:color w:val="000000"/>
          <w:szCs w:val="32"/>
        </w:rPr>
        <w:t>二</w:t>
      </w:r>
      <w:r>
        <w:rPr>
          <w:rFonts w:ascii="黑体" w:hAnsi="黑体" w:eastAsia="黑体" w:cs="黑体"/>
          <w:color w:val="000000"/>
          <w:szCs w:val="32"/>
        </w:rPr>
        <w:t>条</w:t>
      </w:r>
      <w:r>
        <w:rPr>
          <w:b/>
          <w:bCs/>
          <w:color w:val="000000"/>
          <w:szCs w:val="32"/>
        </w:rPr>
        <w:t xml:space="preserve"> </w:t>
      </w:r>
      <w:r>
        <w:rPr>
          <w:color w:val="000000"/>
          <w:szCs w:val="32"/>
        </w:rPr>
        <w:t>根据固定资产投资规模和</w:t>
      </w:r>
      <w:r>
        <w:rPr>
          <w:rFonts w:hint="eastAsia"/>
          <w:color w:val="000000"/>
          <w:szCs w:val="32"/>
          <w:lang w:val="en-US" w:eastAsia="zh-CN"/>
        </w:rPr>
        <w:t>产</w:t>
      </w:r>
      <w:r>
        <w:rPr>
          <w:color w:val="000000"/>
          <w:szCs w:val="32"/>
        </w:rPr>
        <w:t>业类别</w:t>
      </w:r>
      <w:r>
        <w:rPr>
          <w:rFonts w:hint="eastAsia"/>
          <w:color w:val="000000"/>
          <w:szCs w:val="32"/>
        </w:rPr>
        <w:t>，</w:t>
      </w:r>
      <w:r>
        <w:rPr>
          <w:color w:val="000000"/>
          <w:szCs w:val="32"/>
        </w:rPr>
        <w:t>分为</w:t>
      </w:r>
      <w:r>
        <w:rPr>
          <w:rFonts w:hint="eastAsia"/>
          <w:color w:val="000000"/>
          <w:szCs w:val="32"/>
        </w:rPr>
        <w:t>特别</w:t>
      </w:r>
      <w:r>
        <w:rPr>
          <w:color w:val="000000"/>
          <w:szCs w:val="32"/>
        </w:rPr>
        <w:t>重大产业项目、</w:t>
      </w:r>
      <w:r>
        <w:rPr>
          <w:rFonts w:hint="eastAsia"/>
          <w:color w:val="000000"/>
          <w:szCs w:val="32"/>
        </w:rPr>
        <w:t>引领性</w:t>
      </w:r>
      <w:r>
        <w:rPr>
          <w:color w:val="000000"/>
          <w:szCs w:val="32"/>
        </w:rPr>
        <w:t>重大</w:t>
      </w:r>
      <w:r>
        <w:rPr>
          <w:rFonts w:hint="eastAsia"/>
          <w:color w:val="000000"/>
          <w:szCs w:val="32"/>
        </w:rPr>
        <w:t>产业</w:t>
      </w:r>
      <w:r>
        <w:rPr>
          <w:color w:val="000000"/>
          <w:szCs w:val="32"/>
        </w:rPr>
        <w:t>项目</w:t>
      </w:r>
      <w:r>
        <w:rPr>
          <w:rFonts w:hint="eastAsia"/>
          <w:color w:val="000000"/>
          <w:szCs w:val="32"/>
        </w:rPr>
        <w:t>。</w:t>
      </w:r>
    </w:p>
    <w:p>
      <w:pPr>
        <w:numPr>
          <w:ilvl w:val="255"/>
          <w:numId w:val="0"/>
        </w:numPr>
        <w:ind w:firstLine="640" w:firstLineChars="200"/>
        <w:rPr>
          <w:color w:val="000000"/>
          <w:szCs w:val="32"/>
        </w:rPr>
      </w:pPr>
      <w:r>
        <w:rPr>
          <w:color w:val="000000"/>
          <w:szCs w:val="32"/>
        </w:rPr>
        <w:t>1.</w:t>
      </w:r>
      <w:r>
        <w:rPr>
          <w:rFonts w:hint="eastAsia"/>
          <w:color w:val="000000"/>
          <w:szCs w:val="32"/>
        </w:rPr>
        <w:t>特别</w:t>
      </w:r>
      <w:r>
        <w:rPr>
          <w:color w:val="000000"/>
          <w:szCs w:val="32"/>
        </w:rPr>
        <w:t>重大产业项目。总投资50亿元以上的</w:t>
      </w:r>
      <w:r>
        <w:rPr>
          <w:rFonts w:hint="eastAsia" w:ascii="仿宋_GB2312" w:hAnsi="仿宋_GB2312" w:cs="仿宋_GB2312"/>
          <w:color w:val="000000"/>
          <w:szCs w:val="32"/>
        </w:rPr>
        <w:t>数字经济、</w:t>
      </w:r>
      <w:r>
        <w:rPr>
          <w:color w:val="000000"/>
          <w:szCs w:val="32"/>
        </w:rPr>
        <w:t>生命健康、新材料、高端装备制造、重大科技创新等项目。</w:t>
      </w:r>
    </w:p>
    <w:p>
      <w:pPr>
        <w:pStyle w:val="2"/>
        <w:numPr>
          <w:ilvl w:val="255"/>
          <w:numId w:val="0"/>
        </w:numPr>
        <w:ind w:firstLine="640" w:firstLineChars="200"/>
        <w:rPr>
          <w:rFonts w:ascii="Times New Roman" w:hAnsi="Times New Roman"/>
          <w:color w:val="000000"/>
          <w:sz w:val="32"/>
          <w:szCs w:val="32"/>
        </w:rPr>
      </w:pPr>
      <w:r>
        <w:rPr>
          <w:rFonts w:ascii="Times New Roman" w:hAnsi="Times New Roman"/>
          <w:color w:val="000000"/>
          <w:sz w:val="32"/>
          <w:szCs w:val="32"/>
        </w:rPr>
        <w:t>2.</w:t>
      </w:r>
      <w:r>
        <w:rPr>
          <w:rFonts w:hint="default" w:ascii="Times New Roman" w:hAnsi="Times New Roman"/>
          <w:color w:val="000000"/>
          <w:sz w:val="32"/>
          <w:szCs w:val="32"/>
        </w:rPr>
        <w:t>引领性</w:t>
      </w:r>
      <w:r>
        <w:rPr>
          <w:rFonts w:ascii="Times New Roman" w:hAnsi="Times New Roman"/>
          <w:color w:val="000000"/>
          <w:sz w:val="32"/>
          <w:szCs w:val="32"/>
        </w:rPr>
        <w:t>重大产业项目。总投资6亿元以上的数字经济、生命健康、新材料、高端装备制造、现代服务业、其他传统优势产业项目；总投资3亿元以上的重大科技创新项目。</w:t>
      </w:r>
    </w:p>
    <w:p>
      <w:pPr>
        <w:pStyle w:val="3"/>
        <w:rPr>
          <w:rFonts w:ascii="黑体" w:hAnsi="黑体" w:eastAsia="黑体" w:cs="仿宋_GB2312"/>
          <w:b w:val="0"/>
          <w:bCs/>
          <w:snapToGrid w:val="0"/>
        </w:rPr>
      </w:pPr>
      <w:r>
        <w:rPr>
          <w:rFonts w:ascii="黑体" w:hAnsi="黑体" w:eastAsia="黑体" w:cs="仿宋_GB2312"/>
          <w:b w:val="0"/>
          <w:bCs/>
          <w:snapToGrid w:val="0"/>
        </w:rPr>
        <w:t>第二章  申报条件和标准</w:t>
      </w:r>
    </w:p>
    <w:p>
      <w:pPr>
        <w:numPr>
          <w:ilvl w:val="255"/>
          <w:numId w:val="0"/>
        </w:numPr>
        <w:ind w:firstLine="640" w:firstLineChars="200"/>
        <w:rPr>
          <w:szCs w:val="21"/>
        </w:rPr>
      </w:pPr>
      <w:r>
        <w:rPr>
          <w:rFonts w:ascii="黑体" w:hAnsi="黑体" w:eastAsia="黑体" w:cs="黑体"/>
          <w:color w:val="000000"/>
          <w:szCs w:val="32"/>
        </w:rPr>
        <w:t>第三条</w:t>
      </w:r>
      <w:r>
        <w:rPr>
          <w:b/>
          <w:bCs/>
          <w:color w:val="000000"/>
          <w:szCs w:val="32"/>
        </w:rPr>
        <w:t xml:space="preserve"> </w:t>
      </w:r>
      <w:r>
        <w:rPr>
          <w:color w:val="000000"/>
          <w:szCs w:val="32"/>
        </w:rPr>
        <w:t>项目应符合国家</w:t>
      </w:r>
      <w:r>
        <w:rPr>
          <w:rFonts w:hint="eastAsia"/>
          <w:color w:val="000000"/>
          <w:szCs w:val="32"/>
        </w:rPr>
        <w:t>和</w:t>
      </w:r>
      <w:r>
        <w:rPr>
          <w:color w:val="000000"/>
          <w:szCs w:val="32"/>
        </w:rPr>
        <w:t>省产业规划要求，属于产业结构调整指导目录或外商投资产业指导目录</w:t>
      </w:r>
      <w:r>
        <w:rPr>
          <w:rFonts w:hint="eastAsia"/>
          <w:color w:val="000000"/>
          <w:szCs w:val="32"/>
        </w:rPr>
        <w:t>中</w:t>
      </w:r>
      <w:r>
        <w:rPr>
          <w:color w:val="000000"/>
          <w:szCs w:val="32"/>
        </w:rPr>
        <w:t>的鼓励类项目。</w:t>
      </w:r>
    </w:p>
    <w:p>
      <w:pPr>
        <w:numPr>
          <w:ilvl w:val="255"/>
          <w:numId w:val="0"/>
        </w:numPr>
        <w:ind w:firstLine="640" w:firstLineChars="200"/>
        <w:rPr>
          <w:color w:val="000000"/>
          <w:szCs w:val="32"/>
        </w:rPr>
      </w:pPr>
      <w:r>
        <w:rPr>
          <w:rFonts w:ascii="黑体" w:hAnsi="黑体" w:eastAsia="黑体" w:cs="黑体"/>
          <w:color w:val="000000"/>
          <w:szCs w:val="32"/>
        </w:rPr>
        <w:t>第四条</w:t>
      </w:r>
      <w:r>
        <w:rPr>
          <w:b/>
          <w:bCs/>
          <w:color w:val="000000"/>
          <w:szCs w:val="32"/>
        </w:rPr>
        <w:t xml:space="preserve"> </w:t>
      </w:r>
      <w:r>
        <w:rPr>
          <w:color w:val="000000"/>
          <w:szCs w:val="32"/>
        </w:rPr>
        <w:t>项目选址应符合城乡建设规划，满足节能、环保、安全生产要求，</w:t>
      </w:r>
      <w:r>
        <w:rPr>
          <w:szCs w:val="32"/>
        </w:rPr>
        <w:t>优先支持</w:t>
      </w:r>
      <w:r>
        <w:rPr>
          <w:color w:val="000000"/>
          <w:szCs w:val="32"/>
        </w:rPr>
        <w:t>落户在省级</w:t>
      </w:r>
      <w:r>
        <w:rPr>
          <w:szCs w:val="32"/>
        </w:rPr>
        <w:t>高能级</w:t>
      </w:r>
      <w:r>
        <w:rPr>
          <w:rFonts w:hint="eastAsia"/>
          <w:szCs w:val="32"/>
        </w:rPr>
        <w:t>发展</w:t>
      </w:r>
      <w:r>
        <w:rPr>
          <w:szCs w:val="32"/>
        </w:rPr>
        <w:t>平台中的项目以及省市县长项目</w:t>
      </w:r>
      <w:r>
        <w:rPr>
          <w:color w:val="000000"/>
          <w:szCs w:val="32"/>
        </w:rPr>
        <w:t>。</w:t>
      </w:r>
    </w:p>
    <w:p>
      <w:pPr>
        <w:numPr>
          <w:ilvl w:val="255"/>
          <w:numId w:val="0"/>
        </w:numPr>
        <w:ind w:firstLine="640" w:firstLineChars="200"/>
        <w:rPr>
          <w:color w:val="000000" w:themeColor="text1"/>
          <w:szCs w:val="32"/>
          <w14:textFill>
            <w14:solidFill>
              <w14:schemeClr w14:val="tx1"/>
            </w14:solidFill>
          </w14:textFill>
        </w:rPr>
      </w:pPr>
      <w:r>
        <w:rPr>
          <w:rFonts w:ascii="黑体" w:hAnsi="黑体" w:eastAsia="黑体" w:cs="黑体"/>
          <w:color w:val="000000"/>
          <w:szCs w:val="32"/>
        </w:rPr>
        <w:t>第五条</w:t>
      </w:r>
      <w:r>
        <w:rPr>
          <w:color w:val="000000"/>
          <w:szCs w:val="32"/>
        </w:rPr>
        <w:t xml:space="preserve"> </w:t>
      </w:r>
      <w:r>
        <w:rPr>
          <w:color w:val="000000" w:themeColor="text1"/>
          <w:szCs w:val="32"/>
          <w14:textFill>
            <w14:solidFill>
              <w14:schemeClr w14:val="tx1"/>
            </w14:solidFill>
          </w14:textFill>
        </w:rPr>
        <w:t>根据前期成熟度，分为实施类和预选类项目。</w:t>
      </w:r>
    </w:p>
    <w:p>
      <w:pPr>
        <w:numPr>
          <w:ilvl w:val="255"/>
          <w:numId w:val="0"/>
        </w:numPr>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申报</w:t>
      </w:r>
      <w:r>
        <w:rPr>
          <w:color w:val="000000" w:themeColor="text1"/>
          <w:szCs w:val="32"/>
          <w14:textFill>
            <w14:solidFill>
              <w14:schemeClr w14:val="tx1"/>
            </w14:solidFill>
          </w14:textFill>
        </w:rPr>
        <w:t>实施类项目</w:t>
      </w:r>
      <w:r>
        <w:rPr>
          <w:rFonts w:hint="eastAsia"/>
          <w:color w:val="000000" w:themeColor="text1"/>
          <w:szCs w:val="32"/>
          <w14:textFill>
            <w14:solidFill>
              <w14:schemeClr w14:val="tx1"/>
            </w14:solidFill>
          </w14:textFill>
        </w:rPr>
        <w:t>，要求</w:t>
      </w:r>
      <w:r>
        <w:rPr>
          <w:color w:val="000000" w:themeColor="text1"/>
          <w:szCs w:val="32"/>
          <w14:textFill>
            <w14:solidFill>
              <w14:schemeClr w14:val="tx1"/>
            </w14:solidFill>
          </w14:textFill>
        </w:rPr>
        <w:t>已签订投资项目合作协议</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取得当地用地准入手续，并按法定程序和权限完成土地预审或工作联系单、规划设计条件书、环评、能评、核准（备案）手续。</w:t>
      </w:r>
    </w:p>
    <w:p>
      <w:pPr>
        <w:numPr>
          <w:ilvl w:val="255"/>
          <w:numId w:val="0"/>
        </w:numPr>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申报</w:t>
      </w:r>
      <w:r>
        <w:rPr>
          <w:color w:val="000000" w:themeColor="text1"/>
          <w:szCs w:val="32"/>
          <w14:textFill>
            <w14:solidFill>
              <w14:schemeClr w14:val="tx1"/>
            </w14:solidFill>
          </w14:textFill>
        </w:rPr>
        <w:t>预选类项目</w:t>
      </w:r>
      <w:r>
        <w:rPr>
          <w:rFonts w:hint="eastAsia"/>
          <w:color w:val="000000" w:themeColor="text1"/>
          <w:szCs w:val="32"/>
          <w14:textFill>
            <w14:solidFill>
              <w14:schemeClr w14:val="tx1"/>
            </w14:solidFill>
          </w14:textFill>
        </w:rPr>
        <w:t>，要求</w:t>
      </w:r>
      <w:r>
        <w:rPr>
          <w:color w:val="000000" w:themeColor="text1"/>
          <w:szCs w:val="32"/>
          <w14:textFill>
            <w14:solidFill>
              <w14:schemeClr w14:val="tx1"/>
            </w14:solidFill>
          </w14:textFill>
        </w:rPr>
        <w:t>已签订投资项目合作协议</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取得项目代码、当地用地准入手续、规划设计条件书、环评初审意见。</w:t>
      </w:r>
    </w:p>
    <w:p>
      <w:pPr>
        <w:numPr>
          <w:ilvl w:val="255"/>
          <w:numId w:val="0"/>
        </w:numPr>
        <w:ind w:firstLine="640" w:firstLineChars="200"/>
        <w:rPr>
          <w:szCs w:val="32"/>
        </w:rPr>
      </w:pPr>
      <w:r>
        <w:rPr>
          <w:rFonts w:hint="eastAsia"/>
          <w:szCs w:val="32"/>
        </w:rPr>
        <w:t>其中，按</w:t>
      </w:r>
      <w:r>
        <w:rPr>
          <w:szCs w:val="32"/>
        </w:rPr>
        <w:t>“标准地”</w:t>
      </w:r>
      <w:r>
        <w:rPr>
          <w:rFonts w:hint="eastAsia"/>
          <w:szCs w:val="32"/>
        </w:rPr>
        <w:t>方式出让土地的</w:t>
      </w:r>
      <w:r>
        <w:rPr>
          <w:szCs w:val="32"/>
        </w:rPr>
        <w:t>项目</w:t>
      </w:r>
      <w:r>
        <w:rPr>
          <w:rFonts w:hint="eastAsia"/>
          <w:szCs w:val="32"/>
        </w:rPr>
        <w:t>，</w:t>
      </w:r>
      <w:r>
        <w:rPr>
          <w:szCs w:val="32"/>
        </w:rPr>
        <w:t>环评、能评等前期手续可按企业投资项目“最多跑一次”改革要求简化。</w:t>
      </w:r>
    </w:p>
    <w:p>
      <w:pPr>
        <w:widowControl/>
        <w:ind w:firstLine="640" w:firstLineChars="200"/>
        <w:rPr>
          <w:color w:val="000000"/>
          <w:szCs w:val="32"/>
        </w:rPr>
      </w:pPr>
      <w:r>
        <w:rPr>
          <w:rFonts w:ascii="黑体" w:hAnsi="黑体" w:eastAsia="黑体" w:cs="黑体"/>
          <w:color w:val="000000"/>
          <w:szCs w:val="32"/>
        </w:rPr>
        <w:t>第六条</w:t>
      </w:r>
      <w:r>
        <w:rPr>
          <w:b/>
          <w:bCs/>
          <w:color w:val="000000"/>
          <w:szCs w:val="32"/>
        </w:rPr>
        <w:t xml:space="preserve"> </w:t>
      </w:r>
      <w:r>
        <w:rPr>
          <w:color w:val="000000"/>
          <w:szCs w:val="32"/>
        </w:rPr>
        <w:t>项目用地符合所在的县（市、区）以及具有同级权限开发区（园区）的土地利用总体规划或符合规划修改调整条件、能够实现耕地占补平衡、落实标准农田补划。</w:t>
      </w:r>
    </w:p>
    <w:p>
      <w:pPr>
        <w:widowControl/>
        <w:ind w:firstLine="640" w:firstLineChars="200"/>
      </w:pPr>
      <w:r>
        <w:rPr>
          <w:szCs w:val="32"/>
          <w:lang w:bidi="ar"/>
        </w:rPr>
        <w:t>使用新增建设用地的，该地块农转用指标年度不得早于上两年度。</w:t>
      </w:r>
      <w:r>
        <w:rPr>
          <w:rFonts w:eastAsia="宋体"/>
          <w:sz w:val="24"/>
          <w:szCs w:val="24"/>
          <w:lang w:bidi="ar"/>
        </w:rPr>
        <w:t xml:space="preserve"> </w:t>
      </w:r>
    </w:p>
    <w:p>
      <w:pPr>
        <w:ind w:firstLine="640" w:firstLineChars="200"/>
        <w:rPr>
          <w:color w:val="000000" w:themeColor="text1"/>
          <w:szCs w:val="32"/>
          <w14:textFill>
            <w14:solidFill>
              <w14:schemeClr w14:val="tx1"/>
            </w14:solidFill>
          </w14:textFill>
        </w:rPr>
      </w:pPr>
      <w:r>
        <w:rPr>
          <w:rFonts w:ascii="黑体" w:hAnsi="黑体" w:eastAsia="黑体" w:cs="黑体"/>
          <w:color w:val="000000"/>
          <w:szCs w:val="32"/>
        </w:rPr>
        <w:t>第七条</w:t>
      </w:r>
      <w:r>
        <w:rPr>
          <w:b/>
          <w:bCs/>
          <w:color w:val="000000"/>
          <w:szCs w:val="32"/>
        </w:rPr>
        <w:t xml:space="preserve"> </w:t>
      </w:r>
      <w:r>
        <w:rPr>
          <w:color w:val="000000" w:themeColor="text1"/>
          <w:szCs w:val="32"/>
          <w14:textFill>
            <w14:solidFill>
              <w14:schemeClr w14:val="tx1"/>
            </w14:solidFill>
          </w14:textFill>
        </w:rPr>
        <w:t>项目业主单位已依法在我省完成工商、税务登记注册，并明确项目选址、建设规模、建设内容、总投资等内容。</w:t>
      </w:r>
    </w:p>
    <w:p>
      <w:pPr>
        <w:ind w:firstLine="640" w:firstLineChars="200"/>
        <w:rPr>
          <w:color w:val="000000"/>
          <w:szCs w:val="32"/>
        </w:rPr>
      </w:pPr>
      <w:r>
        <w:rPr>
          <w:color w:val="000000"/>
          <w:szCs w:val="32"/>
        </w:rPr>
        <w:t>项目建设工期一般不超过3年。</w:t>
      </w:r>
      <w:r>
        <w:rPr>
          <w:rFonts w:hint="eastAsia"/>
          <w:color w:val="000000"/>
          <w:szCs w:val="32"/>
        </w:rPr>
        <w:t>特别</w:t>
      </w:r>
      <w:r>
        <w:rPr>
          <w:color w:val="000000"/>
          <w:szCs w:val="32"/>
        </w:rPr>
        <w:t>重大产业项目</w:t>
      </w:r>
      <w:r>
        <w:rPr>
          <w:color w:val="000000" w:themeColor="text1"/>
          <w:szCs w:val="32"/>
          <w14:textFill>
            <w14:solidFill>
              <w14:schemeClr w14:val="tx1"/>
            </w14:solidFill>
          </w14:textFill>
        </w:rPr>
        <w:t>允许</w:t>
      </w:r>
      <w:r>
        <w:rPr>
          <w:color w:val="000000"/>
          <w:szCs w:val="32"/>
        </w:rPr>
        <w:t>分期建设，分期不</w:t>
      </w:r>
      <w:r>
        <w:rPr>
          <w:rFonts w:hint="eastAsia"/>
          <w:color w:val="000000"/>
          <w:szCs w:val="32"/>
        </w:rPr>
        <w:t>得</w:t>
      </w:r>
      <w:r>
        <w:rPr>
          <w:color w:val="000000"/>
          <w:szCs w:val="32"/>
        </w:rPr>
        <w:t>超过2期，首期投资不低于固定资产投资</w:t>
      </w:r>
      <w:r>
        <w:rPr>
          <w:szCs w:val="32"/>
        </w:rPr>
        <w:t>的50%</w:t>
      </w:r>
      <w:r>
        <w:rPr>
          <w:color w:val="000000"/>
          <w:szCs w:val="32"/>
        </w:rPr>
        <w:t>，</w:t>
      </w:r>
      <w:r>
        <w:rPr>
          <w:szCs w:val="32"/>
        </w:rPr>
        <w:t>总工</w:t>
      </w:r>
      <w:r>
        <w:rPr>
          <w:color w:val="000000"/>
          <w:szCs w:val="32"/>
        </w:rPr>
        <w:t>期不得超过5年。</w:t>
      </w:r>
    </w:p>
    <w:p>
      <w:pPr>
        <w:ind w:firstLine="640" w:firstLineChars="200"/>
        <w:rPr>
          <w:color w:val="000000"/>
          <w:szCs w:val="32"/>
        </w:rPr>
      </w:pPr>
      <w:r>
        <w:rPr>
          <w:rFonts w:ascii="黑体" w:hAnsi="黑体" w:eastAsia="黑体" w:cs="黑体"/>
          <w:color w:val="000000"/>
          <w:szCs w:val="32"/>
        </w:rPr>
        <w:t>第八条</w:t>
      </w:r>
      <w:r>
        <w:rPr>
          <w:b/>
          <w:bCs/>
          <w:color w:val="000000"/>
          <w:szCs w:val="32"/>
        </w:rPr>
        <w:t xml:space="preserve"> </w:t>
      </w:r>
      <w:r>
        <w:rPr>
          <w:color w:val="000000"/>
          <w:szCs w:val="32"/>
        </w:rPr>
        <w:t>项目业主应已足额落实建设资金，认缴企业注册资本金已及时足额到位。项目资本金不低于法定的项目资本金最低比例，并提供有关证明。</w:t>
      </w:r>
    </w:p>
    <w:p>
      <w:pPr>
        <w:ind w:firstLine="640" w:firstLineChars="200"/>
        <w:rPr>
          <w:color w:val="000000"/>
          <w:szCs w:val="32"/>
        </w:rPr>
      </w:pPr>
      <w:r>
        <w:rPr>
          <w:rFonts w:ascii="黑体" w:hAnsi="黑体" w:eastAsia="黑体" w:cs="黑体"/>
          <w:color w:val="000000"/>
          <w:szCs w:val="32"/>
        </w:rPr>
        <w:t>第九条</w:t>
      </w:r>
      <w:r>
        <w:rPr>
          <w:b/>
          <w:bCs/>
          <w:color w:val="000000"/>
          <w:szCs w:val="32"/>
        </w:rPr>
        <w:t xml:space="preserve"> </w:t>
      </w:r>
      <w:r>
        <w:rPr>
          <w:color w:val="000000"/>
          <w:szCs w:val="32"/>
        </w:rPr>
        <w:t>项目应为单体项目，房地</w:t>
      </w:r>
      <w:r>
        <w:rPr>
          <w:color w:val="000000" w:themeColor="text1"/>
          <w:szCs w:val="32"/>
          <w14:textFill>
            <w14:solidFill>
              <w14:schemeClr w14:val="tx1"/>
            </w14:solidFill>
          </w14:textFill>
        </w:rPr>
        <w:t>产项目、宾馆酒店、城市商业综合体、旅游综合体、产业平台等项目不得申报。</w:t>
      </w:r>
    </w:p>
    <w:p>
      <w:pPr>
        <w:spacing w:line="590" w:lineRule="exact"/>
        <w:ind w:firstLine="640" w:firstLineChars="200"/>
        <w:rPr>
          <w:szCs w:val="21"/>
        </w:rPr>
      </w:pPr>
      <w:r>
        <w:rPr>
          <w:rFonts w:ascii="黑体" w:hAnsi="黑体" w:eastAsia="黑体" w:cs="黑体"/>
          <w:color w:val="000000"/>
          <w:szCs w:val="32"/>
        </w:rPr>
        <w:t>第十条</w:t>
      </w:r>
      <w:r>
        <w:rPr>
          <w:b/>
          <w:bCs/>
          <w:color w:val="000000"/>
          <w:szCs w:val="32"/>
        </w:rPr>
        <w:t xml:space="preserve"> </w:t>
      </w:r>
      <w:r>
        <w:rPr>
          <w:szCs w:val="32"/>
        </w:rPr>
        <w:t>各申报市、</w:t>
      </w:r>
      <w:r>
        <w:rPr>
          <w:color w:val="000000"/>
          <w:szCs w:val="32"/>
        </w:rPr>
        <w:t>县（市、区）</w:t>
      </w:r>
      <w:r>
        <w:rPr>
          <w:szCs w:val="32"/>
        </w:rPr>
        <w:t>应承诺优先保障省重大产业项目用地需求，确保项目早落地、早开工。</w:t>
      </w:r>
    </w:p>
    <w:p>
      <w:pPr>
        <w:numPr>
          <w:ilvl w:val="255"/>
          <w:numId w:val="0"/>
        </w:numPr>
        <w:ind w:firstLine="640" w:firstLineChars="200"/>
      </w:pPr>
      <w:r>
        <w:rPr>
          <w:rFonts w:ascii="黑体" w:hAnsi="黑体" w:eastAsia="黑体" w:cs="黑体"/>
          <w:color w:val="000000"/>
          <w:szCs w:val="32"/>
        </w:rPr>
        <w:t>第十一条</w:t>
      </w:r>
      <w:r>
        <w:rPr>
          <w:b/>
          <w:bCs/>
          <w:color w:val="000000"/>
          <w:szCs w:val="32"/>
        </w:rPr>
        <w:t xml:space="preserve"> </w:t>
      </w:r>
      <w:r>
        <w:rPr>
          <w:color w:val="000000"/>
          <w:szCs w:val="32"/>
        </w:rPr>
        <w:t>申报项目应符合约束性指标</w:t>
      </w:r>
      <w:r>
        <w:rPr>
          <w:rFonts w:hint="eastAsia"/>
          <w:color w:val="000000"/>
          <w:szCs w:val="32"/>
        </w:rPr>
        <w:t>和</w:t>
      </w:r>
      <w:r>
        <w:rPr>
          <w:color w:val="000000"/>
          <w:szCs w:val="32"/>
        </w:rPr>
        <w:t>预期性指标</w:t>
      </w:r>
      <w:r>
        <w:rPr>
          <w:rFonts w:hint="eastAsia"/>
          <w:color w:val="000000"/>
          <w:szCs w:val="32"/>
        </w:rPr>
        <w:t>要求，具体标准如下：</w:t>
      </w:r>
    </w:p>
    <w:p>
      <w:pPr>
        <w:numPr>
          <w:ilvl w:val="255"/>
          <w:numId w:val="0"/>
        </w:numPr>
        <w:ind w:firstLine="640" w:firstLineChars="200"/>
        <w:rPr>
          <w:rFonts w:eastAsia="黑体"/>
          <w:color w:val="000000"/>
          <w:szCs w:val="32"/>
        </w:rPr>
      </w:pPr>
      <w:r>
        <w:rPr>
          <w:rFonts w:eastAsia="黑体"/>
          <w:color w:val="000000"/>
          <w:szCs w:val="32"/>
        </w:rPr>
        <w:t xml:space="preserve"> 《浙江省重大产业项目申报标准》（2020</w:t>
      </w:r>
      <w:r>
        <w:rPr>
          <w:rFonts w:hint="eastAsia" w:eastAsia="黑体"/>
          <w:color w:val="000000"/>
          <w:szCs w:val="32"/>
        </w:rPr>
        <w:t>年</w:t>
      </w:r>
      <w:r>
        <w:rPr>
          <w:rFonts w:eastAsia="黑体"/>
          <w:color w:val="000000"/>
          <w:szCs w:val="32"/>
        </w:rPr>
        <w:t>版）</w:t>
      </w:r>
    </w:p>
    <w:tbl>
      <w:tblPr>
        <w:tblStyle w:val="13"/>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986"/>
        <w:gridCol w:w="992"/>
        <w:gridCol w:w="1134"/>
        <w:gridCol w:w="851"/>
        <w:gridCol w:w="913"/>
        <w:gridCol w:w="1329"/>
        <w:gridCol w:w="1194"/>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3114" w:type="dxa"/>
            <w:gridSpan w:val="2"/>
            <w:vMerge w:val="restart"/>
            <w:vAlign w:val="center"/>
          </w:tcPr>
          <w:p>
            <w:pPr>
              <w:pStyle w:val="29"/>
              <w:adjustRightInd w:val="0"/>
              <w:snapToGrid w:val="0"/>
              <w:ind w:firstLine="0" w:firstLineChars="0"/>
              <w:jc w:val="center"/>
              <w:rPr>
                <w:sz w:val="21"/>
                <w:szCs w:val="21"/>
              </w:rPr>
            </w:pPr>
            <w:r>
              <w:rPr>
                <w:rFonts w:eastAsia="黑体"/>
                <w:color w:val="000000" w:themeColor="text1"/>
                <w:sz w:val="21"/>
                <w:szCs w:val="21"/>
                <w:lang w:val="zh-CN"/>
                <w14:textFill>
                  <w14:solidFill>
                    <w14:schemeClr w14:val="tx1"/>
                  </w14:solidFill>
                </w14:textFill>
              </w:rPr>
              <w:t>项目分类</w:t>
            </w:r>
          </w:p>
        </w:tc>
        <w:tc>
          <w:tcPr>
            <w:tcW w:w="3890" w:type="dxa"/>
            <w:gridSpan w:val="4"/>
            <w:vAlign w:val="center"/>
          </w:tcPr>
          <w:p>
            <w:pPr>
              <w:pStyle w:val="29"/>
              <w:adjustRightInd w:val="0"/>
              <w:snapToGrid w:val="0"/>
              <w:ind w:firstLine="0" w:firstLineChars="0"/>
              <w:jc w:val="center"/>
              <w:rPr>
                <w:rFonts w:eastAsia="黑体"/>
                <w:color w:val="000000" w:themeColor="text1"/>
                <w:sz w:val="21"/>
                <w:szCs w:val="21"/>
                <w14:textFill>
                  <w14:solidFill>
                    <w14:schemeClr w14:val="tx1"/>
                  </w14:solidFill>
                </w14:textFill>
              </w:rPr>
            </w:pPr>
            <w:r>
              <w:rPr>
                <w:rFonts w:eastAsia="黑体"/>
                <w:color w:val="000000" w:themeColor="text1"/>
                <w:sz w:val="21"/>
                <w:szCs w:val="21"/>
                <w:lang w:val="zh-CN"/>
                <w14:textFill>
                  <w14:solidFill>
                    <w14:schemeClr w14:val="tx1"/>
                  </w14:solidFill>
                </w14:textFill>
              </w:rPr>
              <w:t>约束性指标</w:t>
            </w:r>
          </w:p>
        </w:tc>
        <w:tc>
          <w:tcPr>
            <w:tcW w:w="4030" w:type="dxa"/>
            <w:gridSpan w:val="3"/>
            <w:vAlign w:val="center"/>
          </w:tcPr>
          <w:p>
            <w:pPr>
              <w:pStyle w:val="29"/>
              <w:adjustRightInd w:val="0"/>
              <w:snapToGrid w:val="0"/>
              <w:ind w:firstLine="0" w:firstLineChars="0"/>
              <w:jc w:val="center"/>
              <w:rPr>
                <w:rFonts w:eastAsia="黑体"/>
                <w:color w:val="000000" w:themeColor="text1"/>
                <w:sz w:val="21"/>
                <w:szCs w:val="21"/>
                <w14:textFill>
                  <w14:solidFill>
                    <w14:schemeClr w14:val="tx1"/>
                  </w14:solidFill>
                </w14:textFill>
              </w:rPr>
            </w:pPr>
            <w:r>
              <w:rPr>
                <w:rFonts w:eastAsia="黑体"/>
                <w:color w:val="000000" w:themeColor="text1"/>
                <w:sz w:val="21"/>
                <w:szCs w:val="21"/>
                <w14:textFill>
                  <w14:solidFill>
                    <w14:schemeClr w14:val="tx1"/>
                  </w14:solidFill>
                </w14:textFill>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blHeader/>
          <w:jc w:val="center"/>
        </w:trPr>
        <w:tc>
          <w:tcPr>
            <w:tcW w:w="3114" w:type="dxa"/>
            <w:gridSpan w:val="2"/>
            <w:vMerge w:val="continue"/>
            <w:vAlign w:val="center"/>
          </w:tcPr>
          <w:p>
            <w:pPr>
              <w:pStyle w:val="29"/>
              <w:adjustRightInd w:val="0"/>
              <w:snapToGrid w:val="0"/>
              <w:ind w:firstLine="0" w:firstLineChars="0"/>
              <w:rPr>
                <w:sz w:val="21"/>
                <w:szCs w:val="21"/>
              </w:rPr>
            </w:pPr>
          </w:p>
        </w:tc>
        <w:tc>
          <w:tcPr>
            <w:tcW w:w="992" w:type="dxa"/>
            <w:vAlign w:val="center"/>
          </w:tcPr>
          <w:p>
            <w:pPr>
              <w:autoSpaceDE w:val="0"/>
              <w:autoSpaceDN w:val="0"/>
              <w:adjustRightInd w:val="0"/>
              <w:jc w:val="center"/>
              <w:rPr>
                <w:rFonts w:eastAsia="黑体"/>
                <w:color w:val="000000" w:themeColor="text1"/>
                <w:sz w:val="21"/>
                <w:szCs w:val="21"/>
                <w:lang w:val="zh-CN"/>
                <w14:textFill>
                  <w14:solidFill>
                    <w14:schemeClr w14:val="tx1"/>
                  </w14:solidFill>
                </w14:textFill>
              </w:rPr>
            </w:pPr>
            <w:r>
              <w:rPr>
                <w:rFonts w:eastAsia="黑体"/>
                <w:color w:val="000000" w:themeColor="text1"/>
                <w:sz w:val="21"/>
                <w:szCs w:val="21"/>
                <w:lang w:val="zh-CN"/>
                <w14:textFill>
                  <w14:solidFill>
                    <w14:schemeClr w14:val="tx1"/>
                  </w14:solidFill>
                </w14:textFill>
              </w:rPr>
              <w:t>固定资产投资</w:t>
            </w:r>
          </w:p>
          <w:p>
            <w:pPr>
              <w:autoSpaceDE w:val="0"/>
              <w:autoSpaceDN w:val="0"/>
              <w:adjustRightInd w:val="0"/>
              <w:jc w:val="center"/>
              <w:rPr>
                <w:rFonts w:eastAsia="黑体"/>
                <w:color w:val="000000" w:themeColor="text1"/>
                <w:sz w:val="21"/>
                <w:szCs w:val="21"/>
                <w:lang w:val="zh-CN"/>
                <w14:textFill>
                  <w14:solidFill>
                    <w14:schemeClr w14:val="tx1"/>
                  </w14:solidFill>
                </w14:textFill>
              </w:rPr>
            </w:pPr>
            <w:r>
              <w:rPr>
                <w:rFonts w:eastAsia="黑体"/>
                <w:color w:val="000000" w:themeColor="text1"/>
                <w:sz w:val="21"/>
                <w:szCs w:val="21"/>
                <w14:textFill>
                  <w14:solidFill>
                    <w14:schemeClr w14:val="tx1"/>
                  </w14:solidFill>
                </w14:textFill>
              </w:rPr>
              <w:t>(</w:t>
            </w:r>
            <w:r>
              <w:rPr>
                <w:rFonts w:eastAsia="黑体"/>
                <w:color w:val="000000" w:themeColor="text1"/>
                <w:sz w:val="21"/>
                <w:szCs w:val="21"/>
                <w:lang w:val="zh-CN"/>
                <w14:textFill>
                  <w14:solidFill>
                    <w14:schemeClr w14:val="tx1"/>
                  </w14:solidFill>
                </w14:textFill>
              </w:rPr>
              <w:t>亿元</w:t>
            </w:r>
            <w:r>
              <w:rPr>
                <w:rFonts w:eastAsia="黑体"/>
                <w:color w:val="000000" w:themeColor="text1"/>
                <w:sz w:val="21"/>
                <w:szCs w:val="21"/>
                <w14:textFill>
                  <w14:solidFill>
                    <w14:schemeClr w14:val="tx1"/>
                  </w14:solidFill>
                </w14:textFill>
              </w:rPr>
              <w:t>)</w:t>
            </w:r>
          </w:p>
        </w:tc>
        <w:tc>
          <w:tcPr>
            <w:tcW w:w="1134" w:type="dxa"/>
            <w:vAlign w:val="center"/>
          </w:tcPr>
          <w:p>
            <w:pPr>
              <w:autoSpaceDE w:val="0"/>
              <w:autoSpaceDN w:val="0"/>
              <w:adjustRightInd w:val="0"/>
              <w:jc w:val="center"/>
              <w:rPr>
                <w:rFonts w:eastAsia="黑体"/>
                <w:color w:val="000000" w:themeColor="text1"/>
                <w:sz w:val="21"/>
                <w:szCs w:val="21"/>
                <w:lang w:val="zh-CN"/>
                <w14:textFill>
                  <w14:solidFill>
                    <w14:schemeClr w14:val="tx1"/>
                  </w14:solidFill>
                </w14:textFill>
              </w:rPr>
            </w:pPr>
            <w:r>
              <w:rPr>
                <w:rFonts w:eastAsia="黑体"/>
                <w:color w:val="000000" w:themeColor="text1"/>
                <w:sz w:val="21"/>
                <w:szCs w:val="21"/>
                <w:lang w:val="zh-CN"/>
                <w14:textFill>
                  <w14:solidFill>
                    <w14:schemeClr w14:val="tx1"/>
                  </w14:solidFill>
                </w14:textFill>
              </w:rPr>
              <w:t>投资强度</w:t>
            </w:r>
            <w:r>
              <w:rPr>
                <w:rFonts w:eastAsia="黑体"/>
                <w:color w:val="000000" w:themeColor="text1"/>
                <w:sz w:val="21"/>
                <w:szCs w:val="21"/>
                <w14:textFill>
                  <w14:solidFill>
                    <w14:schemeClr w14:val="tx1"/>
                  </w14:solidFill>
                </w14:textFill>
              </w:rPr>
              <w:t>(</w:t>
            </w:r>
            <w:r>
              <w:rPr>
                <w:rFonts w:eastAsia="黑体"/>
                <w:color w:val="000000" w:themeColor="text1"/>
                <w:sz w:val="21"/>
                <w:szCs w:val="21"/>
                <w:lang w:val="zh-CN"/>
                <w14:textFill>
                  <w14:solidFill>
                    <w14:schemeClr w14:val="tx1"/>
                  </w14:solidFill>
                </w14:textFill>
              </w:rPr>
              <w:t>万元</w:t>
            </w:r>
            <w:r>
              <w:rPr>
                <w:rFonts w:eastAsia="黑体"/>
                <w:color w:val="000000" w:themeColor="text1"/>
                <w:sz w:val="21"/>
                <w:szCs w:val="21"/>
                <w14:textFill>
                  <w14:solidFill>
                    <w14:schemeClr w14:val="tx1"/>
                  </w14:solidFill>
                </w14:textFill>
              </w:rPr>
              <w:t>/</w:t>
            </w:r>
            <w:r>
              <w:rPr>
                <w:rFonts w:eastAsia="黑体"/>
                <w:color w:val="000000" w:themeColor="text1"/>
                <w:sz w:val="21"/>
                <w:szCs w:val="21"/>
                <w:lang w:val="zh-CN"/>
                <w14:textFill>
                  <w14:solidFill>
                    <w14:schemeClr w14:val="tx1"/>
                  </w14:solidFill>
                </w14:textFill>
              </w:rPr>
              <w:t>亩</w:t>
            </w:r>
            <w:r>
              <w:rPr>
                <w:rFonts w:eastAsia="黑体"/>
                <w:color w:val="000000" w:themeColor="text1"/>
                <w:sz w:val="21"/>
                <w:szCs w:val="21"/>
                <w14:textFill>
                  <w14:solidFill>
                    <w14:schemeClr w14:val="tx1"/>
                  </w14:solidFill>
                </w14:textFill>
              </w:rPr>
              <w:t>)</w:t>
            </w:r>
          </w:p>
        </w:tc>
        <w:tc>
          <w:tcPr>
            <w:tcW w:w="851" w:type="dxa"/>
            <w:vAlign w:val="center"/>
          </w:tcPr>
          <w:p>
            <w:pPr>
              <w:autoSpaceDE w:val="0"/>
              <w:autoSpaceDN w:val="0"/>
              <w:adjustRightInd w:val="0"/>
              <w:jc w:val="center"/>
              <w:rPr>
                <w:rFonts w:eastAsia="黑体"/>
                <w:color w:val="000000" w:themeColor="text1"/>
                <w:sz w:val="21"/>
                <w:szCs w:val="21"/>
                <w:lang w:val="zh-CN"/>
                <w14:textFill>
                  <w14:solidFill>
                    <w14:schemeClr w14:val="tx1"/>
                  </w14:solidFill>
                </w14:textFill>
              </w:rPr>
            </w:pPr>
            <w:r>
              <w:rPr>
                <w:rFonts w:eastAsia="黑体"/>
                <w:color w:val="000000" w:themeColor="text1"/>
                <w:sz w:val="21"/>
                <w:szCs w:val="21"/>
                <w:lang w:val="zh-CN"/>
                <w14:textFill>
                  <w14:solidFill>
                    <w14:schemeClr w14:val="tx1"/>
                  </w14:solidFill>
                </w14:textFill>
              </w:rPr>
              <w:t>容积率</w:t>
            </w:r>
          </w:p>
        </w:tc>
        <w:tc>
          <w:tcPr>
            <w:tcW w:w="913" w:type="dxa"/>
            <w:vAlign w:val="center"/>
          </w:tcPr>
          <w:p>
            <w:pPr>
              <w:pStyle w:val="29"/>
              <w:adjustRightInd w:val="0"/>
              <w:snapToGrid w:val="0"/>
              <w:ind w:firstLine="0" w:firstLineChars="0"/>
              <w:jc w:val="center"/>
              <w:rPr>
                <w:rFonts w:eastAsia="黑体"/>
                <w:color w:val="000000" w:themeColor="text1"/>
                <w:sz w:val="21"/>
                <w:szCs w:val="21"/>
                <w:lang w:val="zh-CN"/>
                <w14:textFill>
                  <w14:solidFill>
                    <w14:schemeClr w14:val="tx1"/>
                  </w14:solidFill>
                </w14:textFill>
              </w:rPr>
            </w:pPr>
            <w:r>
              <w:rPr>
                <w:rFonts w:eastAsia="黑体"/>
                <w:color w:val="000000" w:themeColor="text1"/>
                <w:sz w:val="21"/>
                <w:szCs w:val="21"/>
                <w:lang w:val="zh-CN"/>
                <w14:textFill>
                  <w14:solidFill>
                    <w14:schemeClr w14:val="tx1"/>
                  </w14:solidFill>
                </w14:textFill>
              </w:rPr>
              <w:t>软投入</w:t>
            </w:r>
          </w:p>
          <w:p>
            <w:pPr>
              <w:pStyle w:val="29"/>
              <w:adjustRightInd w:val="0"/>
              <w:snapToGrid w:val="0"/>
              <w:ind w:firstLine="0" w:firstLineChars="0"/>
              <w:jc w:val="center"/>
              <w:rPr>
                <w:rFonts w:eastAsia="黑体"/>
                <w:color w:val="000000" w:themeColor="text1"/>
                <w:sz w:val="21"/>
                <w:szCs w:val="21"/>
                <w:lang w:val="zh-CN"/>
                <w14:textFill>
                  <w14:solidFill>
                    <w14:schemeClr w14:val="tx1"/>
                  </w14:solidFill>
                </w14:textFill>
              </w:rPr>
            </w:pPr>
            <w:r>
              <w:rPr>
                <w:rFonts w:eastAsia="黑体"/>
                <w:color w:val="000000" w:themeColor="text1"/>
                <w:sz w:val="21"/>
                <w:szCs w:val="21"/>
                <w:lang w:val="zh-CN"/>
                <w14:textFill>
                  <w14:solidFill>
                    <w14:schemeClr w14:val="tx1"/>
                  </w14:solidFill>
                </w14:textFill>
              </w:rPr>
              <w:t>（%）</w:t>
            </w:r>
          </w:p>
        </w:tc>
        <w:tc>
          <w:tcPr>
            <w:tcW w:w="1329" w:type="dxa"/>
            <w:vAlign w:val="center"/>
          </w:tcPr>
          <w:p>
            <w:pPr>
              <w:pStyle w:val="29"/>
              <w:adjustRightInd w:val="0"/>
              <w:snapToGrid w:val="0"/>
              <w:ind w:firstLine="0" w:firstLineChars="0"/>
              <w:jc w:val="center"/>
              <w:rPr>
                <w:rFonts w:eastAsia="黑体"/>
                <w:color w:val="000000" w:themeColor="text1"/>
                <w:sz w:val="21"/>
                <w:szCs w:val="21"/>
                <w:lang w:val="zh-CN"/>
                <w14:textFill>
                  <w14:solidFill>
                    <w14:schemeClr w14:val="tx1"/>
                  </w14:solidFill>
                </w14:textFill>
              </w:rPr>
            </w:pPr>
            <w:r>
              <w:rPr>
                <w:rFonts w:eastAsia="黑体"/>
                <w:color w:val="000000" w:themeColor="text1"/>
                <w:sz w:val="21"/>
                <w:szCs w:val="21"/>
                <w:lang w:val="zh-CN"/>
                <w14:textFill>
                  <w14:solidFill>
                    <w14:schemeClr w14:val="tx1"/>
                  </w14:solidFill>
                </w14:textFill>
              </w:rPr>
              <w:t>亩均增加值</w:t>
            </w:r>
          </w:p>
          <w:p>
            <w:pPr>
              <w:pStyle w:val="29"/>
              <w:adjustRightInd w:val="0"/>
              <w:snapToGrid w:val="0"/>
              <w:ind w:firstLine="0" w:firstLineChars="0"/>
              <w:jc w:val="center"/>
              <w:rPr>
                <w:rFonts w:eastAsia="黑体"/>
                <w:color w:val="000000" w:themeColor="text1"/>
                <w:sz w:val="21"/>
                <w:szCs w:val="21"/>
                <w:lang w:val="zh-CN"/>
                <w14:textFill>
                  <w14:solidFill>
                    <w14:schemeClr w14:val="tx1"/>
                  </w14:solidFill>
                </w14:textFill>
              </w:rPr>
            </w:pPr>
            <w:r>
              <w:rPr>
                <w:rFonts w:eastAsia="黑体"/>
                <w:color w:val="000000" w:themeColor="text1"/>
                <w:sz w:val="21"/>
                <w:szCs w:val="21"/>
                <w14:textFill>
                  <w14:solidFill>
                    <w14:schemeClr w14:val="tx1"/>
                  </w14:solidFill>
                </w14:textFill>
              </w:rPr>
              <w:t>(</w:t>
            </w:r>
            <w:r>
              <w:rPr>
                <w:rFonts w:eastAsia="黑体"/>
                <w:color w:val="000000" w:themeColor="text1"/>
                <w:sz w:val="21"/>
                <w:szCs w:val="21"/>
                <w:lang w:val="zh-CN"/>
                <w14:textFill>
                  <w14:solidFill>
                    <w14:schemeClr w14:val="tx1"/>
                  </w14:solidFill>
                </w14:textFill>
              </w:rPr>
              <w:t>万元</w:t>
            </w:r>
            <w:r>
              <w:rPr>
                <w:rFonts w:eastAsia="黑体"/>
                <w:color w:val="000000" w:themeColor="text1"/>
                <w:sz w:val="21"/>
                <w:szCs w:val="21"/>
                <w14:textFill>
                  <w14:solidFill>
                    <w14:schemeClr w14:val="tx1"/>
                  </w14:solidFill>
                </w14:textFill>
              </w:rPr>
              <w:t>/</w:t>
            </w:r>
            <w:r>
              <w:rPr>
                <w:rFonts w:eastAsia="黑体"/>
                <w:color w:val="000000" w:themeColor="text1"/>
                <w:sz w:val="21"/>
                <w:szCs w:val="21"/>
                <w:lang w:val="zh-CN"/>
                <w14:textFill>
                  <w14:solidFill>
                    <w14:schemeClr w14:val="tx1"/>
                  </w14:solidFill>
                </w14:textFill>
              </w:rPr>
              <w:t>亩</w:t>
            </w:r>
            <w:r>
              <w:rPr>
                <w:rFonts w:eastAsia="黑体"/>
                <w:color w:val="000000" w:themeColor="text1"/>
                <w:sz w:val="21"/>
                <w:szCs w:val="21"/>
                <w14:textFill>
                  <w14:solidFill>
                    <w14:schemeClr w14:val="tx1"/>
                  </w14:solidFill>
                </w14:textFill>
              </w:rPr>
              <w:t>)</w:t>
            </w:r>
          </w:p>
        </w:tc>
        <w:tc>
          <w:tcPr>
            <w:tcW w:w="1194" w:type="dxa"/>
            <w:vAlign w:val="center"/>
          </w:tcPr>
          <w:p>
            <w:pPr>
              <w:pStyle w:val="29"/>
              <w:adjustRightInd w:val="0"/>
              <w:snapToGrid w:val="0"/>
              <w:ind w:firstLine="0" w:firstLineChars="0"/>
              <w:jc w:val="center"/>
              <w:rPr>
                <w:rFonts w:eastAsia="黑体"/>
                <w:color w:val="000000" w:themeColor="text1"/>
                <w:sz w:val="21"/>
                <w:szCs w:val="21"/>
                <w:lang w:val="zh-CN"/>
                <w14:textFill>
                  <w14:solidFill>
                    <w14:schemeClr w14:val="tx1"/>
                  </w14:solidFill>
                </w14:textFill>
              </w:rPr>
            </w:pPr>
            <w:r>
              <w:rPr>
                <w:rFonts w:eastAsia="黑体"/>
                <w:color w:val="000000" w:themeColor="text1"/>
                <w:sz w:val="21"/>
                <w:szCs w:val="21"/>
                <w14:textFill>
                  <w14:solidFill>
                    <w14:schemeClr w14:val="tx1"/>
                  </w14:solidFill>
                </w14:textFill>
              </w:rPr>
              <w:t>亩均税收(万元/亩）</w:t>
            </w:r>
          </w:p>
        </w:tc>
        <w:tc>
          <w:tcPr>
            <w:tcW w:w="1507" w:type="dxa"/>
            <w:vAlign w:val="center"/>
          </w:tcPr>
          <w:p>
            <w:pPr>
              <w:autoSpaceDE w:val="0"/>
              <w:autoSpaceDN w:val="0"/>
              <w:adjustRightInd w:val="0"/>
              <w:jc w:val="center"/>
              <w:rPr>
                <w:rFonts w:eastAsia="黑体"/>
                <w:color w:val="000000" w:themeColor="text1"/>
                <w:sz w:val="21"/>
                <w:szCs w:val="21"/>
                <w14:textFill>
                  <w14:solidFill>
                    <w14:schemeClr w14:val="tx1"/>
                  </w14:solidFill>
                </w14:textFill>
              </w:rPr>
            </w:pPr>
            <w:r>
              <w:rPr>
                <w:rFonts w:eastAsia="黑体"/>
                <w:color w:val="000000" w:themeColor="text1"/>
                <w:sz w:val="21"/>
                <w:szCs w:val="21"/>
                <w14:textFill>
                  <w14:solidFill>
                    <w14:schemeClr w14:val="tx1"/>
                  </w14:solidFill>
                </w14:textFill>
              </w:rPr>
              <w:t>增加值能耗</w:t>
            </w:r>
          </w:p>
          <w:p>
            <w:pPr>
              <w:autoSpaceDE w:val="0"/>
              <w:autoSpaceDN w:val="0"/>
              <w:adjustRightInd w:val="0"/>
              <w:snapToGrid w:val="0"/>
              <w:jc w:val="center"/>
              <w:rPr>
                <w:rFonts w:eastAsia="黑体"/>
                <w:color w:val="000000" w:themeColor="text1"/>
                <w:sz w:val="21"/>
                <w:szCs w:val="21"/>
                <w:lang w:val="zh-CN"/>
                <w14:textFill>
                  <w14:solidFill>
                    <w14:schemeClr w14:val="tx1"/>
                  </w14:solidFill>
                </w14:textFill>
              </w:rPr>
            </w:pPr>
            <w:r>
              <w:rPr>
                <w:rFonts w:eastAsia="黑体"/>
                <w:color w:val="000000" w:themeColor="text1"/>
                <w:sz w:val="21"/>
                <w:szCs w:val="21"/>
                <w14:textFill>
                  <w14:solidFill>
                    <w14:schemeClr w14:val="tx1"/>
                  </w14:solidFill>
                </w14:textFill>
              </w:rPr>
              <w:t>(</w:t>
            </w:r>
            <w:r>
              <w:rPr>
                <w:rFonts w:eastAsia="黑体"/>
                <w:color w:val="000000" w:themeColor="text1"/>
                <w:sz w:val="21"/>
                <w:szCs w:val="21"/>
                <w:lang w:val="zh-CN"/>
                <w14:textFill>
                  <w14:solidFill>
                    <w14:schemeClr w14:val="tx1"/>
                  </w14:solidFill>
                </w14:textFill>
              </w:rPr>
              <w:t>吨标煤</w:t>
            </w:r>
            <w:r>
              <w:rPr>
                <w:rFonts w:eastAsia="黑体"/>
                <w:color w:val="000000" w:themeColor="text1"/>
                <w:sz w:val="21"/>
                <w:szCs w:val="21"/>
                <w14:textFill>
                  <w14:solidFill>
                    <w14:schemeClr w14:val="tx1"/>
                  </w14:solidFill>
                </w14:textFill>
              </w:rPr>
              <w:t>/</w:t>
            </w:r>
            <w:r>
              <w:rPr>
                <w:rFonts w:eastAsia="黑体"/>
                <w:color w:val="000000" w:themeColor="text1"/>
                <w:sz w:val="21"/>
                <w:szCs w:val="21"/>
                <w:lang w:val="zh-CN"/>
                <w14:textFill>
                  <w14:solidFill>
                    <w14:schemeClr w14:val="tx1"/>
                  </w14:solidFill>
                </w14:textFill>
              </w:rPr>
              <w:t>万元</w:t>
            </w:r>
            <w:r>
              <w:rPr>
                <w:rFonts w:eastAsia="黑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114" w:type="dxa"/>
            <w:gridSpan w:val="2"/>
            <w:vAlign w:val="center"/>
          </w:tcPr>
          <w:p>
            <w:pPr>
              <w:pStyle w:val="2"/>
              <w:autoSpaceDE w:val="0"/>
              <w:autoSpaceDN w:val="0"/>
              <w:adjustRightInd w:val="0"/>
              <w:snapToGrid w:val="0"/>
              <w:spacing w:line="240" w:lineRule="auto"/>
              <w:ind w:firstLine="0"/>
              <w:rPr>
                <w:rFonts w:ascii="Times New Roman" w:hAnsi="Times New Roman" w:eastAsia="黑体"/>
                <w:color w:val="000000" w:themeColor="text1"/>
                <w:sz w:val="21"/>
                <w:szCs w:val="21"/>
                <w14:textFill>
                  <w14:solidFill>
                    <w14:schemeClr w14:val="tx1"/>
                  </w14:solidFill>
                </w14:textFill>
              </w:rPr>
            </w:pPr>
            <w:r>
              <w:rPr>
                <w:rFonts w:ascii="Times New Roman" w:hAnsi="Times New Roman" w:eastAsia="黑体"/>
                <w:color w:val="000000" w:themeColor="text1"/>
                <w:sz w:val="21"/>
                <w:szCs w:val="21"/>
                <w14:textFill>
                  <w14:solidFill>
                    <w14:schemeClr w14:val="tx1"/>
                  </w14:solidFill>
                </w14:textFill>
              </w:rPr>
              <w:t>一、</w:t>
            </w:r>
            <w:r>
              <w:rPr>
                <w:rFonts w:hint="eastAsia" w:ascii="Times New Roman" w:hAnsi="Times New Roman" w:eastAsia="黑体"/>
                <w:color w:val="000000" w:themeColor="text1"/>
                <w:sz w:val="21"/>
                <w:szCs w:val="21"/>
                <w14:textFill>
                  <w14:solidFill>
                    <w14:schemeClr w14:val="tx1"/>
                  </w14:solidFill>
                </w14:textFill>
              </w:rPr>
              <w:t>特别</w:t>
            </w:r>
            <w:r>
              <w:rPr>
                <w:rFonts w:ascii="Times New Roman" w:hAnsi="Times New Roman" w:eastAsia="黑体"/>
                <w:color w:val="000000" w:themeColor="text1"/>
                <w:sz w:val="21"/>
                <w:szCs w:val="21"/>
                <w14:textFill>
                  <w14:solidFill>
                    <w14:schemeClr w14:val="tx1"/>
                  </w14:solidFill>
                </w14:textFill>
              </w:rPr>
              <w:t>重大产业项目</w:t>
            </w:r>
          </w:p>
        </w:tc>
        <w:tc>
          <w:tcPr>
            <w:tcW w:w="992" w:type="dxa"/>
            <w:vAlign w:val="center"/>
          </w:tcPr>
          <w:p>
            <w:pPr>
              <w:pStyle w:val="2"/>
              <w:autoSpaceDE w:val="0"/>
              <w:autoSpaceDN w:val="0"/>
              <w:adjustRightInd w:val="0"/>
              <w:snapToGrid w:val="0"/>
              <w:spacing w:line="240" w:lineRule="auto"/>
              <w:ind w:firstLine="0"/>
              <w:rPr>
                <w:rFonts w:ascii="Times New Roman" w:hAnsi="Times New Roman" w:eastAsia="黑体"/>
                <w:color w:val="000000" w:themeColor="text1"/>
                <w:sz w:val="21"/>
                <w:szCs w:val="21"/>
                <w14:textFill>
                  <w14:solidFill>
                    <w14:schemeClr w14:val="tx1"/>
                  </w14:solidFill>
                </w14:textFill>
              </w:rPr>
            </w:pPr>
          </w:p>
        </w:tc>
        <w:tc>
          <w:tcPr>
            <w:tcW w:w="1134" w:type="dxa"/>
            <w:vAlign w:val="center"/>
          </w:tcPr>
          <w:p>
            <w:pPr>
              <w:pStyle w:val="2"/>
              <w:autoSpaceDE w:val="0"/>
              <w:autoSpaceDN w:val="0"/>
              <w:adjustRightInd w:val="0"/>
              <w:snapToGrid w:val="0"/>
              <w:spacing w:line="240" w:lineRule="auto"/>
              <w:ind w:firstLine="0"/>
              <w:rPr>
                <w:rFonts w:ascii="Times New Roman" w:hAnsi="Times New Roman" w:eastAsia="黑体"/>
                <w:color w:val="000000" w:themeColor="text1"/>
                <w:sz w:val="21"/>
                <w:szCs w:val="21"/>
                <w14:textFill>
                  <w14:solidFill>
                    <w14:schemeClr w14:val="tx1"/>
                  </w14:solidFill>
                </w14:textFill>
              </w:rPr>
            </w:pPr>
          </w:p>
        </w:tc>
        <w:tc>
          <w:tcPr>
            <w:tcW w:w="851" w:type="dxa"/>
            <w:vAlign w:val="center"/>
          </w:tcPr>
          <w:p>
            <w:pPr>
              <w:pStyle w:val="2"/>
              <w:autoSpaceDE w:val="0"/>
              <w:autoSpaceDN w:val="0"/>
              <w:adjustRightInd w:val="0"/>
              <w:snapToGrid w:val="0"/>
              <w:spacing w:line="240" w:lineRule="auto"/>
              <w:ind w:firstLine="0"/>
              <w:rPr>
                <w:rFonts w:ascii="Times New Roman" w:hAnsi="Times New Roman" w:eastAsia="黑体"/>
                <w:color w:val="000000" w:themeColor="text1"/>
                <w:sz w:val="21"/>
                <w:szCs w:val="21"/>
                <w14:textFill>
                  <w14:solidFill>
                    <w14:schemeClr w14:val="tx1"/>
                  </w14:solidFill>
                </w14:textFill>
              </w:rPr>
            </w:pPr>
          </w:p>
        </w:tc>
        <w:tc>
          <w:tcPr>
            <w:tcW w:w="913" w:type="dxa"/>
            <w:vAlign w:val="center"/>
          </w:tcPr>
          <w:p>
            <w:pPr>
              <w:pStyle w:val="2"/>
              <w:autoSpaceDE w:val="0"/>
              <w:autoSpaceDN w:val="0"/>
              <w:adjustRightInd w:val="0"/>
              <w:snapToGrid w:val="0"/>
              <w:spacing w:line="240" w:lineRule="auto"/>
              <w:ind w:firstLine="0"/>
              <w:rPr>
                <w:rFonts w:ascii="Times New Roman" w:hAnsi="Times New Roman" w:eastAsia="黑体"/>
                <w:color w:val="000000" w:themeColor="text1"/>
                <w:sz w:val="21"/>
                <w:szCs w:val="21"/>
                <w14:textFill>
                  <w14:solidFill>
                    <w14:schemeClr w14:val="tx1"/>
                  </w14:solidFill>
                </w14:textFill>
              </w:rPr>
            </w:pPr>
          </w:p>
        </w:tc>
        <w:tc>
          <w:tcPr>
            <w:tcW w:w="1329" w:type="dxa"/>
            <w:vAlign w:val="center"/>
          </w:tcPr>
          <w:p>
            <w:pPr>
              <w:pStyle w:val="2"/>
              <w:autoSpaceDE w:val="0"/>
              <w:autoSpaceDN w:val="0"/>
              <w:adjustRightInd w:val="0"/>
              <w:snapToGrid w:val="0"/>
              <w:spacing w:line="240" w:lineRule="auto"/>
              <w:ind w:firstLine="0"/>
              <w:rPr>
                <w:rFonts w:ascii="Times New Roman" w:hAnsi="Times New Roman" w:eastAsia="黑体"/>
                <w:color w:val="000000" w:themeColor="text1"/>
                <w:sz w:val="21"/>
                <w:szCs w:val="21"/>
                <w14:textFill>
                  <w14:solidFill>
                    <w14:schemeClr w14:val="tx1"/>
                  </w14:solidFill>
                </w14:textFill>
              </w:rPr>
            </w:pPr>
          </w:p>
        </w:tc>
        <w:tc>
          <w:tcPr>
            <w:tcW w:w="1194" w:type="dxa"/>
            <w:vAlign w:val="center"/>
          </w:tcPr>
          <w:p>
            <w:pPr>
              <w:pStyle w:val="2"/>
              <w:autoSpaceDE w:val="0"/>
              <w:autoSpaceDN w:val="0"/>
              <w:adjustRightInd w:val="0"/>
              <w:snapToGrid w:val="0"/>
              <w:spacing w:line="240" w:lineRule="auto"/>
              <w:ind w:firstLine="0"/>
              <w:rPr>
                <w:rFonts w:ascii="Times New Roman" w:hAnsi="Times New Roman" w:eastAsia="黑体"/>
                <w:color w:val="000000" w:themeColor="text1"/>
                <w:sz w:val="21"/>
                <w:szCs w:val="21"/>
                <w14:textFill>
                  <w14:solidFill>
                    <w14:schemeClr w14:val="tx1"/>
                  </w14:solidFill>
                </w14:textFill>
              </w:rPr>
            </w:pPr>
          </w:p>
        </w:tc>
        <w:tc>
          <w:tcPr>
            <w:tcW w:w="1507" w:type="dxa"/>
            <w:vAlign w:val="center"/>
          </w:tcPr>
          <w:p>
            <w:pPr>
              <w:pStyle w:val="2"/>
              <w:autoSpaceDE w:val="0"/>
              <w:autoSpaceDN w:val="0"/>
              <w:adjustRightInd w:val="0"/>
              <w:snapToGrid w:val="0"/>
              <w:spacing w:line="240" w:lineRule="auto"/>
              <w:ind w:firstLine="0"/>
              <w:rPr>
                <w:rFonts w:ascii="Times New Roman" w:hAnsi="Times New Roman" w:eastAsia="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114" w:type="dxa"/>
            <w:gridSpan w:val="2"/>
            <w:vAlign w:val="center"/>
          </w:tcPr>
          <w:p>
            <w:pPr>
              <w:pStyle w:val="29"/>
              <w:adjustRightInd w:val="0"/>
              <w:snapToGrid w:val="0"/>
              <w:ind w:firstLine="0" w:firstLineChars="0"/>
              <w:rPr>
                <w:sz w:val="18"/>
                <w:szCs w:val="18"/>
              </w:rPr>
            </w:pPr>
            <w:r>
              <w:rPr>
                <w:color w:val="000000"/>
                <w:kern w:val="0"/>
                <w:sz w:val="18"/>
                <w:szCs w:val="18"/>
              </w:rPr>
              <w:t>数字经济、生命健康、新材料、高端装备制造、重大科技创新等项目。</w:t>
            </w:r>
          </w:p>
        </w:tc>
        <w:tc>
          <w:tcPr>
            <w:tcW w:w="992" w:type="dxa"/>
            <w:vAlign w:val="center"/>
          </w:tcPr>
          <w:p>
            <w:pPr>
              <w:autoSpaceDE w:val="0"/>
              <w:autoSpaceDN w:val="0"/>
              <w:adjustRightInd w:val="0"/>
              <w:jc w:val="center"/>
              <w:rPr>
                <w:color w:val="000000" w:themeColor="text1"/>
                <w:sz w:val="18"/>
                <w:szCs w:val="18"/>
                <w14:textFill>
                  <w14:solidFill>
                    <w14:schemeClr w14:val="tx1"/>
                  </w14:solidFill>
                </w14:textFill>
              </w:rPr>
            </w:pPr>
            <w:r>
              <w:rPr>
                <w:sz w:val="18"/>
                <w:szCs w:val="18"/>
                <w:lang w:val="zh-CN"/>
              </w:rPr>
              <w:t>≥</w:t>
            </w:r>
            <w:r>
              <w:rPr>
                <w:sz w:val="18"/>
                <w:szCs w:val="18"/>
              </w:rPr>
              <w:t>50</w:t>
            </w:r>
          </w:p>
        </w:tc>
        <w:tc>
          <w:tcPr>
            <w:tcW w:w="1134" w:type="dxa"/>
            <w:vAlign w:val="center"/>
          </w:tcPr>
          <w:p>
            <w:pPr>
              <w:autoSpaceDE w:val="0"/>
              <w:autoSpaceDN w:val="0"/>
              <w:adjustRightInd w:val="0"/>
              <w:jc w:val="center"/>
              <w:rPr>
                <w:color w:val="000000" w:themeColor="text1"/>
                <w:sz w:val="18"/>
                <w:szCs w:val="18"/>
                <w:lang w:val="zh-CN"/>
                <w14:textFill>
                  <w14:solidFill>
                    <w14:schemeClr w14:val="tx1"/>
                  </w14:solidFill>
                </w14:textFill>
              </w:rPr>
            </w:pPr>
            <w:r>
              <w:rPr>
                <w:sz w:val="18"/>
                <w:szCs w:val="18"/>
                <w:lang w:val="zh-CN"/>
              </w:rPr>
              <w:t>≥</w:t>
            </w:r>
            <w:r>
              <w:rPr>
                <w:sz w:val="18"/>
                <w:szCs w:val="18"/>
              </w:rPr>
              <w:t>500</w:t>
            </w:r>
          </w:p>
        </w:tc>
        <w:tc>
          <w:tcPr>
            <w:tcW w:w="851" w:type="dxa"/>
            <w:vAlign w:val="center"/>
          </w:tcPr>
          <w:p>
            <w:pPr>
              <w:autoSpaceDE w:val="0"/>
              <w:autoSpaceDN w:val="0"/>
              <w:adjustRightInd w:val="0"/>
              <w:jc w:val="center"/>
              <w:rPr>
                <w:color w:val="000000" w:themeColor="text1"/>
                <w:sz w:val="18"/>
                <w:szCs w:val="18"/>
                <w:lang w:val="zh-CN"/>
                <w14:textFill>
                  <w14:solidFill>
                    <w14:schemeClr w14:val="tx1"/>
                  </w14:solidFill>
                </w14:textFill>
              </w:rPr>
            </w:pPr>
            <w:r>
              <w:rPr>
                <w:sz w:val="18"/>
                <w:szCs w:val="18"/>
                <w:lang w:val="zh-CN"/>
              </w:rPr>
              <w:t>≥</w:t>
            </w:r>
            <w:r>
              <w:rPr>
                <w:sz w:val="18"/>
                <w:szCs w:val="18"/>
              </w:rPr>
              <w:t>1.2</w:t>
            </w:r>
          </w:p>
        </w:tc>
        <w:tc>
          <w:tcPr>
            <w:tcW w:w="913" w:type="dxa"/>
            <w:vAlign w:val="center"/>
          </w:tcPr>
          <w:p>
            <w:pPr>
              <w:pStyle w:val="29"/>
              <w:adjustRightInd w:val="0"/>
              <w:snapToGrid w:val="0"/>
              <w:ind w:firstLine="0" w:firstLineChars="0"/>
              <w:jc w:val="center"/>
              <w:rPr>
                <w:sz w:val="18"/>
                <w:szCs w:val="18"/>
                <w:lang w:val="zh-CN"/>
              </w:rPr>
            </w:pPr>
            <w:r>
              <w:rPr>
                <w:sz w:val="18"/>
                <w:szCs w:val="18"/>
                <w:lang w:val="zh-CN"/>
              </w:rPr>
              <w:t>/</w:t>
            </w:r>
          </w:p>
        </w:tc>
        <w:tc>
          <w:tcPr>
            <w:tcW w:w="1329" w:type="dxa"/>
            <w:vAlign w:val="center"/>
          </w:tcPr>
          <w:p>
            <w:pPr>
              <w:pStyle w:val="29"/>
              <w:adjustRightInd w:val="0"/>
              <w:snapToGrid w:val="0"/>
              <w:ind w:firstLine="0" w:firstLineChars="0"/>
              <w:jc w:val="center"/>
              <w:rPr>
                <w:color w:val="000000" w:themeColor="text1"/>
                <w:sz w:val="18"/>
                <w:szCs w:val="18"/>
                <w14:textFill>
                  <w14:solidFill>
                    <w14:schemeClr w14:val="tx1"/>
                  </w14:solidFill>
                </w14:textFill>
              </w:rPr>
            </w:pPr>
            <w:r>
              <w:rPr>
                <w:sz w:val="18"/>
                <w:szCs w:val="18"/>
                <w:lang w:val="zh-CN"/>
              </w:rPr>
              <w:t>≥</w:t>
            </w:r>
            <w:r>
              <w:rPr>
                <w:sz w:val="18"/>
                <w:szCs w:val="18"/>
              </w:rPr>
              <w:t>160</w:t>
            </w:r>
          </w:p>
        </w:tc>
        <w:tc>
          <w:tcPr>
            <w:tcW w:w="1194" w:type="dxa"/>
            <w:vAlign w:val="center"/>
          </w:tcPr>
          <w:p>
            <w:pPr>
              <w:pStyle w:val="29"/>
              <w:adjustRightInd w:val="0"/>
              <w:snapToGrid w:val="0"/>
              <w:ind w:firstLine="0" w:firstLineChars="0"/>
              <w:jc w:val="center"/>
              <w:rPr>
                <w:color w:val="000000" w:themeColor="text1"/>
                <w:sz w:val="18"/>
                <w:szCs w:val="18"/>
                <w14:textFill>
                  <w14:solidFill>
                    <w14:schemeClr w14:val="tx1"/>
                  </w14:solidFill>
                </w14:textFill>
              </w:rPr>
            </w:pPr>
            <w:r>
              <w:rPr>
                <w:sz w:val="18"/>
                <w:szCs w:val="18"/>
                <w:lang w:val="zh-CN"/>
              </w:rPr>
              <w:t>≥</w:t>
            </w:r>
            <w:r>
              <w:rPr>
                <w:sz w:val="18"/>
                <w:szCs w:val="18"/>
              </w:rPr>
              <w:t>40</w:t>
            </w:r>
          </w:p>
        </w:tc>
        <w:tc>
          <w:tcPr>
            <w:tcW w:w="1507" w:type="dxa"/>
            <w:vAlign w:val="center"/>
          </w:tcPr>
          <w:p>
            <w:pPr>
              <w:autoSpaceDE w:val="0"/>
              <w:autoSpaceDN w:val="0"/>
              <w:adjustRightInd w:val="0"/>
              <w:snapToGrid w:val="0"/>
              <w:jc w:val="center"/>
              <w:rPr>
                <w:color w:val="000000" w:themeColor="text1"/>
                <w:sz w:val="18"/>
                <w:szCs w:val="18"/>
                <w14:textFill>
                  <w14:solidFill>
                    <w14:schemeClr w14:val="tx1"/>
                  </w14:solidFill>
                </w14:textFill>
              </w:rPr>
            </w:pPr>
            <w:r>
              <w:rPr>
                <w:color w:val="000000" w:themeColor="text1"/>
                <w:sz w:val="18"/>
                <w:szCs w:val="18"/>
                <w:lang w:val="zh-CN"/>
                <w14:textFill>
                  <w14:solidFill>
                    <w14:schemeClr w14:val="tx1"/>
                  </w14:solidFill>
                </w14:textFill>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114" w:type="dxa"/>
            <w:gridSpan w:val="2"/>
            <w:vAlign w:val="center"/>
          </w:tcPr>
          <w:p>
            <w:pPr>
              <w:autoSpaceDE w:val="0"/>
              <w:autoSpaceDN w:val="0"/>
              <w:adjustRightInd w:val="0"/>
              <w:snapToGrid w:val="0"/>
              <w:rPr>
                <w:rFonts w:eastAsia="黑体"/>
                <w:color w:val="000000" w:themeColor="text1"/>
                <w:sz w:val="21"/>
                <w:szCs w:val="21"/>
                <w14:textFill>
                  <w14:solidFill>
                    <w14:schemeClr w14:val="tx1"/>
                  </w14:solidFill>
                </w14:textFill>
              </w:rPr>
            </w:pPr>
            <w:r>
              <w:rPr>
                <w:rFonts w:eastAsia="黑体"/>
                <w:color w:val="000000" w:themeColor="text1"/>
                <w:sz w:val="21"/>
                <w:szCs w:val="21"/>
                <w14:textFill>
                  <w14:solidFill>
                    <w14:schemeClr w14:val="tx1"/>
                  </w14:solidFill>
                </w14:textFill>
              </w:rPr>
              <w:t>二、</w:t>
            </w:r>
            <w:r>
              <w:rPr>
                <w:rFonts w:hint="eastAsia" w:eastAsia="黑体"/>
                <w:color w:val="000000"/>
                <w:sz w:val="21"/>
                <w:szCs w:val="21"/>
              </w:rPr>
              <w:t>引领性</w:t>
            </w:r>
            <w:r>
              <w:rPr>
                <w:rFonts w:eastAsia="黑体"/>
                <w:sz w:val="21"/>
                <w:szCs w:val="21"/>
              </w:rPr>
              <w:t>重大产业项目</w:t>
            </w:r>
          </w:p>
        </w:tc>
        <w:tc>
          <w:tcPr>
            <w:tcW w:w="992" w:type="dxa"/>
            <w:vAlign w:val="center"/>
          </w:tcPr>
          <w:p>
            <w:pPr>
              <w:autoSpaceDE w:val="0"/>
              <w:autoSpaceDN w:val="0"/>
              <w:adjustRightInd w:val="0"/>
              <w:snapToGrid w:val="0"/>
              <w:rPr>
                <w:color w:val="000000" w:themeColor="text1"/>
                <w:sz w:val="18"/>
                <w:szCs w:val="18"/>
                <w14:textFill>
                  <w14:solidFill>
                    <w14:schemeClr w14:val="tx1"/>
                  </w14:solidFill>
                </w14:textFill>
              </w:rPr>
            </w:pPr>
          </w:p>
        </w:tc>
        <w:tc>
          <w:tcPr>
            <w:tcW w:w="1134" w:type="dxa"/>
            <w:vAlign w:val="center"/>
          </w:tcPr>
          <w:p>
            <w:pPr>
              <w:autoSpaceDE w:val="0"/>
              <w:autoSpaceDN w:val="0"/>
              <w:adjustRightInd w:val="0"/>
              <w:snapToGrid w:val="0"/>
              <w:rPr>
                <w:color w:val="000000" w:themeColor="text1"/>
                <w:sz w:val="18"/>
                <w:szCs w:val="18"/>
                <w14:textFill>
                  <w14:solidFill>
                    <w14:schemeClr w14:val="tx1"/>
                  </w14:solidFill>
                </w14:textFill>
              </w:rPr>
            </w:pPr>
          </w:p>
        </w:tc>
        <w:tc>
          <w:tcPr>
            <w:tcW w:w="851" w:type="dxa"/>
            <w:vAlign w:val="center"/>
          </w:tcPr>
          <w:p>
            <w:pPr>
              <w:autoSpaceDE w:val="0"/>
              <w:autoSpaceDN w:val="0"/>
              <w:adjustRightInd w:val="0"/>
              <w:snapToGrid w:val="0"/>
              <w:rPr>
                <w:color w:val="000000" w:themeColor="text1"/>
                <w:sz w:val="18"/>
                <w:szCs w:val="18"/>
                <w14:textFill>
                  <w14:solidFill>
                    <w14:schemeClr w14:val="tx1"/>
                  </w14:solidFill>
                </w14:textFill>
              </w:rPr>
            </w:pPr>
          </w:p>
        </w:tc>
        <w:tc>
          <w:tcPr>
            <w:tcW w:w="913" w:type="dxa"/>
            <w:vAlign w:val="center"/>
          </w:tcPr>
          <w:p>
            <w:pPr>
              <w:autoSpaceDE w:val="0"/>
              <w:autoSpaceDN w:val="0"/>
              <w:adjustRightInd w:val="0"/>
              <w:snapToGrid w:val="0"/>
              <w:rPr>
                <w:color w:val="000000" w:themeColor="text1"/>
                <w:sz w:val="18"/>
                <w:szCs w:val="18"/>
                <w14:textFill>
                  <w14:solidFill>
                    <w14:schemeClr w14:val="tx1"/>
                  </w14:solidFill>
                </w14:textFill>
              </w:rPr>
            </w:pPr>
          </w:p>
        </w:tc>
        <w:tc>
          <w:tcPr>
            <w:tcW w:w="1329" w:type="dxa"/>
            <w:vAlign w:val="center"/>
          </w:tcPr>
          <w:p>
            <w:pPr>
              <w:autoSpaceDE w:val="0"/>
              <w:autoSpaceDN w:val="0"/>
              <w:adjustRightInd w:val="0"/>
              <w:snapToGrid w:val="0"/>
              <w:rPr>
                <w:color w:val="000000" w:themeColor="text1"/>
                <w:sz w:val="18"/>
                <w:szCs w:val="18"/>
                <w14:textFill>
                  <w14:solidFill>
                    <w14:schemeClr w14:val="tx1"/>
                  </w14:solidFill>
                </w14:textFill>
              </w:rPr>
            </w:pPr>
          </w:p>
        </w:tc>
        <w:tc>
          <w:tcPr>
            <w:tcW w:w="1194" w:type="dxa"/>
            <w:vAlign w:val="center"/>
          </w:tcPr>
          <w:p>
            <w:pPr>
              <w:autoSpaceDE w:val="0"/>
              <w:autoSpaceDN w:val="0"/>
              <w:adjustRightInd w:val="0"/>
              <w:snapToGrid w:val="0"/>
              <w:rPr>
                <w:color w:val="000000" w:themeColor="text1"/>
                <w:sz w:val="18"/>
                <w:szCs w:val="18"/>
                <w14:textFill>
                  <w14:solidFill>
                    <w14:schemeClr w14:val="tx1"/>
                  </w14:solidFill>
                </w14:textFill>
              </w:rPr>
            </w:pPr>
          </w:p>
        </w:tc>
        <w:tc>
          <w:tcPr>
            <w:tcW w:w="1507" w:type="dxa"/>
            <w:vAlign w:val="center"/>
          </w:tcPr>
          <w:p>
            <w:pPr>
              <w:autoSpaceDE w:val="0"/>
              <w:autoSpaceDN w:val="0"/>
              <w:adjustRightInd w:val="0"/>
              <w:snapToGrid w:val="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rPr>
                <w:color w:val="000000"/>
                <w:sz w:val="18"/>
                <w:szCs w:val="18"/>
              </w:rPr>
            </w:pPr>
            <w:r>
              <w:rPr>
                <w:color w:val="000000"/>
                <w:sz w:val="18"/>
                <w:szCs w:val="18"/>
              </w:rPr>
              <w:t>1.数字经济</w:t>
            </w:r>
          </w:p>
        </w:tc>
        <w:tc>
          <w:tcPr>
            <w:tcW w:w="1986" w:type="dxa"/>
            <w:vAlign w:val="center"/>
          </w:tcPr>
          <w:p>
            <w:pPr>
              <w:rPr>
                <w:sz w:val="18"/>
                <w:szCs w:val="18"/>
              </w:rPr>
            </w:pPr>
            <w:r>
              <w:rPr>
                <w:sz w:val="18"/>
                <w:szCs w:val="18"/>
              </w:rPr>
              <w:t>集成电路、智能硬件、人工智能、柔性电子、数字安防、智能计算、网络通信、超高清视频、终端设备制造等。</w:t>
            </w:r>
          </w:p>
        </w:tc>
        <w:tc>
          <w:tcPr>
            <w:tcW w:w="992" w:type="dxa"/>
            <w:vMerge w:val="restart"/>
            <w:vAlign w:val="center"/>
          </w:tcPr>
          <w:p>
            <w:pPr>
              <w:autoSpaceDE w:val="0"/>
              <w:autoSpaceDN w:val="0"/>
              <w:adjustRightInd w:val="0"/>
              <w:jc w:val="center"/>
              <w:rPr>
                <w:color w:val="000000" w:themeColor="text1"/>
                <w:sz w:val="18"/>
                <w:szCs w:val="18"/>
                <w14:textFill>
                  <w14:solidFill>
                    <w14:schemeClr w14:val="tx1"/>
                  </w14:solidFill>
                </w14:textFill>
              </w:rPr>
            </w:pPr>
            <w:r>
              <w:rPr>
                <w:sz w:val="18"/>
                <w:szCs w:val="18"/>
                <w:lang w:val="zh-CN"/>
              </w:rPr>
              <w:t>≥</w:t>
            </w:r>
            <w:r>
              <w:rPr>
                <w:sz w:val="18"/>
                <w:szCs w:val="18"/>
              </w:rPr>
              <w:t>6</w:t>
            </w:r>
          </w:p>
        </w:tc>
        <w:tc>
          <w:tcPr>
            <w:tcW w:w="1134" w:type="dxa"/>
            <w:vMerge w:val="restart"/>
            <w:vAlign w:val="center"/>
          </w:tcPr>
          <w:p>
            <w:pPr>
              <w:autoSpaceDE w:val="0"/>
              <w:autoSpaceDN w:val="0"/>
              <w:adjustRightInd w:val="0"/>
              <w:jc w:val="center"/>
              <w:rPr>
                <w:color w:val="000000" w:themeColor="text1"/>
                <w:sz w:val="18"/>
                <w:szCs w:val="18"/>
                <w:lang w:val="zh-CN"/>
                <w14:textFill>
                  <w14:solidFill>
                    <w14:schemeClr w14:val="tx1"/>
                  </w14:solidFill>
                </w14:textFill>
              </w:rPr>
            </w:pPr>
            <w:r>
              <w:rPr>
                <w:sz w:val="18"/>
                <w:szCs w:val="18"/>
                <w:lang w:val="zh-CN"/>
              </w:rPr>
              <w:t>≥</w:t>
            </w:r>
            <w:r>
              <w:rPr>
                <w:sz w:val="18"/>
                <w:szCs w:val="18"/>
              </w:rPr>
              <w:t>400</w:t>
            </w:r>
          </w:p>
        </w:tc>
        <w:tc>
          <w:tcPr>
            <w:tcW w:w="851" w:type="dxa"/>
            <w:vMerge w:val="restart"/>
            <w:vAlign w:val="center"/>
          </w:tcPr>
          <w:p>
            <w:pPr>
              <w:autoSpaceDE w:val="0"/>
              <w:autoSpaceDN w:val="0"/>
              <w:adjustRightInd w:val="0"/>
              <w:jc w:val="center"/>
              <w:rPr>
                <w:color w:val="000000" w:themeColor="text1"/>
                <w:sz w:val="18"/>
                <w:szCs w:val="18"/>
                <w:lang w:val="zh-CN"/>
                <w14:textFill>
                  <w14:solidFill>
                    <w14:schemeClr w14:val="tx1"/>
                  </w14:solidFill>
                </w14:textFill>
              </w:rPr>
            </w:pPr>
            <w:r>
              <w:rPr>
                <w:sz w:val="18"/>
                <w:szCs w:val="18"/>
                <w:lang w:val="zh-CN"/>
              </w:rPr>
              <w:t>≥</w:t>
            </w:r>
            <w:r>
              <w:rPr>
                <w:sz w:val="18"/>
                <w:szCs w:val="18"/>
              </w:rPr>
              <w:t>1.2</w:t>
            </w:r>
          </w:p>
        </w:tc>
        <w:tc>
          <w:tcPr>
            <w:tcW w:w="913" w:type="dxa"/>
            <w:vMerge w:val="restart"/>
            <w:vAlign w:val="center"/>
          </w:tcPr>
          <w:p>
            <w:pPr>
              <w:autoSpaceDE w:val="0"/>
              <w:autoSpaceDN w:val="0"/>
              <w:adjustRightInd w:val="0"/>
              <w:jc w:val="center"/>
              <w:rPr>
                <w:sz w:val="18"/>
                <w:szCs w:val="18"/>
                <w:lang w:val="zh-CN"/>
              </w:rPr>
            </w:pPr>
            <w:r>
              <w:rPr>
                <w:sz w:val="18"/>
                <w:szCs w:val="18"/>
                <w:lang w:val="zh-CN"/>
              </w:rPr>
              <w:t>/</w:t>
            </w:r>
          </w:p>
        </w:tc>
        <w:tc>
          <w:tcPr>
            <w:tcW w:w="1329" w:type="dxa"/>
            <w:vMerge w:val="restart"/>
            <w:vAlign w:val="center"/>
          </w:tcPr>
          <w:p>
            <w:pPr>
              <w:autoSpaceDE w:val="0"/>
              <w:autoSpaceDN w:val="0"/>
              <w:adjustRightInd w:val="0"/>
              <w:jc w:val="center"/>
              <w:rPr>
                <w:sz w:val="18"/>
                <w:szCs w:val="18"/>
                <w:lang w:val="zh-CN"/>
              </w:rPr>
            </w:pPr>
            <w:r>
              <w:rPr>
                <w:sz w:val="18"/>
                <w:szCs w:val="18"/>
                <w:lang w:val="zh-CN"/>
              </w:rPr>
              <w:t>≥</w:t>
            </w:r>
            <w:r>
              <w:rPr>
                <w:sz w:val="18"/>
                <w:szCs w:val="18"/>
              </w:rPr>
              <w:t>125</w:t>
            </w:r>
          </w:p>
        </w:tc>
        <w:tc>
          <w:tcPr>
            <w:tcW w:w="1194" w:type="dxa"/>
            <w:vMerge w:val="restart"/>
            <w:vAlign w:val="center"/>
          </w:tcPr>
          <w:p>
            <w:pPr>
              <w:autoSpaceDE w:val="0"/>
              <w:autoSpaceDN w:val="0"/>
              <w:adjustRightInd w:val="0"/>
              <w:jc w:val="center"/>
              <w:rPr>
                <w:color w:val="000000" w:themeColor="text1"/>
                <w:sz w:val="18"/>
                <w:szCs w:val="18"/>
                <w:lang w:val="zh-CN"/>
                <w14:textFill>
                  <w14:solidFill>
                    <w14:schemeClr w14:val="tx1"/>
                  </w14:solidFill>
                </w14:textFill>
              </w:rPr>
            </w:pPr>
            <w:r>
              <w:rPr>
                <w:sz w:val="18"/>
                <w:szCs w:val="18"/>
                <w:lang w:val="zh-CN"/>
              </w:rPr>
              <w:t>≥</w:t>
            </w:r>
            <w:r>
              <w:rPr>
                <w:sz w:val="18"/>
                <w:szCs w:val="18"/>
              </w:rPr>
              <w:t>30</w:t>
            </w:r>
          </w:p>
        </w:tc>
        <w:tc>
          <w:tcPr>
            <w:tcW w:w="1507" w:type="dxa"/>
            <w:vMerge w:val="restart"/>
            <w:vAlign w:val="center"/>
          </w:tcPr>
          <w:p>
            <w:pPr>
              <w:autoSpaceDE w:val="0"/>
              <w:autoSpaceDN w:val="0"/>
              <w:adjustRightInd w:val="0"/>
              <w:jc w:val="center"/>
              <w:rPr>
                <w:sz w:val="18"/>
                <w:szCs w:val="18"/>
                <w:lang w:val="zh-CN"/>
              </w:rPr>
            </w:pPr>
            <w:r>
              <w:rPr>
                <w:color w:val="000000" w:themeColor="text1"/>
                <w:sz w:val="18"/>
                <w:szCs w:val="18"/>
                <w:lang w:val="zh-CN"/>
                <w14:textFill>
                  <w14:solidFill>
                    <w14:schemeClr w14:val="tx1"/>
                  </w14:solidFill>
                </w14:textFill>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rPr>
                <w:color w:val="000000"/>
                <w:sz w:val="18"/>
                <w:szCs w:val="18"/>
              </w:rPr>
            </w:pPr>
            <w:r>
              <w:rPr>
                <w:color w:val="000000"/>
                <w:sz w:val="18"/>
                <w:szCs w:val="18"/>
              </w:rPr>
              <w:t>2.生命健康</w:t>
            </w:r>
          </w:p>
        </w:tc>
        <w:tc>
          <w:tcPr>
            <w:tcW w:w="1986" w:type="dxa"/>
            <w:vAlign w:val="center"/>
          </w:tcPr>
          <w:p>
            <w:pPr>
              <w:rPr>
                <w:sz w:val="18"/>
                <w:szCs w:val="18"/>
              </w:rPr>
            </w:pPr>
            <w:r>
              <w:rPr>
                <w:sz w:val="18"/>
                <w:szCs w:val="18"/>
              </w:rPr>
              <w:t>医疗健康服务设施、生物医药产业、高性能医疗器械、体育健身设施等。</w:t>
            </w:r>
          </w:p>
        </w:tc>
        <w:tc>
          <w:tcPr>
            <w:tcW w:w="992" w:type="dxa"/>
            <w:vMerge w:val="continue"/>
            <w:vAlign w:val="center"/>
          </w:tcPr>
          <w:p>
            <w:pPr>
              <w:autoSpaceDE w:val="0"/>
              <w:autoSpaceDN w:val="0"/>
              <w:adjustRightInd w:val="0"/>
              <w:jc w:val="center"/>
              <w:rPr>
                <w:color w:val="000000" w:themeColor="text1"/>
                <w:sz w:val="18"/>
                <w:szCs w:val="18"/>
                <w14:textFill>
                  <w14:solidFill>
                    <w14:schemeClr w14:val="tx1"/>
                  </w14:solidFill>
                </w14:textFill>
              </w:rPr>
            </w:pPr>
          </w:p>
        </w:tc>
        <w:tc>
          <w:tcPr>
            <w:tcW w:w="1134"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851"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913"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329"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194"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507"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rPr>
                <w:color w:val="000000"/>
                <w:sz w:val="18"/>
                <w:szCs w:val="18"/>
              </w:rPr>
            </w:pPr>
            <w:r>
              <w:rPr>
                <w:color w:val="000000"/>
                <w:sz w:val="18"/>
                <w:szCs w:val="18"/>
              </w:rPr>
              <w:t>3.新材料</w:t>
            </w:r>
          </w:p>
        </w:tc>
        <w:tc>
          <w:tcPr>
            <w:tcW w:w="1986" w:type="dxa"/>
            <w:vAlign w:val="center"/>
          </w:tcPr>
          <w:p>
            <w:pPr>
              <w:rPr>
                <w:sz w:val="18"/>
                <w:szCs w:val="18"/>
              </w:rPr>
            </w:pPr>
            <w:r>
              <w:rPr>
                <w:sz w:val="18"/>
                <w:szCs w:val="18"/>
              </w:rPr>
              <w:t>高性能纤维及复合材料、高端磁性材料、氟硅钴新材料、光电新材料、新能源材料等前沿新材料制造等。</w:t>
            </w:r>
          </w:p>
        </w:tc>
        <w:tc>
          <w:tcPr>
            <w:tcW w:w="992" w:type="dxa"/>
            <w:vMerge w:val="continue"/>
            <w:vAlign w:val="center"/>
          </w:tcPr>
          <w:p>
            <w:pPr>
              <w:autoSpaceDE w:val="0"/>
              <w:autoSpaceDN w:val="0"/>
              <w:adjustRightInd w:val="0"/>
              <w:jc w:val="center"/>
              <w:rPr>
                <w:color w:val="000000" w:themeColor="text1"/>
                <w:sz w:val="18"/>
                <w:szCs w:val="18"/>
                <w14:textFill>
                  <w14:solidFill>
                    <w14:schemeClr w14:val="tx1"/>
                  </w14:solidFill>
                </w14:textFill>
              </w:rPr>
            </w:pPr>
          </w:p>
        </w:tc>
        <w:tc>
          <w:tcPr>
            <w:tcW w:w="1134"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851"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913"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329"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194"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507"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1128" w:type="dxa"/>
            <w:vAlign w:val="center"/>
          </w:tcPr>
          <w:p>
            <w:pPr>
              <w:rPr>
                <w:color w:val="000000"/>
                <w:sz w:val="18"/>
                <w:szCs w:val="18"/>
              </w:rPr>
            </w:pPr>
            <w:r>
              <w:rPr>
                <w:color w:val="000000"/>
                <w:sz w:val="18"/>
                <w:szCs w:val="18"/>
              </w:rPr>
              <w:t>4.高端装备制造</w:t>
            </w:r>
          </w:p>
        </w:tc>
        <w:tc>
          <w:tcPr>
            <w:tcW w:w="1986" w:type="dxa"/>
            <w:vAlign w:val="center"/>
          </w:tcPr>
          <w:p>
            <w:pPr>
              <w:rPr>
                <w:sz w:val="18"/>
                <w:szCs w:val="18"/>
              </w:rPr>
            </w:pPr>
            <w:r>
              <w:rPr>
                <w:sz w:val="18"/>
                <w:szCs w:val="18"/>
              </w:rPr>
              <w:t>整车制造、汽车关键零部件、电气装备、轨道交通装备、现代农业智能装备、高端船舶和海工装备、航空航天装备、节能环保装备、以及氢能、空气热能、生物质能等新能源装备。</w:t>
            </w:r>
          </w:p>
        </w:tc>
        <w:tc>
          <w:tcPr>
            <w:tcW w:w="992" w:type="dxa"/>
            <w:vMerge w:val="continue"/>
            <w:vAlign w:val="center"/>
          </w:tcPr>
          <w:p>
            <w:pPr>
              <w:autoSpaceDE w:val="0"/>
              <w:autoSpaceDN w:val="0"/>
              <w:adjustRightInd w:val="0"/>
              <w:jc w:val="center"/>
              <w:rPr>
                <w:color w:val="000000" w:themeColor="text1"/>
                <w:sz w:val="18"/>
                <w:szCs w:val="18"/>
                <w14:textFill>
                  <w14:solidFill>
                    <w14:schemeClr w14:val="tx1"/>
                  </w14:solidFill>
                </w14:textFill>
              </w:rPr>
            </w:pPr>
          </w:p>
        </w:tc>
        <w:tc>
          <w:tcPr>
            <w:tcW w:w="1134"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851"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913"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329"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194"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507"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rPr>
                <w:color w:val="000000"/>
                <w:sz w:val="18"/>
                <w:szCs w:val="18"/>
              </w:rPr>
            </w:pPr>
            <w:r>
              <w:rPr>
                <w:color w:val="000000"/>
                <w:sz w:val="18"/>
                <w:szCs w:val="18"/>
              </w:rPr>
              <w:t>5.重大科技创新</w:t>
            </w:r>
          </w:p>
        </w:tc>
        <w:tc>
          <w:tcPr>
            <w:tcW w:w="1986" w:type="dxa"/>
            <w:vAlign w:val="center"/>
          </w:tcPr>
          <w:p>
            <w:pPr>
              <w:rPr>
                <w:color w:val="000000"/>
                <w:sz w:val="18"/>
                <w:szCs w:val="18"/>
              </w:rPr>
            </w:pPr>
            <w:r>
              <w:rPr>
                <w:color w:val="000000"/>
                <w:sz w:val="18"/>
                <w:szCs w:val="18"/>
              </w:rPr>
              <w:t>重大高新技术产业项目、重点科技型企业投资项目</w:t>
            </w:r>
            <w:r>
              <w:rPr>
                <w:rFonts w:hint="eastAsia"/>
                <w:color w:val="000000"/>
                <w:sz w:val="18"/>
                <w:szCs w:val="18"/>
              </w:rPr>
              <w:t>、重大科研基础设施投资项目</w:t>
            </w:r>
            <w:r>
              <w:rPr>
                <w:color w:val="000000"/>
                <w:sz w:val="18"/>
                <w:szCs w:val="18"/>
              </w:rPr>
              <w:t>等。</w:t>
            </w:r>
          </w:p>
        </w:tc>
        <w:tc>
          <w:tcPr>
            <w:tcW w:w="992" w:type="dxa"/>
            <w:vAlign w:val="center"/>
          </w:tcPr>
          <w:p>
            <w:pPr>
              <w:pStyle w:val="2"/>
              <w:spacing w:line="240" w:lineRule="auto"/>
              <w:ind w:firstLine="0"/>
              <w:jc w:val="center"/>
              <w:rPr>
                <w:rFonts w:ascii="Times New Roman" w:hAnsi="Times New Roman"/>
                <w:color w:val="000000" w:themeColor="text1"/>
                <w:sz w:val="18"/>
                <w:szCs w:val="18"/>
                <w14:textFill>
                  <w14:solidFill>
                    <w14:schemeClr w14:val="tx1"/>
                  </w14:solidFill>
                </w14:textFill>
              </w:rPr>
            </w:pPr>
            <w:r>
              <w:rPr>
                <w:rFonts w:ascii="Times New Roman" w:hAnsi="Times New Roman"/>
                <w:sz w:val="18"/>
                <w:szCs w:val="18"/>
                <w:lang w:val="zh-CN"/>
              </w:rPr>
              <w:t>≥</w:t>
            </w:r>
            <w:r>
              <w:rPr>
                <w:rFonts w:ascii="Times New Roman" w:hAnsi="Times New Roman"/>
                <w:sz w:val="18"/>
                <w:szCs w:val="18"/>
              </w:rPr>
              <w:t>3</w:t>
            </w:r>
          </w:p>
        </w:tc>
        <w:tc>
          <w:tcPr>
            <w:tcW w:w="1134"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851"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913" w:type="dxa"/>
            <w:vAlign w:val="center"/>
          </w:tcPr>
          <w:p>
            <w:pPr>
              <w:autoSpaceDE w:val="0"/>
              <w:autoSpaceDN w:val="0"/>
              <w:adjustRightInd w:val="0"/>
              <w:jc w:val="center"/>
              <w:rPr>
                <w:color w:val="000000" w:themeColor="text1"/>
                <w:sz w:val="18"/>
                <w:szCs w:val="18"/>
                <w:lang w:val="zh-CN"/>
                <w14:textFill>
                  <w14:solidFill>
                    <w14:schemeClr w14:val="tx1"/>
                  </w14:solidFill>
                </w14:textFill>
              </w:rPr>
            </w:pPr>
            <w:r>
              <w:rPr>
                <w:sz w:val="18"/>
                <w:szCs w:val="18"/>
                <w:lang w:val="zh-CN"/>
              </w:rPr>
              <w:t>≥5.0</w:t>
            </w:r>
          </w:p>
        </w:tc>
        <w:tc>
          <w:tcPr>
            <w:tcW w:w="1329"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194"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507"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rPr>
                <w:color w:val="000000"/>
                <w:sz w:val="18"/>
                <w:szCs w:val="18"/>
              </w:rPr>
            </w:pPr>
            <w:r>
              <w:rPr>
                <w:color w:val="000000"/>
                <w:sz w:val="18"/>
                <w:szCs w:val="18"/>
              </w:rPr>
              <w:t>6.现代服务业</w:t>
            </w:r>
          </w:p>
        </w:tc>
        <w:tc>
          <w:tcPr>
            <w:tcW w:w="1986" w:type="dxa"/>
            <w:vAlign w:val="center"/>
          </w:tcPr>
          <w:p>
            <w:pPr>
              <w:rPr>
                <w:color w:val="000000"/>
                <w:sz w:val="18"/>
                <w:szCs w:val="18"/>
              </w:rPr>
            </w:pPr>
            <w:r>
              <w:rPr>
                <w:sz w:val="18"/>
                <w:szCs w:val="18"/>
              </w:rPr>
              <w:t>对“四大”建设有重大影响的现代物流、软件与信息服务、文化创意、休闲旅游、健康养老等现代服务业项目。</w:t>
            </w:r>
          </w:p>
        </w:tc>
        <w:tc>
          <w:tcPr>
            <w:tcW w:w="992" w:type="dxa"/>
            <w:vMerge w:val="restart"/>
            <w:vAlign w:val="center"/>
          </w:tcPr>
          <w:p>
            <w:pPr>
              <w:autoSpaceDE w:val="0"/>
              <w:autoSpaceDN w:val="0"/>
              <w:adjustRightInd w:val="0"/>
              <w:jc w:val="center"/>
              <w:rPr>
                <w:color w:val="000000" w:themeColor="text1"/>
                <w:sz w:val="18"/>
                <w:szCs w:val="18"/>
                <w14:textFill>
                  <w14:solidFill>
                    <w14:schemeClr w14:val="tx1"/>
                  </w14:solidFill>
                </w14:textFill>
              </w:rPr>
            </w:pPr>
            <w:r>
              <w:rPr>
                <w:sz w:val="18"/>
                <w:szCs w:val="18"/>
                <w:lang w:val="zh-CN"/>
              </w:rPr>
              <w:t>≥</w:t>
            </w:r>
            <w:r>
              <w:rPr>
                <w:sz w:val="18"/>
                <w:szCs w:val="18"/>
              </w:rPr>
              <w:t>6</w:t>
            </w:r>
          </w:p>
        </w:tc>
        <w:tc>
          <w:tcPr>
            <w:tcW w:w="1134" w:type="dxa"/>
            <w:vMerge w:val="restart"/>
            <w:vAlign w:val="center"/>
          </w:tcPr>
          <w:p>
            <w:pPr>
              <w:autoSpaceDE w:val="0"/>
              <w:autoSpaceDN w:val="0"/>
              <w:adjustRightInd w:val="0"/>
              <w:jc w:val="center"/>
              <w:rPr>
                <w:color w:val="000000" w:themeColor="text1"/>
                <w:sz w:val="18"/>
                <w:szCs w:val="18"/>
                <w:lang w:val="zh-CN"/>
                <w14:textFill>
                  <w14:solidFill>
                    <w14:schemeClr w14:val="tx1"/>
                  </w14:solidFill>
                </w14:textFill>
              </w:rPr>
            </w:pPr>
            <w:r>
              <w:rPr>
                <w:sz w:val="18"/>
                <w:szCs w:val="18"/>
                <w:lang w:val="zh-CN"/>
              </w:rPr>
              <w:t>≥</w:t>
            </w:r>
            <w:r>
              <w:rPr>
                <w:sz w:val="18"/>
                <w:szCs w:val="18"/>
              </w:rPr>
              <w:t>300</w:t>
            </w:r>
          </w:p>
        </w:tc>
        <w:tc>
          <w:tcPr>
            <w:tcW w:w="851" w:type="dxa"/>
            <w:vMerge w:val="restart"/>
            <w:vAlign w:val="center"/>
          </w:tcPr>
          <w:p>
            <w:pPr>
              <w:autoSpaceDE w:val="0"/>
              <w:autoSpaceDN w:val="0"/>
              <w:adjustRightInd w:val="0"/>
              <w:jc w:val="center"/>
              <w:rPr>
                <w:color w:val="000000" w:themeColor="text1"/>
                <w:sz w:val="18"/>
                <w:szCs w:val="18"/>
                <w:lang w:val="zh-CN"/>
                <w14:textFill>
                  <w14:solidFill>
                    <w14:schemeClr w14:val="tx1"/>
                  </w14:solidFill>
                </w14:textFill>
              </w:rPr>
            </w:pPr>
            <w:r>
              <w:rPr>
                <w:sz w:val="18"/>
                <w:szCs w:val="18"/>
                <w:lang w:val="zh-CN"/>
              </w:rPr>
              <w:t>≥</w:t>
            </w:r>
            <w:r>
              <w:rPr>
                <w:sz w:val="18"/>
                <w:szCs w:val="18"/>
              </w:rPr>
              <w:t>1.0</w:t>
            </w:r>
          </w:p>
        </w:tc>
        <w:tc>
          <w:tcPr>
            <w:tcW w:w="913" w:type="dxa"/>
            <w:vMerge w:val="restart"/>
            <w:vAlign w:val="center"/>
          </w:tcPr>
          <w:p>
            <w:pPr>
              <w:autoSpaceDE w:val="0"/>
              <w:autoSpaceDN w:val="0"/>
              <w:adjustRightInd w:val="0"/>
              <w:jc w:val="center"/>
              <w:rPr>
                <w:sz w:val="18"/>
                <w:szCs w:val="18"/>
                <w:lang w:val="zh-CN"/>
              </w:rPr>
            </w:pPr>
            <w:r>
              <w:rPr>
                <w:sz w:val="18"/>
                <w:szCs w:val="18"/>
                <w:lang w:val="zh-CN"/>
              </w:rPr>
              <w:t>/</w:t>
            </w:r>
          </w:p>
        </w:tc>
        <w:tc>
          <w:tcPr>
            <w:tcW w:w="1329" w:type="dxa"/>
            <w:vMerge w:val="restart"/>
            <w:vAlign w:val="center"/>
          </w:tcPr>
          <w:p>
            <w:pPr>
              <w:autoSpaceDE w:val="0"/>
              <w:autoSpaceDN w:val="0"/>
              <w:adjustRightInd w:val="0"/>
              <w:jc w:val="center"/>
              <w:rPr>
                <w:color w:val="000000" w:themeColor="text1"/>
                <w:sz w:val="18"/>
                <w:szCs w:val="18"/>
                <w:lang w:val="zh-CN"/>
                <w14:textFill>
                  <w14:solidFill>
                    <w14:schemeClr w14:val="tx1"/>
                  </w14:solidFill>
                </w14:textFill>
              </w:rPr>
            </w:pPr>
            <w:r>
              <w:rPr>
                <w:sz w:val="18"/>
                <w:szCs w:val="18"/>
                <w:lang w:val="zh-CN"/>
              </w:rPr>
              <w:t>≥</w:t>
            </w:r>
            <w:r>
              <w:rPr>
                <w:sz w:val="18"/>
                <w:szCs w:val="18"/>
              </w:rPr>
              <w:t>90</w:t>
            </w:r>
          </w:p>
        </w:tc>
        <w:tc>
          <w:tcPr>
            <w:tcW w:w="1194"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507" w:type="dxa"/>
            <w:vAlign w:val="center"/>
          </w:tcPr>
          <w:p>
            <w:pPr>
              <w:autoSpaceDE w:val="0"/>
              <w:autoSpaceDN w:val="0"/>
              <w:adjustRightInd w:val="0"/>
              <w:jc w:val="center"/>
              <w:rPr>
                <w:rFonts w:hint="eastAsia" w:eastAsia="仿宋_GB2312"/>
                <w:color w:val="000000" w:themeColor="text1"/>
                <w:sz w:val="18"/>
                <w:szCs w:val="18"/>
                <w:lang w:val="en-US" w:eastAsia="zh-CN"/>
                <w14:textFill>
                  <w14:solidFill>
                    <w14:schemeClr w14:val="tx1"/>
                  </w14:solidFill>
                </w14:textFill>
              </w:rPr>
            </w:pPr>
            <w:r>
              <w:rPr>
                <w:color w:val="000000" w:themeColor="text1"/>
                <w:sz w:val="18"/>
                <w:szCs w:val="18"/>
                <w:lang w:val="zh-CN"/>
                <w14:textFill>
                  <w14:solidFill>
                    <w14:schemeClr w14:val="tx1"/>
                  </w14:solidFill>
                </w14:textFill>
              </w:rPr>
              <w:t>≤0.</w:t>
            </w:r>
            <w:r>
              <w:rPr>
                <w:color w:val="000000" w:themeColor="text1"/>
                <w:sz w:val="18"/>
                <w:szCs w:val="18"/>
                <w14:textFill>
                  <w14:solidFill>
                    <w14:schemeClr w14:val="tx1"/>
                  </w14:solidFill>
                </w14:textFill>
              </w:rPr>
              <w:t>2</w:t>
            </w:r>
            <w:r>
              <w:rPr>
                <w:rFonts w:hint="eastAsia"/>
                <w:color w:val="000000" w:themeColor="text1"/>
                <w:sz w:val="18"/>
                <w:szCs w:val="18"/>
                <w:lang w:val="en-US" w:eastAsia="zh-CN"/>
                <w14:textFill>
                  <w14:solidFill>
                    <w14:schemeClr w14:val="tx1"/>
                  </w14:solidFill>
                </w14:textFill>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rPr>
                <w:color w:val="000000"/>
                <w:sz w:val="18"/>
                <w:szCs w:val="18"/>
              </w:rPr>
            </w:pPr>
            <w:r>
              <w:rPr>
                <w:color w:val="000000"/>
                <w:sz w:val="18"/>
                <w:szCs w:val="18"/>
              </w:rPr>
              <w:t>7.其他传统优势产业</w:t>
            </w:r>
          </w:p>
        </w:tc>
        <w:tc>
          <w:tcPr>
            <w:tcW w:w="1986" w:type="dxa"/>
            <w:vAlign w:val="center"/>
          </w:tcPr>
          <w:p>
            <w:pPr>
              <w:rPr>
                <w:color w:val="000000"/>
                <w:sz w:val="18"/>
                <w:szCs w:val="18"/>
              </w:rPr>
            </w:pPr>
            <w:r>
              <w:rPr>
                <w:color w:val="000000"/>
                <w:sz w:val="18"/>
                <w:szCs w:val="18"/>
              </w:rPr>
              <w:t>现代纺织、中高端家电生产、智能家居产品、中高端家具等。</w:t>
            </w:r>
          </w:p>
        </w:tc>
        <w:tc>
          <w:tcPr>
            <w:tcW w:w="992" w:type="dxa"/>
            <w:vMerge w:val="continue"/>
            <w:vAlign w:val="center"/>
          </w:tcPr>
          <w:p>
            <w:pPr>
              <w:autoSpaceDE w:val="0"/>
              <w:autoSpaceDN w:val="0"/>
              <w:adjustRightInd w:val="0"/>
              <w:jc w:val="center"/>
              <w:rPr>
                <w:color w:val="000000" w:themeColor="text1"/>
                <w:sz w:val="18"/>
                <w:szCs w:val="18"/>
                <w14:textFill>
                  <w14:solidFill>
                    <w14:schemeClr w14:val="tx1"/>
                  </w14:solidFill>
                </w14:textFill>
              </w:rPr>
            </w:pPr>
          </w:p>
        </w:tc>
        <w:tc>
          <w:tcPr>
            <w:tcW w:w="1134"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851"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913"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329"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194" w:type="dxa"/>
            <w:vMerge w:val="continue"/>
            <w:vAlign w:val="center"/>
          </w:tcPr>
          <w:p>
            <w:pPr>
              <w:autoSpaceDE w:val="0"/>
              <w:autoSpaceDN w:val="0"/>
              <w:adjustRightInd w:val="0"/>
              <w:jc w:val="center"/>
              <w:rPr>
                <w:color w:val="000000" w:themeColor="text1"/>
                <w:sz w:val="18"/>
                <w:szCs w:val="18"/>
                <w:lang w:val="zh-CN"/>
                <w14:textFill>
                  <w14:solidFill>
                    <w14:schemeClr w14:val="tx1"/>
                  </w14:solidFill>
                </w14:textFill>
              </w:rPr>
            </w:pPr>
          </w:p>
        </w:tc>
        <w:tc>
          <w:tcPr>
            <w:tcW w:w="1507" w:type="dxa"/>
            <w:vAlign w:val="center"/>
          </w:tcPr>
          <w:p>
            <w:pPr>
              <w:autoSpaceDE w:val="0"/>
              <w:autoSpaceDN w:val="0"/>
              <w:adjustRightInd w:val="0"/>
              <w:jc w:val="center"/>
              <w:rPr>
                <w:color w:val="000000" w:themeColor="text1"/>
                <w:sz w:val="18"/>
                <w:szCs w:val="18"/>
                <w:lang w:val="zh-CN"/>
                <w14:textFill>
                  <w14:solidFill>
                    <w14:schemeClr w14:val="tx1"/>
                  </w14:solidFill>
                </w14:textFill>
              </w:rPr>
            </w:pPr>
            <w:r>
              <w:rPr>
                <w:color w:val="000000" w:themeColor="text1"/>
                <w:sz w:val="18"/>
                <w:szCs w:val="18"/>
                <w:lang w:val="zh-CN"/>
                <w14:textFill>
                  <w14:solidFill>
                    <w14:schemeClr w14:val="tx1"/>
                  </w14:solidFill>
                </w14:textFill>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11034" w:type="dxa"/>
            <w:gridSpan w:val="9"/>
          </w:tcPr>
          <w:p>
            <w:pPr>
              <w:autoSpaceDE w:val="0"/>
              <w:autoSpaceDN w:val="0"/>
              <w:adjustRightInd w:val="0"/>
              <w:rPr>
                <w:sz w:val="18"/>
                <w:szCs w:val="18"/>
                <w:lang w:val="zh-CN"/>
              </w:rPr>
            </w:pPr>
            <w:r>
              <w:rPr>
                <w:sz w:val="18"/>
                <w:szCs w:val="18"/>
              </w:rPr>
              <w:t>1.</w:t>
            </w:r>
            <w:r>
              <w:rPr>
                <w:sz w:val="18"/>
                <w:szCs w:val="18"/>
                <w:lang w:val="zh-CN"/>
              </w:rPr>
              <w:t>绿色石化、大数据处理中心等行业有特殊要求的，能耗、容积率控制指标按其行业要求。</w:t>
            </w:r>
          </w:p>
          <w:p>
            <w:pPr>
              <w:pStyle w:val="2"/>
              <w:spacing w:line="240" w:lineRule="auto"/>
              <w:ind w:firstLine="0"/>
              <w:rPr>
                <w:rFonts w:ascii="Times New Roman" w:hAnsi="Times New Roman"/>
                <w:sz w:val="18"/>
                <w:szCs w:val="18"/>
              </w:rPr>
            </w:pPr>
            <w:r>
              <w:rPr>
                <w:rFonts w:ascii="Times New Roman" w:hAnsi="Times New Roman"/>
                <w:sz w:val="18"/>
                <w:szCs w:val="18"/>
              </w:rPr>
              <w:t>2.重大科技创新项目</w:t>
            </w:r>
            <w:r>
              <w:rPr>
                <w:rFonts w:hint="eastAsia" w:ascii="Times New Roman" w:hAnsi="Times New Roman"/>
                <w:sz w:val="18"/>
                <w:szCs w:val="18"/>
              </w:rPr>
              <w:t>R&amp; D经费占营业收入比重</w:t>
            </w:r>
            <w:r>
              <w:rPr>
                <w:rFonts w:ascii="Times New Roman" w:hAnsi="Times New Roman"/>
                <w:sz w:val="18"/>
                <w:szCs w:val="18"/>
              </w:rPr>
              <w:t>不足5.0%的，项目业主单位满足下列条件之一也可申报：（1）牵头承担1项及以上国家科技重大专项或3项及以上省级科技计划项目；（2）获得国家科学技术奖励或省科学技术奖励二等奖以上。</w:t>
            </w:r>
          </w:p>
          <w:p>
            <w:pPr>
              <w:pStyle w:val="2"/>
              <w:spacing w:line="240" w:lineRule="auto"/>
              <w:ind w:firstLine="0"/>
              <w:rPr>
                <w:rFonts w:ascii="Times New Roman" w:hAnsi="Times New Roman"/>
                <w:sz w:val="18"/>
                <w:szCs w:val="18"/>
              </w:rPr>
            </w:pPr>
            <w:r>
              <w:rPr>
                <w:rFonts w:ascii="Times New Roman" w:hAnsi="Times New Roman"/>
                <w:sz w:val="18"/>
                <w:szCs w:val="18"/>
              </w:rPr>
              <w:t>3.加快发展县（市、区）和海岛地区的重大产业项目，固定资产投资、投资强度、亩均增加值、亩均税收指标按0.7的修正系数下调。</w:t>
            </w:r>
          </w:p>
          <w:p>
            <w:pPr>
              <w:pStyle w:val="2"/>
              <w:spacing w:line="240" w:lineRule="auto"/>
              <w:ind w:firstLine="0"/>
              <w:rPr>
                <w:rFonts w:ascii="Times New Roman" w:hAnsi="Times New Roman"/>
                <w:sz w:val="18"/>
                <w:szCs w:val="18"/>
              </w:rPr>
            </w:pPr>
            <w:r>
              <w:rPr>
                <w:rFonts w:ascii="Times New Roman" w:hAnsi="Times New Roman"/>
                <w:sz w:val="18"/>
                <w:szCs w:val="18"/>
              </w:rPr>
              <w:t>4.对拥有自主知识产权能够迅速提升产业竞争力、产业转型升级意义特别重大的项目，以及省委省政府特别重视的项目，按程序确定后，主要指标可适当下调。</w:t>
            </w:r>
          </w:p>
        </w:tc>
      </w:tr>
    </w:tbl>
    <w:p>
      <w:pPr>
        <w:pStyle w:val="3"/>
        <w:spacing w:before="0" w:after="0"/>
        <w:rPr>
          <w:rFonts w:ascii="仿宋_GB2312" w:hAnsi="仿宋_GB2312" w:cs="仿宋_GB2312"/>
          <w:color w:val="000000"/>
          <w:szCs w:val="32"/>
        </w:rPr>
      </w:pPr>
      <w:r>
        <w:rPr>
          <w:rFonts w:hint="eastAsia"/>
          <w:snapToGrid w:val="0"/>
        </w:rPr>
        <w:t>第三章</w:t>
      </w:r>
      <w:r>
        <w:rPr>
          <w:snapToGrid w:val="0"/>
        </w:rPr>
        <w:t xml:space="preserve">  </w:t>
      </w:r>
      <w:r>
        <w:rPr>
          <w:rFonts w:hint="eastAsia"/>
          <w:snapToGrid w:val="0"/>
        </w:rPr>
        <w:t>项目申报和审核</w:t>
      </w:r>
    </w:p>
    <w:p>
      <w:pPr>
        <w:numPr>
          <w:ilvl w:val="255"/>
          <w:numId w:val="0"/>
        </w:numPr>
        <w:ind w:firstLine="640" w:firstLineChars="200"/>
        <w:rPr>
          <w:color w:val="000000"/>
          <w:szCs w:val="32"/>
        </w:rPr>
      </w:pPr>
      <w:r>
        <w:rPr>
          <w:rFonts w:hint="eastAsia" w:ascii="黑体" w:hAnsi="黑体" w:eastAsia="黑体" w:cs="黑体"/>
          <w:color w:val="000000"/>
          <w:szCs w:val="32"/>
        </w:rPr>
        <w:t>第十二条</w:t>
      </w:r>
      <w:r>
        <w:rPr>
          <w:rFonts w:ascii="仿宋_GB2312" w:hAnsi="仿宋_GB2312" w:cs="仿宋_GB2312"/>
          <w:b/>
          <w:bCs/>
          <w:color w:val="000000"/>
          <w:szCs w:val="32"/>
        </w:rPr>
        <w:t xml:space="preserve"> </w:t>
      </w:r>
      <w:r>
        <w:rPr>
          <w:color w:val="000000"/>
          <w:szCs w:val="32"/>
        </w:rPr>
        <w:t>每年分批组织项目申报，项目业主单位通过浙江省投资项目在线审批监管平台重大项目库（以下简称“省重大项目库”）提出申请。各县（市、区）以及具有同级权限的开发区（园区等）初审后，将项目申请名单报各设区市发展改革委、自然资源部门。各设区市发展改革委、自然资源部门审核汇总项目名单，并经同级人民政府同意后联合报省发展改革委、省自然资源厅。</w:t>
      </w:r>
    </w:p>
    <w:p>
      <w:pPr>
        <w:numPr>
          <w:ilvl w:val="255"/>
          <w:numId w:val="0"/>
        </w:numPr>
        <w:ind w:left="640" w:leftChars="200"/>
        <w:rPr>
          <w:color w:val="000000"/>
          <w:szCs w:val="32"/>
        </w:rPr>
      </w:pPr>
      <w:r>
        <w:rPr>
          <w:rFonts w:ascii="黑体" w:hAnsi="黑体" w:eastAsia="黑体" w:cs="黑体"/>
          <w:color w:val="000000"/>
          <w:szCs w:val="32"/>
        </w:rPr>
        <w:t>第</w:t>
      </w:r>
      <w:r>
        <w:rPr>
          <w:rFonts w:hint="eastAsia" w:ascii="黑体" w:hAnsi="黑体" w:eastAsia="黑体" w:cs="黑体"/>
          <w:color w:val="000000"/>
          <w:szCs w:val="32"/>
        </w:rPr>
        <w:t>十</w:t>
      </w:r>
      <w:r>
        <w:rPr>
          <w:rFonts w:ascii="黑体" w:hAnsi="黑体" w:eastAsia="黑体" w:cs="黑体"/>
          <w:color w:val="000000"/>
          <w:szCs w:val="32"/>
        </w:rPr>
        <w:t>三条</w:t>
      </w:r>
      <w:r>
        <w:rPr>
          <w:b/>
          <w:bCs/>
          <w:color w:val="000000"/>
          <w:szCs w:val="32"/>
        </w:rPr>
        <w:t xml:space="preserve"> </w:t>
      </w:r>
      <w:r>
        <w:rPr>
          <w:color w:val="000000"/>
          <w:szCs w:val="32"/>
        </w:rPr>
        <w:t>项目审核分为项目初审、项目联审两个环节。</w:t>
      </w:r>
    </w:p>
    <w:p>
      <w:pPr>
        <w:numPr>
          <w:ilvl w:val="255"/>
          <w:numId w:val="0"/>
        </w:numPr>
        <w:ind w:firstLine="640" w:firstLineChars="200"/>
        <w:rPr>
          <w:color w:val="000000"/>
          <w:szCs w:val="32"/>
        </w:rPr>
      </w:pPr>
      <w:r>
        <w:rPr>
          <w:color w:val="000000"/>
          <w:szCs w:val="32"/>
        </w:rPr>
        <w:t>1.项目初审。省发展改革委牵头委托独立第三方咨询机构对申报的省重大产业项目统一汇总筛选，对项目类型、前期条件、工期要求、用地要求、资金要求、申报标准、项目先进性等进行初审。</w:t>
      </w:r>
    </w:p>
    <w:p>
      <w:pPr>
        <w:numPr>
          <w:ilvl w:val="255"/>
          <w:numId w:val="0"/>
        </w:numPr>
        <w:ind w:firstLine="640" w:firstLineChars="200"/>
        <w:rPr>
          <w:color w:val="000000"/>
          <w:szCs w:val="32"/>
        </w:rPr>
      </w:pPr>
      <w:r>
        <w:rPr>
          <w:color w:val="000000"/>
          <w:szCs w:val="32"/>
        </w:rPr>
        <w:t>2.项目联审。入选项目按行业主管部门分类归口后，省发展改革委会同省自然资源厅牵头召开省重大产业项目联审会，省级相关主管部门和行业专家参加。</w:t>
      </w:r>
    </w:p>
    <w:p>
      <w:pPr>
        <w:numPr>
          <w:ilvl w:val="255"/>
          <w:numId w:val="0"/>
        </w:numPr>
        <w:ind w:firstLine="640" w:firstLineChars="200"/>
        <w:rPr>
          <w:color w:val="000000"/>
          <w:szCs w:val="32"/>
        </w:rPr>
      </w:pPr>
      <w:r>
        <w:rPr>
          <w:color w:val="000000"/>
          <w:szCs w:val="32"/>
        </w:rPr>
        <w:t>（1）专家评估。专家重点对项目的产业性质、技术先进性、投资有效性、产业成长性以及示范带动作用进行评估，并出具咨询评估意见。</w:t>
      </w:r>
      <w:r>
        <w:rPr>
          <w:rFonts w:hint="eastAsia"/>
          <w:color w:val="000000"/>
          <w:szCs w:val="32"/>
        </w:rPr>
        <w:t>特别</w:t>
      </w:r>
      <w:r>
        <w:rPr>
          <w:szCs w:val="32"/>
        </w:rPr>
        <w:t>重大产业项目（除重大科技创新项目外）实行一项目一评估；特别重大产业项目</w:t>
      </w:r>
      <w:r>
        <w:rPr>
          <w:rFonts w:hint="eastAsia"/>
          <w:szCs w:val="32"/>
        </w:rPr>
        <w:t>中的</w:t>
      </w:r>
      <w:r>
        <w:rPr>
          <w:szCs w:val="32"/>
        </w:rPr>
        <w:t>重大科技创新项目及引领性重大产业项目分类分批次组织评估。</w:t>
      </w:r>
    </w:p>
    <w:p>
      <w:pPr>
        <w:ind w:firstLine="640" w:firstLineChars="200"/>
        <w:rPr>
          <w:color w:val="000000"/>
          <w:szCs w:val="32"/>
        </w:rPr>
      </w:pPr>
      <w:r>
        <w:rPr>
          <w:color w:val="000000"/>
          <w:szCs w:val="32"/>
        </w:rPr>
        <w:t>（2）省级部门联审。省发展改革委会同省自然资源厅牵头召开省重大产业项目联审会，相关单位重点对归口管理的项目是否符合产业政策、环保要求、用地报批条件等进行审查。</w:t>
      </w:r>
    </w:p>
    <w:p>
      <w:pPr>
        <w:numPr>
          <w:ilvl w:val="255"/>
          <w:numId w:val="0"/>
        </w:numPr>
        <w:ind w:firstLine="640" w:firstLineChars="200"/>
        <w:rPr>
          <w:color w:val="000000"/>
          <w:szCs w:val="32"/>
        </w:rPr>
      </w:pPr>
      <w:r>
        <w:rPr>
          <w:rFonts w:ascii="黑体" w:hAnsi="黑体" w:eastAsia="黑体" w:cs="黑体"/>
          <w:color w:val="000000"/>
          <w:szCs w:val="32"/>
        </w:rPr>
        <w:t>第十四条</w:t>
      </w:r>
      <w:r>
        <w:rPr>
          <w:b/>
          <w:bCs/>
          <w:color w:val="000000"/>
          <w:szCs w:val="32"/>
        </w:rPr>
        <w:t xml:space="preserve"> </w:t>
      </w:r>
      <w:r>
        <w:rPr>
          <w:color w:val="000000"/>
          <w:szCs w:val="32"/>
        </w:rPr>
        <w:t>根据项目审核意见，由省发展改革委、省自然资源厅提出省重大产业项目建议名单，联合上报省政府。经省政府同意后，由省发展改革委、省自然资源厅联合发布，实施类项目纳入省重大项目库</w:t>
      </w:r>
      <w:r>
        <w:rPr>
          <w:rFonts w:hint="eastAsia"/>
          <w:color w:val="000000"/>
          <w:szCs w:val="32"/>
          <w:lang w:eastAsia="zh-CN"/>
        </w:rPr>
        <w:t>，</w:t>
      </w:r>
      <w:r>
        <w:rPr>
          <w:rFonts w:hint="eastAsia"/>
          <w:color w:val="000000"/>
          <w:szCs w:val="32"/>
          <w:lang w:val="en-US" w:eastAsia="zh-CN"/>
        </w:rPr>
        <w:t>预选类项目纳入储备库。</w:t>
      </w:r>
    </w:p>
    <w:p>
      <w:pPr>
        <w:numPr>
          <w:ilvl w:val="255"/>
          <w:numId w:val="0"/>
        </w:numPr>
        <w:ind w:firstLine="640" w:firstLineChars="200"/>
        <w:rPr>
          <w:szCs w:val="32"/>
        </w:rPr>
      </w:pPr>
      <w:r>
        <w:rPr>
          <w:rFonts w:ascii="黑体" w:hAnsi="黑体" w:eastAsia="黑体" w:cs="黑体"/>
          <w:color w:val="000000"/>
          <w:szCs w:val="32"/>
        </w:rPr>
        <w:t>第十五条</w:t>
      </w:r>
      <w:r>
        <w:rPr>
          <w:b/>
          <w:bCs/>
          <w:color w:val="000000"/>
          <w:szCs w:val="32"/>
        </w:rPr>
        <w:t xml:space="preserve"> </w:t>
      </w:r>
      <w:r>
        <w:rPr>
          <w:color w:val="000000"/>
          <w:szCs w:val="32"/>
        </w:rPr>
        <w:t>对省市县长</w:t>
      </w:r>
      <w:r>
        <w:rPr>
          <w:rFonts w:hint="eastAsia"/>
          <w:color w:val="000000"/>
          <w:szCs w:val="32"/>
        </w:rPr>
        <w:t>项目</w:t>
      </w:r>
      <w:r>
        <w:rPr>
          <w:color w:val="000000"/>
          <w:szCs w:val="32"/>
        </w:rPr>
        <w:t>开通“绿色通道”。</w:t>
      </w:r>
      <w:r>
        <w:rPr>
          <w:rFonts w:hint="eastAsia"/>
          <w:color w:val="000000"/>
          <w:szCs w:val="32"/>
          <w:lang w:val="en-US" w:eastAsia="zh-CN"/>
        </w:rPr>
        <w:t>对</w:t>
      </w:r>
      <w:r>
        <w:rPr>
          <w:szCs w:val="32"/>
        </w:rPr>
        <w:t>省长项目</w:t>
      </w:r>
      <w:r>
        <w:rPr>
          <w:rFonts w:hint="eastAsia"/>
          <w:szCs w:val="32"/>
          <w:lang w:eastAsia="zh-CN"/>
        </w:rPr>
        <w:t>，</w:t>
      </w:r>
      <w:r>
        <w:rPr>
          <w:szCs w:val="32"/>
        </w:rPr>
        <w:t>提交实施类项目所需的申报材料后，即纳入实施类项目库；市县长项目，同等条件下予以优先考虑。</w:t>
      </w:r>
    </w:p>
    <w:p>
      <w:pPr>
        <w:pStyle w:val="3"/>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第四章  奖励政策</w:t>
      </w:r>
    </w:p>
    <w:p>
      <w:pPr>
        <w:numPr>
          <w:ilvl w:val="255"/>
          <w:numId w:val="0"/>
        </w:numPr>
        <w:ind w:firstLine="640" w:firstLineChars="200"/>
        <w:rPr>
          <w:szCs w:val="32"/>
        </w:rPr>
      </w:pPr>
      <w:r>
        <w:rPr>
          <w:rFonts w:ascii="黑体" w:hAnsi="黑体" w:eastAsia="黑体" w:cs="黑体"/>
          <w:color w:val="000000"/>
          <w:szCs w:val="32"/>
        </w:rPr>
        <w:t>第十六条</w:t>
      </w:r>
      <w:r>
        <w:rPr>
          <w:b/>
          <w:bCs/>
          <w:color w:val="000000"/>
          <w:szCs w:val="32"/>
        </w:rPr>
        <w:t xml:space="preserve"> </w:t>
      </w:r>
      <w:r>
        <w:rPr>
          <w:color w:val="000000"/>
          <w:szCs w:val="32"/>
        </w:rPr>
        <w:t>对经批准纳入省重大产业项目库的项目，由省自然资源厅采用事中奖励和事前预支相结合的方式进行用地奖励</w:t>
      </w:r>
      <w:r>
        <w:rPr>
          <w:szCs w:val="32"/>
        </w:rPr>
        <w:t>。</w:t>
      </w:r>
    </w:p>
    <w:p>
      <w:pPr>
        <w:numPr>
          <w:ilvl w:val="255"/>
          <w:numId w:val="0"/>
        </w:numPr>
        <w:ind w:firstLine="640" w:firstLineChars="200"/>
        <w:rPr>
          <w:color w:val="000000"/>
          <w:szCs w:val="32"/>
        </w:rPr>
      </w:pPr>
      <w:r>
        <w:rPr>
          <w:rFonts w:ascii="黑体" w:hAnsi="黑体" w:eastAsia="黑体" w:cs="黑体"/>
          <w:color w:val="000000"/>
          <w:szCs w:val="32"/>
        </w:rPr>
        <w:t>第十七条</w:t>
      </w:r>
      <w:r>
        <w:rPr>
          <w:b/>
          <w:bCs/>
          <w:color w:val="000000"/>
          <w:szCs w:val="32"/>
        </w:rPr>
        <w:t xml:space="preserve"> </w:t>
      </w:r>
      <w:r>
        <w:rPr>
          <w:color w:val="000000"/>
          <w:szCs w:val="32"/>
        </w:rPr>
        <w:t>每年省里预留足额新增建设用地计划指标，对列入实施类的省重大产业项目用地应保尽保。奖励范围包括：使用上一年度及当年度切块下达的计划指标或城乡建设用地增减挂钩指标，当年重新供应的存量建设用地（不包括闲置、储备土地）。</w:t>
      </w:r>
    </w:p>
    <w:p>
      <w:pPr>
        <w:numPr>
          <w:ilvl w:val="255"/>
          <w:numId w:val="0"/>
        </w:numPr>
        <w:ind w:firstLine="640" w:firstLineChars="200"/>
        <w:rPr>
          <w:color w:val="000000"/>
          <w:szCs w:val="32"/>
        </w:rPr>
      </w:pPr>
      <w:r>
        <w:rPr>
          <w:rFonts w:ascii="黑体" w:hAnsi="黑体" w:eastAsia="黑体" w:cs="黑体"/>
          <w:color w:val="000000"/>
          <w:szCs w:val="32"/>
        </w:rPr>
        <w:t>第十八条</w:t>
      </w:r>
      <w:r>
        <w:rPr>
          <w:b/>
          <w:bCs/>
          <w:color w:val="000000"/>
          <w:szCs w:val="32"/>
        </w:rPr>
        <w:t xml:space="preserve"> </w:t>
      </w:r>
      <w:r>
        <w:rPr>
          <w:color w:val="000000"/>
          <w:szCs w:val="32"/>
        </w:rPr>
        <w:t>申请省重大产业项目用地计划指标奖励须符合以下条件：</w:t>
      </w:r>
    </w:p>
    <w:p>
      <w:pPr>
        <w:ind w:left="640"/>
        <w:rPr>
          <w:color w:val="000000"/>
          <w:szCs w:val="32"/>
        </w:rPr>
      </w:pPr>
      <w:r>
        <w:rPr>
          <w:color w:val="000000"/>
          <w:szCs w:val="32"/>
        </w:rPr>
        <w:t>1.项目已经省政府同意纳入省重大产业项目库；</w:t>
      </w:r>
    </w:p>
    <w:p>
      <w:pPr>
        <w:ind w:firstLine="640" w:firstLineChars="200"/>
        <w:rPr>
          <w:color w:val="000000"/>
          <w:szCs w:val="32"/>
        </w:rPr>
      </w:pPr>
      <w:r>
        <w:rPr>
          <w:color w:val="000000"/>
          <w:szCs w:val="32"/>
        </w:rPr>
        <w:t>2.项目用地已按规定完成农转用和土地征收，并已通过公开出让方式完成供地手续，按规定缴纳全部土地出让金；</w:t>
      </w:r>
    </w:p>
    <w:p>
      <w:pPr>
        <w:ind w:firstLine="640" w:firstLineChars="200"/>
        <w:rPr>
          <w:color w:val="000000"/>
          <w:szCs w:val="32"/>
        </w:rPr>
      </w:pPr>
      <w:r>
        <w:rPr>
          <w:color w:val="000000"/>
          <w:szCs w:val="32"/>
        </w:rPr>
        <w:t>3.国有建设用地使用权出让合同约定的总投资/固定资产投资、投资强度等相关指标不低于省重大产业项目申报标准，其中加快发展县（市、区）和海岛县（市、区）按不低于申报标准的70%执行；</w:t>
      </w:r>
    </w:p>
    <w:p>
      <w:pPr>
        <w:ind w:firstLine="640" w:firstLineChars="200"/>
        <w:rPr>
          <w:color w:val="000000"/>
          <w:szCs w:val="32"/>
        </w:rPr>
      </w:pPr>
      <w:r>
        <w:rPr>
          <w:color w:val="000000"/>
          <w:szCs w:val="32"/>
        </w:rPr>
        <w:t>4.项目建设中未发生未批先用、边报边用等违法用地行为，且项目所在县（市、区）上一年度违法占用耕地面积占当年新增建设用地占用耕地总面积的比例低于10%。</w:t>
      </w:r>
    </w:p>
    <w:p>
      <w:pPr>
        <w:ind w:firstLine="640" w:firstLineChars="200"/>
      </w:pPr>
      <w:r>
        <w:t>5.项目第一次申请奖励时已供地面积不得低于该项目总用地面积的50%。</w:t>
      </w:r>
    </w:p>
    <w:p>
      <w:pPr>
        <w:ind w:firstLine="640" w:firstLineChars="200"/>
        <w:rPr>
          <w:szCs w:val="21"/>
        </w:rPr>
      </w:pPr>
      <w:r>
        <w:rPr>
          <w:color w:val="000000"/>
          <w:szCs w:val="32"/>
        </w:rPr>
        <w:t>每个项目申请奖励次数不超过两次。</w:t>
      </w:r>
    </w:p>
    <w:p>
      <w:pPr>
        <w:ind w:firstLine="640" w:firstLineChars="200"/>
      </w:pPr>
      <w:r>
        <w:rPr>
          <w:rFonts w:hint="eastAsia" w:ascii="黑体" w:hAnsi="黑体" w:eastAsia="黑体" w:cs="黑体"/>
          <w:color w:val="000000"/>
          <w:szCs w:val="32"/>
        </w:rPr>
        <w:t>第十九条</w:t>
      </w:r>
      <w:r>
        <w:rPr>
          <w:b/>
          <w:bCs/>
          <w:color w:val="000000"/>
          <w:szCs w:val="32"/>
        </w:rPr>
        <w:t xml:space="preserve"> </w:t>
      </w:r>
      <w:r>
        <w:rPr>
          <w:rFonts w:hint="eastAsia"/>
          <w:color w:val="000000"/>
          <w:szCs w:val="32"/>
        </w:rPr>
        <w:t>特别</w:t>
      </w:r>
      <w:r>
        <w:rPr>
          <w:color w:val="000000"/>
          <w:szCs w:val="32"/>
        </w:rPr>
        <w:t>重大产业项目，用地指标给予100%奖励；</w:t>
      </w:r>
      <w:r>
        <w:rPr>
          <w:rFonts w:hint="eastAsia"/>
          <w:color w:val="000000"/>
          <w:szCs w:val="32"/>
          <w:lang w:val="en-US" w:eastAsia="zh-CN"/>
        </w:rPr>
        <w:t>引领性</w:t>
      </w:r>
      <w:r>
        <w:rPr>
          <w:color w:val="000000"/>
          <w:szCs w:val="32"/>
        </w:rPr>
        <w:t>重大产业项目给予60%奖励。其中，对纳入省重大产业项目库中的炼化一体化项目，统一按40%奖励。</w:t>
      </w:r>
    </w:p>
    <w:p>
      <w:pPr>
        <w:ind w:firstLine="640" w:firstLineChars="200"/>
        <w:rPr>
          <w:color w:val="000000"/>
          <w:szCs w:val="32"/>
        </w:rPr>
      </w:pPr>
      <w:r>
        <w:rPr>
          <w:color w:val="000000"/>
          <w:szCs w:val="32"/>
        </w:rPr>
        <w:t>奖励以县（市、区）以及具有同级权限的开发区（园区等）为单位。</w:t>
      </w:r>
    </w:p>
    <w:p>
      <w:pPr>
        <w:numPr>
          <w:ilvl w:val="255"/>
          <w:numId w:val="0"/>
        </w:numPr>
        <w:ind w:firstLine="640" w:firstLineChars="200"/>
        <w:rPr>
          <w:color w:val="000000"/>
          <w:szCs w:val="32"/>
        </w:rPr>
      </w:pPr>
      <w:r>
        <w:rPr>
          <w:rFonts w:hint="eastAsia" w:ascii="黑体" w:hAnsi="黑体" w:eastAsia="黑体" w:cs="黑体"/>
          <w:color w:val="000000"/>
          <w:szCs w:val="32"/>
        </w:rPr>
        <w:t>第二十条</w:t>
      </w:r>
      <w:r>
        <w:rPr>
          <w:b/>
          <w:bCs/>
          <w:color w:val="000000"/>
          <w:szCs w:val="32"/>
        </w:rPr>
        <w:t xml:space="preserve"> </w:t>
      </w:r>
      <w:r>
        <w:rPr>
          <w:color w:val="0D0D0D"/>
          <w:szCs w:val="32"/>
        </w:rPr>
        <w:t>每年分批开展省重大产业项目用地计划指标奖励申请工作。</w:t>
      </w:r>
    </w:p>
    <w:p>
      <w:pPr>
        <w:ind w:firstLine="640" w:firstLineChars="200"/>
        <w:rPr>
          <w:color w:val="000000"/>
          <w:szCs w:val="32"/>
        </w:rPr>
      </w:pPr>
      <w:r>
        <w:rPr>
          <w:color w:val="000000"/>
          <w:szCs w:val="32"/>
        </w:rPr>
        <w:t>用地计划指标奖励申请应按规定提供《省重大产业项目计划指标奖励申请表》及相关材料，并经各设区市自然资源主管部门审查后，统一上报省自然资源厅。省自然资源厅对用地计划指标奖励申请材料进行审核，必要时可进行实地踏勘。当年度省预留奖励计划指标总量不足的，按投资完成度高低顺序给予奖励；对当年度因排序靠后而未能取得计划指标奖励的项目，在下一年度予以优先安排。</w:t>
      </w:r>
    </w:p>
    <w:p>
      <w:pPr>
        <w:numPr>
          <w:ilvl w:val="255"/>
          <w:numId w:val="0"/>
        </w:numPr>
        <w:ind w:firstLine="640" w:firstLineChars="200"/>
        <w:rPr>
          <w:color w:val="000000"/>
          <w:szCs w:val="32"/>
        </w:rPr>
      </w:pPr>
      <w:r>
        <w:rPr>
          <w:rFonts w:hint="eastAsia" w:ascii="黑体" w:hAnsi="黑体" w:eastAsia="黑体" w:cs="黑体"/>
          <w:color w:val="000000"/>
          <w:szCs w:val="32"/>
        </w:rPr>
        <w:t>第二十一条</w:t>
      </w:r>
      <w:r>
        <w:rPr>
          <w:b/>
          <w:bCs/>
          <w:color w:val="000000"/>
          <w:szCs w:val="32"/>
        </w:rPr>
        <w:t xml:space="preserve"> </w:t>
      </w:r>
      <w:r>
        <w:rPr>
          <w:rFonts w:hint="eastAsia"/>
          <w:color w:val="000000"/>
          <w:szCs w:val="32"/>
        </w:rPr>
        <w:t>特别</w:t>
      </w:r>
      <w:r>
        <w:rPr>
          <w:color w:val="000000"/>
          <w:szCs w:val="32"/>
        </w:rPr>
        <w:t>重大产业项目或列入省市长项目工程的</w:t>
      </w:r>
      <w:r>
        <w:rPr>
          <w:rFonts w:hint="eastAsia"/>
          <w:color w:val="000000"/>
          <w:szCs w:val="32"/>
          <w:lang w:val="en-US" w:eastAsia="zh-CN"/>
        </w:rPr>
        <w:t>引领性</w:t>
      </w:r>
      <w:r>
        <w:rPr>
          <w:color w:val="0D0D0D"/>
          <w:szCs w:val="32"/>
        </w:rPr>
        <w:t>重大产业项目</w:t>
      </w:r>
      <w:r>
        <w:rPr>
          <w:color w:val="000000"/>
          <w:szCs w:val="32"/>
        </w:rPr>
        <w:t>，保障用地规模达60%以上后</w:t>
      </w:r>
      <w:r>
        <w:rPr>
          <w:color w:val="0D0D0D"/>
          <w:szCs w:val="32"/>
        </w:rPr>
        <w:t>，地方用地计划指标</w:t>
      </w:r>
      <w:r>
        <w:rPr>
          <w:szCs w:val="32"/>
        </w:rPr>
        <w:t>确有不足的，可向省自然资源厅申请预支。</w:t>
      </w:r>
    </w:p>
    <w:p>
      <w:pPr>
        <w:ind w:firstLine="640" w:firstLineChars="200"/>
        <w:rPr>
          <w:color w:val="000000"/>
          <w:szCs w:val="32"/>
        </w:rPr>
      </w:pPr>
      <w:r>
        <w:rPr>
          <w:rFonts w:hint="eastAsia" w:ascii="黑体" w:hAnsi="黑体" w:eastAsia="黑体" w:cs="黑体"/>
          <w:color w:val="000000"/>
          <w:szCs w:val="32"/>
        </w:rPr>
        <w:t>第二十二条</w:t>
      </w:r>
      <w:r>
        <w:rPr>
          <w:b/>
          <w:bCs/>
          <w:color w:val="000000"/>
          <w:szCs w:val="32"/>
        </w:rPr>
        <w:t xml:space="preserve"> </w:t>
      </w:r>
      <w:r>
        <w:rPr>
          <w:color w:val="000000"/>
          <w:szCs w:val="32"/>
        </w:rPr>
        <w:t>对</w:t>
      </w:r>
      <w:r>
        <w:rPr>
          <w:rFonts w:hint="eastAsia"/>
          <w:color w:val="000000"/>
          <w:szCs w:val="32"/>
        </w:rPr>
        <w:t>列入</w:t>
      </w:r>
      <w:r>
        <w:rPr>
          <w:color w:val="000000"/>
          <w:szCs w:val="32"/>
        </w:rPr>
        <w:t>预选类</w:t>
      </w:r>
      <w:r>
        <w:rPr>
          <w:rFonts w:hint="eastAsia"/>
          <w:color w:val="000000"/>
          <w:szCs w:val="32"/>
        </w:rPr>
        <w:t>的</w:t>
      </w:r>
      <w:r>
        <w:rPr>
          <w:color w:val="000000"/>
          <w:szCs w:val="32"/>
        </w:rPr>
        <w:t>项目，允许按程序申请使用国土空间规划预留指标。</w:t>
      </w:r>
    </w:p>
    <w:p>
      <w:pPr>
        <w:ind w:firstLine="640" w:firstLineChars="200"/>
        <w:rPr>
          <w:color w:val="000000"/>
          <w:szCs w:val="32"/>
        </w:rPr>
      </w:pPr>
      <w:r>
        <w:rPr>
          <w:rFonts w:hint="eastAsia" w:ascii="黑体" w:hAnsi="黑体" w:eastAsia="黑体" w:cs="黑体"/>
          <w:color w:val="000000"/>
          <w:szCs w:val="32"/>
        </w:rPr>
        <w:t>第二十三条</w:t>
      </w:r>
      <w:r>
        <w:rPr>
          <w:b/>
          <w:bCs/>
          <w:color w:val="000000"/>
          <w:szCs w:val="32"/>
        </w:rPr>
        <w:t xml:space="preserve"> </w:t>
      </w:r>
      <w:r>
        <w:rPr>
          <w:color w:val="000000"/>
          <w:szCs w:val="32"/>
        </w:rPr>
        <w:t>省自然资源厅下达用地计划指标时标记“项目代码”下达，并抄送省发展改革委。</w:t>
      </w:r>
    </w:p>
    <w:p>
      <w:pPr>
        <w:pStyle w:val="3"/>
        <w:rPr>
          <w:snapToGrid w:val="0"/>
        </w:rPr>
      </w:pPr>
      <w:r>
        <w:rPr>
          <w:snapToGrid w:val="0"/>
        </w:rPr>
        <w:t>第五章  事中事后监管</w:t>
      </w:r>
    </w:p>
    <w:p>
      <w:pPr>
        <w:numPr>
          <w:ilvl w:val="255"/>
          <w:numId w:val="0"/>
        </w:numPr>
        <w:ind w:firstLine="640" w:firstLineChars="200"/>
        <w:rPr>
          <w:szCs w:val="32"/>
        </w:rPr>
      </w:pPr>
      <w:r>
        <w:rPr>
          <w:rFonts w:hint="eastAsia" w:ascii="黑体" w:hAnsi="黑体" w:eastAsia="黑体" w:cs="黑体"/>
          <w:color w:val="000000"/>
          <w:szCs w:val="32"/>
        </w:rPr>
        <w:t>第二十四条</w:t>
      </w:r>
      <w:r>
        <w:rPr>
          <w:b/>
          <w:bCs/>
          <w:color w:val="000000"/>
          <w:szCs w:val="32"/>
        </w:rPr>
        <w:t xml:space="preserve"> </w:t>
      </w:r>
      <w:r>
        <w:rPr>
          <w:szCs w:val="32"/>
        </w:rPr>
        <w:t>省发展改革委</w:t>
      </w:r>
      <w:r>
        <w:rPr>
          <w:color w:val="000000"/>
          <w:szCs w:val="32"/>
        </w:rPr>
        <w:t>牵头委托独立第三方咨询机构，对已取得奖励指标的项目进行抽样监测评估，</w:t>
      </w:r>
      <w:r>
        <w:rPr>
          <w:szCs w:val="32"/>
        </w:rPr>
        <w:t>评估情况作为下一年度奖励用地指标的重要依据。</w:t>
      </w:r>
    </w:p>
    <w:p>
      <w:pPr>
        <w:numPr>
          <w:ilvl w:val="255"/>
          <w:numId w:val="0"/>
        </w:numPr>
        <w:ind w:firstLine="640" w:firstLineChars="200"/>
        <w:rPr>
          <w:szCs w:val="32"/>
        </w:rPr>
      </w:pPr>
      <w:r>
        <w:rPr>
          <w:szCs w:val="32"/>
        </w:rPr>
        <w:t>原则上，约束性指标在项目竣工投产后进行评估，预期性指标在项目稳定达产（竣工投产两年内）后进行评估。</w:t>
      </w:r>
    </w:p>
    <w:p>
      <w:pPr>
        <w:numPr>
          <w:ilvl w:val="255"/>
          <w:numId w:val="0"/>
        </w:numPr>
        <w:ind w:left="640" w:leftChars="200"/>
        <w:rPr>
          <w:szCs w:val="32"/>
        </w:rPr>
      </w:pPr>
      <w:r>
        <w:rPr>
          <w:szCs w:val="32"/>
        </w:rPr>
        <w:t>省发展改革委、省自然资源厅联合开展不定期巡查。</w:t>
      </w:r>
    </w:p>
    <w:p>
      <w:pPr>
        <w:numPr>
          <w:ilvl w:val="255"/>
          <w:numId w:val="0"/>
        </w:numPr>
        <w:ind w:firstLine="640" w:firstLineChars="200"/>
        <w:rPr>
          <w:bCs/>
          <w:color w:val="000000"/>
          <w:szCs w:val="32"/>
        </w:rPr>
      </w:pPr>
      <w:r>
        <w:rPr>
          <w:rFonts w:hint="eastAsia" w:ascii="黑体" w:hAnsi="黑体" w:eastAsia="黑体" w:cs="黑体"/>
          <w:color w:val="000000"/>
          <w:szCs w:val="32"/>
        </w:rPr>
        <w:t>第二十五条</w:t>
      </w:r>
      <w:r>
        <w:rPr>
          <w:bCs/>
          <w:color w:val="000000"/>
          <w:szCs w:val="32"/>
        </w:rPr>
        <w:t xml:space="preserve"> </w:t>
      </w:r>
      <w:r>
        <w:rPr>
          <w:rFonts w:hint="eastAsia"/>
          <w:bCs/>
          <w:color w:val="000000"/>
          <w:szCs w:val="32"/>
        </w:rPr>
        <w:t>各</w:t>
      </w:r>
      <w:r>
        <w:rPr>
          <w:bCs/>
          <w:color w:val="000000"/>
          <w:szCs w:val="32"/>
        </w:rPr>
        <w:t>地自然资源部门要对入库的省重大产业项目用地情况进行日常监测，并将结果及时上报省自然资源厅。</w:t>
      </w:r>
    </w:p>
    <w:p>
      <w:pPr>
        <w:numPr>
          <w:ilvl w:val="255"/>
          <w:numId w:val="0"/>
        </w:numPr>
        <w:ind w:firstLine="640" w:firstLineChars="200"/>
        <w:rPr>
          <w:szCs w:val="32"/>
        </w:rPr>
      </w:pPr>
      <w:r>
        <w:rPr>
          <w:rFonts w:hint="eastAsia" w:ascii="黑体" w:hAnsi="黑体" w:eastAsia="黑体" w:cs="黑体"/>
          <w:color w:val="000000"/>
          <w:szCs w:val="32"/>
        </w:rPr>
        <w:t>第二十六条</w:t>
      </w:r>
      <w:r>
        <w:rPr>
          <w:b/>
          <w:bCs/>
          <w:color w:val="000000"/>
          <w:szCs w:val="32"/>
        </w:rPr>
        <w:t xml:space="preserve"> </w:t>
      </w:r>
      <w:r>
        <w:rPr>
          <w:szCs w:val="32"/>
        </w:rPr>
        <w:t>项目业主单位应对省重大产业项目独立建账。</w:t>
      </w:r>
      <w:r>
        <w:rPr>
          <w:color w:val="000000"/>
          <w:szCs w:val="32"/>
        </w:rPr>
        <w:t>各设区市发展改革委</w:t>
      </w:r>
      <w:r>
        <w:rPr>
          <w:szCs w:val="32"/>
        </w:rPr>
        <w:t>牵头按年度对完工或竣工项目进行产出核算，并将核算结果及时报送至省发展改革委。</w:t>
      </w:r>
    </w:p>
    <w:p>
      <w:pPr>
        <w:numPr>
          <w:ilvl w:val="255"/>
          <w:numId w:val="0"/>
        </w:numPr>
        <w:ind w:firstLine="640" w:firstLineChars="200"/>
      </w:pPr>
      <w:r>
        <w:rPr>
          <w:rFonts w:hint="eastAsia" w:ascii="黑体" w:hAnsi="黑体" w:eastAsia="黑体" w:cs="黑体"/>
          <w:color w:val="000000"/>
          <w:szCs w:val="32"/>
        </w:rPr>
        <w:t>第二十七条</w:t>
      </w:r>
      <w:r>
        <w:rPr>
          <w:b/>
          <w:bCs/>
          <w:color w:val="000000"/>
          <w:szCs w:val="32"/>
        </w:rPr>
        <w:t xml:space="preserve"> </w:t>
      </w:r>
      <w:r>
        <w:rPr>
          <w:szCs w:val="32"/>
        </w:rPr>
        <w:t>预选类项目入储备库后一年内未转为实施类，以及实施类项目入库后一年内未开工或因市场变化无法实施的，由各设区市发展改革委</w:t>
      </w:r>
      <w:r>
        <w:rPr>
          <w:rFonts w:hint="eastAsia"/>
          <w:szCs w:val="32"/>
        </w:rPr>
        <w:t>、</w:t>
      </w:r>
      <w:r>
        <w:rPr>
          <w:szCs w:val="32"/>
        </w:rPr>
        <w:t>自然资源部门</w:t>
      </w:r>
      <w:r>
        <w:rPr>
          <w:rFonts w:hint="eastAsia"/>
          <w:szCs w:val="32"/>
        </w:rPr>
        <w:t>提出退库申请名单，联合报</w:t>
      </w:r>
      <w:r>
        <w:rPr>
          <w:szCs w:val="32"/>
        </w:rPr>
        <w:t>经各设区市政府</w:t>
      </w:r>
      <w:r>
        <w:rPr>
          <w:rFonts w:hint="eastAsia"/>
          <w:szCs w:val="32"/>
        </w:rPr>
        <w:t>同意后，报送</w:t>
      </w:r>
      <w:r>
        <w:rPr>
          <w:szCs w:val="32"/>
        </w:rPr>
        <w:t>至省发展改革委</w:t>
      </w:r>
      <w:r>
        <w:rPr>
          <w:rFonts w:hint="eastAsia"/>
          <w:szCs w:val="32"/>
          <w:lang w:eastAsia="zh-CN"/>
        </w:rPr>
        <w:t>、</w:t>
      </w:r>
      <w:r>
        <w:rPr>
          <w:rFonts w:hint="eastAsia"/>
          <w:szCs w:val="32"/>
          <w:lang w:val="en-US" w:eastAsia="zh-CN"/>
        </w:rPr>
        <w:t>省自然资源厅</w:t>
      </w:r>
      <w:r>
        <w:rPr>
          <w:szCs w:val="32"/>
        </w:rPr>
        <w:t>审核</w:t>
      </w:r>
      <w:r>
        <w:rPr>
          <w:rFonts w:hint="eastAsia"/>
          <w:szCs w:val="32"/>
        </w:rPr>
        <w:t>。</w:t>
      </w:r>
      <w:r>
        <w:rPr>
          <w:szCs w:val="32"/>
        </w:rPr>
        <w:t>省发展改革委</w:t>
      </w:r>
      <w:r>
        <w:rPr>
          <w:rFonts w:hint="eastAsia"/>
          <w:szCs w:val="32"/>
          <w:lang w:eastAsia="zh-CN"/>
        </w:rPr>
        <w:t>、</w:t>
      </w:r>
      <w:r>
        <w:rPr>
          <w:rFonts w:hint="eastAsia"/>
          <w:szCs w:val="32"/>
          <w:lang w:val="en-US" w:eastAsia="zh-CN"/>
        </w:rPr>
        <w:t>省自然资源厅</w:t>
      </w:r>
      <w:r>
        <w:rPr>
          <w:szCs w:val="32"/>
        </w:rPr>
        <w:t>牵头建立退库情况与下一年度项目申报指标相挂钩的机制。</w:t>
      </w:r>
    </w:p>
    <w:p>
      <w:pPr>
        <w:numPr>
          <w:ilvl w:val="255"/>
          <w:numId w:val="0"/>
        </w:numPr>
        <w:ind w:firstLine="640" w:firstLineChars="200"/>
        <w:rPr>
          <w:szCs w:val="32"/>
        </w:rPr>
      </w:pPr>
      <w:r>
        <w:rPr>
          <w:rFonts w:hint="eastAsia" w:ascii="黑体" w:hAnsi="黑体" w:eastAsia="黑体" w:cs="黑体"/>
          <w:color w:val="000000"/>
          <w:szCs w:val="32"/>
        </w:rPr>
        <w:t>第二十八条</w:t>
      </w:r>
      <w:r>
        <w:rPr>
          <w:b/>
          <w:bCs/>
          <w:color w:val="000000"/>
          <w:szCs w:val="32"/>
        </w:rPr>
        <w:t xml:space="preserve"> </w:t>
      </w:r>
      <w:r>
        <w:rPr>
          <w:szCs w:val="32"/>
        </w:rPr>
        <w:t>省发展改革委牵头建立通报机制与问责制度，并将省重大产业项目实施情况纳入</w:t>
      </w:r>
      <w:r>
        <w:rPr>
          <w:rFonts w:hint="eastAsia"/>
          <w:szCs w:val="32"/>
        </w:rPr>
        <w:t>全省</w:t>
      </w:r>
      <w:r>
        <w:rPr>
          <w:szCs w:val="32"/>
        </w:rPr>
        <w:t>扩大有效投资考核。</w:t>
      </w:r>
    </w:p>
    <w:p>
      <w:pPr>
        <w:numPr>
          <w:ilvl w:val="255"/>
          <w:numId w:val="0"/>
        </w:numPr>
        <w:ind w:firstLine="640" w:firstLineChars="200"/>
        <w:rPr>
          <w:color w:val="000000"/>
          <w:szCs w:val="32"/>
        </w:rPr>
      </w:pPr>
      <w:r>
        <w:rPr>
          <w:color w:val="000000"/>
          <w:szCs w:val="32"/>
        </w:rPr>
        <w:t>对季度监测和用地绩效评估差的项目，由省自然资源厅相应扣减该地区用地指标奖励。</w:t>
      </w:r>
    </w:p>
    <w:p>
      <w:pPr>
        <w:numPr>
          <w:ilvl w:val="255"/>
          <w:numId w:val="0"/>
        </w:numPr>
        <w:ind w:firstLine="640" w:firstLineChars="200"/>
        <w:rPr>
          <w:color w:val="000000"/>
          <w:szCs w:val="32"/>
        </w:rPr>
      </w:pPr>
      <w:r>
        <w:rPr>
          <w:color w:val="000000"/>
          <w:szCs w:val="32"/>
        </w:rPr>
        <w:t>对弄虚作假，以瞒报、谎报等方式骗取用地指标奖励的，除由省自然资源厅相应扣减该地区用地指标奖励外，下一年度不再受理该地区的用地奖励申请，并将相关信息纳入省公共信用信息平台。</w:t>
      </w:r>
    </w:p>
    <w:p>
      <w:pPr>
        <w:numPr>
          <w:ilvl w:val="255"/>
          <w:numId w:val="0"/>
        </w:numPr>
        <w:ind w:firstLine="640" w:firstLineChars="200"/>
        <w:rPr>
          <w:szCs w:val="32"/>
        </w:rPr>
      </w:pPr>
      <w:r>
        <w:rPr>
          <w:color w:val="000000"/>
          <w:szCs w:val="32"/>
        </w:rPr>
        <w:t>对已获得土地奖励的退库项目，下一年度由省自然资源厅相应扣减该地区的用地指标奖励。</w:t>
      </w:r>
    </w:p>
    <w:p>
      <w:pPr>
        <w:pStyle w:val="3"/>
        <w:rPr>
          <w:snapToGrid w:val="0"/>
        </w:rPr>
      </w:pPr>
      <w:r>
        <w:rPr>
          <w:snapToGrid w:val="0"/>
        </w:rPr>
        <w:t>第六章  附</w:t>
      </w:r>
      <w:r>
        <w:rPr>
          <w:rFonts w:hint="eastAsia"/>
          <w:snapToGrid w:val="0"/>
          <w:lang w:val="en-US" w:eastAsia="zh-CN"/>
        </w:rPr>
        <w:t xml:space="preserve">  </w:t>
      </w:r>
      <w:r>
        <w:rPr>
          <w:snapToGrid w:val="0"/>
        </w:rPr>
        <w:t>则</w:t>
      </w:r>
    </w:p>
    <w:p>
      <w:pPr>
        <w:widowControl/>
        <w:numPr>
          <w:ilvl w:val="255"/>
          <w:numId w:val="0"/>
        </w:numPr>
        <w:ind w:firstLine="640" w:firstLineChars="200"/>
      </w:pPr>
      <w:r>
        <w:rPr>
          <w:rFonts w:hint="eastAsia" w:ascii="黑体" w:hAnsi="黑体" w:eastAsia="黑体" w:cs="黑体"/>
          <w:color w:val="000000"/>
          <w:szCs w:val="32"/>
        </w:rPr>
        <w:t>第二十九条</w:t>
      </w:r>
      <w:r>
        <w:rPr>
          <w:b/>
          <w:bCs/>
          <w:color w:val="000000"/>
          <w:szCs w:val="32"/>
        </w:rPr>
        <w:t xml:space="preserve"> </w:t>
      </w:r>
      <w:r>
        <w:t>已纳入省重大产业项目库的项目，应严格按报经省政府批准后的方案组织实施，项目业主不得擅自变更。如果确需变更的，应按申报程序及时报省发展改革委、省自然资源厅。</w:t>
      </w:r>
    </w:p>
    <w:p>
      <w:pPr>
        <w:numPr>
          <w:ilvl w:val="255"/>
          <w:numId w:val="0"/>
        </w:numPr>
        <w:ind w:firstLine="640" w:firstLineChars="200"/>
        <w:rPr>
          <w:color w:val="000000"/>
          <w:szCs w:val="32"/>
        </w:rPr>
      </w:pPr>
      <w:r>
        <w:rPr>
          <w:rFonts w:hint="eastAsia" w:ascii="黑体" w:hAnsi="黑体" w:eastAsia="黑体" w:cs="黑体"/>
          <w:color w:val="000000"/>
          <w:szCs w:val="32"/>
        </w:rPr>
        <w:t>第三十条</w:t>
      </w:r>
      <w:r>
        <w:rPr>
          <w:b/>
          <w:bCs/>
          <w:color w:val="000000"/>
          <w:szCs w:val="32"/>
        </w:rPr>
        <w:t xml:space="preserve"> </w:t>
      </w:r>
      <w:r>
        <w:rPr>
          <w:szCs w:val="32"/>
        </w:rPr>
        <w:t>省发展改革委牵头通过招投标方式确定</w:t>
      </w:r>
      <w:r>
        <w:rPr>
          <w:color w:val="000000"/>
          <w:szCs w:val="32"/>
        </w:rPr>
        <w:t>第三方咨询机构</w:t>
      </w:r>
      <w:r>
        <w:rPr>
          <w:szCs w:val="32"/>
        </w:rPr>
        <w:t>。</w:t>
      </w:r>
      <w:r>
        <w:rPr>
          <w:color w:val="000000"/>
          <w:szCs w:val="32"/>
        </w:rPr>
        <w:t>省重大产业项目监测评估费用纳入省公共建设投资计划。</w:t>
      </w:r>
    </w:p>
    <w:p>
      <w:pPr>
        <w:numPr>
          <w:ilvl w:val="255"/>
          <w:numId w:val="0"/>
        </w:numPr>
        <w:ind w:firstLine="640" w:firstLineChars="200"/>
      </w:pPr>
      <w:r>
        <w:rPr>
          <w:rFonts w:hint="eastAsia" w:ascii="黑体" w:hAnsi="黑体" w:eastAsia="黑体" w:cs="黑体"/>
          <w:color w:val="000000"/>
          <w:szCs w:val="32"/>
        </w:rPr>
        <w:t>第三十一条</w:t>
      </w:r>
      <w:r>
        <w:rPr>
          <w:b/>
          <w:bCs/>
          <w:color w:val="000000"/>
          <w:szCs w:val="32"/>
        </w:rPr>
        <w:t xml:space="preserve"> </w:t>
      </w:r>
      <w:r>
        <w:rPr>
          <w:bCs/>
          <w:color w:val="000000"/>
          <w:szCs w:val="32"/>
        </w:rPr>
        <w:t>项目所在地政府应积极做好省重大产业项目的综合协调服务工作，帮助解决项目征地、房屋拆迁等难题，金融机构要优先支持省重大产业项目的融资需求。省市县三级政府要建立领导联系服务省重大产业项目机制。</w:t>
      </w:r>
    </w:p>
    <w:p>
      <w:pPr>
        <w:numPr>
          <w:ilvl w:val="255"/>
          <w:numId w:val="0"/>
        </w:numPr>
        <w:ind w:firstLine="640" w:firstLineChars="200"/>
        <w:rPr>
          <w:color w:val="000000"/>
          <w:szCs w:val="32"/>
        </w:rPr>
      </w:pPr>
      <w:r>
        <w:rPr>
          <w:rFonts w:hint="eastAsia" w:ascii="黑体" w:hAnsi="黑体" w:eastAsia="黑体" w:cs="黑体"/>
          <w:color w:val="000000"/>
          <w:szCs w:val="32"/>
        </w:rPr>
        <w:t>第三十二条</w:t>
      </w:r>
      <w:r>
        <w:rPr>
          <w:b/>
          <w:bCs/>
          <w:color w:val="000000"/>
          <w:szCs w:val="32"/>
        </w:rPr>
        <w:t xml:space="preserve"> </w:t>
      </w:r>
      <w:r>
        <w:rPr>
          <w:color w:val="000000"/>
          <w:szCs w:val="32"/>
        </w:rPr>
        <w:t>宁波市符合条件的项目统一纳入省重大产业项目库、储备库，其新增建设用地计划指标由宁波市统筹解决。</w:t>
      </w:r>
    </w:p>
    <w:p>
      <w:pPr>
        <w:widowControl/>
        <w:numPr>
          <w:ilvl w:val="255"/>
          <w:numId w:val="0"/>
        </w:numPr>
        <w:ind w:firstLine="640" w:firstLineChars="200"/>
      </w:pPr>
      <w:r>
        <w:rPr>
          <w:rFonts w:hint="eastAsia" w:ascii="黑体" w:hAnsi="黑体" w:eastAsia="黑体" w:cs="黑体"/>
          <w:color w:val="000000"/>
          <w:szCs w:val="32"/>
        </w:rPr>
        <w:t>第三十三条</w:t>
      </w:r>
      <w:r>
        <w:rPr>
          <w:b/>
          <w:bCs/>
          <w:color w:val="000000"/>
          <w:szCs w:val="32"/>
        </w:rPr>
        <w:t xml:space="preserve"> </w:t>
      </w:r>
      <w:r>
        <w:rPr>
          <w:color w:val="000000"/>
          <w:szCs w:val="32"/>
        </w:rPr>
        <w:t>本管理办法自印发之日起实施，原管理办法同时废止，已入库项目参照原办法执行。</w:t>
      </w:r>
    </w:p>
    <w:p>
      <w:pPr>
        <w:widowControl/>
        <w:numPr>
          <w:ilvl w:val="0"/>
          <w:numId w:val="1"/>
        </w:numPr>
        <w:ind w:left="0" w:firstLine="640" w:firstLineChars="200"/>
        <w:sectPr>
          <w:footerReference r:id="rId3" w:type="default"/>
          <w:footerReference r:id="rId4" w:type="even"/>
          <w:pgSz w:w="11906" w:h="16838"/>
          <w:pgMar w:top="1440" w:right="1800" w:bottom="1440" w:left="1800" w:header="851" w:footer="992" w:gutter="0"/>
          <w:cols w:space="720" w:num="1"/>
          <w:docGrid w:type="lines" w:linePitch="312" w:charSpace="0"/>
        </w:sectPr>
      </w:pPr>
    </w:p>
    <w:p>
      <w:pPr>
        <w:rPr>
          <w:rFonts w:eastAsia="黑体"/>
          <w:szCs w:val="32"/>
        </w:rPr>
      </w:pPr>
      <w:r>
        <w:rPr>
          <w:rFonts w:eastAsia="黑体"/>
          <w:szCs w:val="32"/>
        </w:rPr>
        <w:t>附</w:t>
      </w:r>
      <w:r>
        <w:rPr>
          <w:rFonts w:hint="eastAsia" w:eastAsia="黑体"/>
          <w:szCs w:val="32"/>
        </w:rPr>
        <w:t>1</w:t>
      </w:r>
    </w:p>
    <w:p>
      <w:pPr>
        <w:pStyle w:val="2"/>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浙江省重大产业项目申报资料合订本清单</w:t>
      </w:r>
    </w:p>
    <w:p>
      <w:pPr>
        <w:spacing w:after="217" w:afterLines="50"/>
        <w:jc w:val="center"/>
        <w:rPr>
          <w:rFonts w:eastAsia="楷体_GB2312"/>
        </w:rPr>
      </w:pPr>
      <w:r>
        <w:rPr>
          <w:rFonts w:eastAsia="楷体_GB2312"/>
        </w:rPr>
        <w:t>（2020版）</w:t>
      </w:r>
    </w:p>
    <w:p>
      <w:pPr>
        <w:spacing w:line="360" w:lineRule="auto"/>
        <w:ind w:firstLine="640" w:firstLineChars="200"/>
      </w:pPr>
      <w:r>
        <w:t>1.浙江省重大产业项目申报表。</w:t>
      </w:r>
    </w:p>
    <w:p>
      <w:pPr>
        <w:spacing w:line="360" w:lineRule="auto"/>
        <w:ind w:firstLine="640" w:firstLineChars="200"/>
      </w:pPr>
      <w:r>
        <w:t>2.项目简介材料</w:t>
      </w:r>
      <w:r>
        <w:rPr>
          <w:rFonts w:hint="eastAsia"/>
        </w:rPr>
        <w:t>，</w:t>
      </w:r>
      <w:r>
        <w:t>包括项目业主单位基本情况、项目背景和建设必要性、市场供求分析、项目建设规模和内容、工艺方法和技术先进性、知识产权获得情况、项目总投资和资金筹措方案、拟选址地块和项目前期工作情况、投入产出6项指标情况（应给出详细的分析过程）、项目投资估算表。其中，市场供求分析需重点说明近5年目标市场的供求情况、区域范围内已投产项目情况，未来5年市场需求分析。</w:t>
      </w:r>
    </w:p>
    <w:p>
      <w:pPr>
        <w:spacing w:line="360" w:lineRule="auto"/>
        <w:ind w:firstLine="640" w:firstLineChars="200"/>
      </w:pPr>
      <w:r>
        <w:t>3.项目业主单位的营业执照、法人代表身份证复印件。</w:t>
      </w:r>
    </w:p>
    <w:p>
      <w:pPr>
        <w:spacing w:line="360" w:lineRule="auto"/>
        <w:ind w:firstLine="640" w:firstLineChars="200"/>
      </w:pPr>
      <w:r>
        <w:t>4.前期工作有关批文。</w:t>
      </w:r>
    </w:p>
    <w:p>
      <w:pPr>
        <w:spacing w:line="360" w:lineRule="auto"/>
        <w:ind w:firstLine="640" w:firstLineChars="200"/>
      </w:pPr>
      <w:r>
        <w:t>实施类项目包括：（1）项目备案赋码信息表（核准文件）；（2）规划设计条件书；（3）土地成交确认书（土地出让合同）或工作联系单；（4）环评批复；（5）能评批复。</w:t>
      </w:r>
    </w:p>
    <w:p>
      <w:pPr>
        <w:spacing w:line="360" w:lineRule="auto"/>
        <w:ind w:firstLine="640" w:firstLineChars="200"/>
      </w:pPr>
      <w:r>
        <w:t>预选类项目包括：（1）获得项目代码；（2）规划设计条件书；（3）用地预审（或自然资源部门的工作联系单）；（4）环评初审意见。</w:t>
      </w:r>
    </w:p>
    <w:p>
      <w:pPr>
        <w:spacing w:line="360" w:lineRule="auto"/>
        <w:ind w:firstLine="640" w:firstLineChars="200"/>
      </w:pPr>
      <w:r>
        <w:rPr>
          <w:rFonts w:hint="eastAsia"/>
          <w:szCs w:val="32"/>
        </w:rPr>
        <w:t>按</w:t>
      </w:r>
      <w:r>
        <w:rPr>
          <w:szCs w:val="32"/>
        </w:rPr>
        <w:t>“标准地”</w:t>
      </w:r>
      <w:r>
        <w:rPr>
          <w:rFonts w:hint="eastAsia"/>
          <w:szCs w:val="32"/>
        </w:rPr>
        <w:t>方式出让土地的</w:t>
      </w:r>
      <w:r>
        <w:rPr>
          <w:szCs w:val="32"/>
        </w:rPr>
        <w:t>项目</w:t>
      </w:r>
      <w:r>
        <w:t>，可按照企业投资项目“最多跑一次”改革简化，只需提供项目备案赋码信息表（核准文件）、土地出让公告、土地出让合同、标准地项目投资建设合同。</w:t>
      </w:r>
    </w:p>
    <w:p>
      <w:pPr>
        <w:spacing w:line="360" w:lineRule="auto"/>
        <w:ind w:firstLine="640" w:firstLineChars="200"/>
      </w:pPr>
      <w:r>
        <w:t>5.与政府（或授权部门）签订的投资项目合作协议。</w:t>
      </w:r>
    </w:p>
    <w:p>
      <w:pPr>
        <w:spacing w:line="360" w:lineRule="auto"/>
        <w:ind w:firstLine="640" w:firstLineChars="200"/>
      </w:pPr>
      <w:r>
        <w:t>6.项目地块所在区域的位置示意图、城乡总体规划局部图、土地利用规划局部图（需注明坐标）、控制性详细规划等复印件。实施类项目还需提供项目总平布置图、效果图。</w:t>
      </w:r>
    </w:p>
    <w:p>
      <w:pPr>
        <w:spacing w:line="360" w:lineRule="auto"/>
        <w:ind w:firstLine="640" w:firstLineChars="200"/>
      </w:pPr>
      <w:r>
        <w:t>7.建设资金落实证明材料，如</w:t>
      </w:r>
      <w:r>
        <w:rPr>
          <w:szCs w:val="32"/>
        </w:rPr>
        <w:t>项目贷款（授信）文件、企业存款证明等。</w:t>
      </w:r>
    </w:p>
    <w:p>
      <w:pPr>
        <w:spacing w:line="360" w:lineRule="auto"/>
        <w:ind w:firstLine="640" w:firstLineChars="200"/>
      </w:pPr>
      <w:r>
        <w:t>8.</w:t>
      </w:r>
      <w:r>
        <w:rPr>
          <w:rFonts w:hint="eastAsia"/>
        </w:rPr>
        <w:t>重大</w:t>
      </w:r>
      <w:r>
        <w:t>科技创新项目需提供软投入相关证明材料</w:t>
      </w:r>
      <w:r>
        <w:rPr>
          <w:rFonts w:hint="eastAsia"/>
        </w:rPr>
        <w:t>，</w:t>
      </w:r>
      <w:r>
        <w:t>其中软投入费用包括科研费用</w:t>
      </w:r>
      <w:r>
        <w:rPr>
          <w:rFonts w:hint="eastAsia"/>
        </w:rPr>
        <w:t>、</w:t>
      </w:r>
      <w:r>
        <w:t>知识产权费用</w:t>
      </w:r>
      <w:r>
        <w:rPr>
          <w:rFonts w:hint="eastAsia"/>
        </w:rPr>
        <w:t>、</w:t>
      </w:r>
      <w:r>
        <w:t>信息化费用</w:t>
      </w:r>
      <w:r>
        <w:rPr>
          <w:rFonts w:hint="eastAsia"/>
        </w:rPr>
        <w:t>、</w:t>
      </w:r>
      <w:r>
        <w:t>人力资本费用</w:t>
      </w:r>
      <w:r>
        <w:rPr>
          <w:rFonts w:hint="eastAsia"/>
        </w:rPr>
        <w:t>。</w:t>
      </w:r>
    </w:p>
    <w:p>
      <w:pPr>
        <w:spacing w:line="360" w:lineRule="auto"/>
        <w:ind w:firstLine="640" w:firstLineChars="200"/>
        <w:sectPr>
          <w:pgSz w:w="11906" w:h="16838"/>
          <w:pgMar w:top="1440" w:right="1797" w:bottom="1440" w:left="1797" w:header="851" w:footer="992" w:gutter="0"/>
          <w:cols w:space="720" w:num="1"/>
          <w:docGrid w:type="linesAndChars" w:linePitch="435" w:charSpace="0"/>
        </w:sectPr>
      </w:pPr>
      <w:r>
        <w:t>9.</w:t>
      </w:r>
      <w:r>
        <w:rPr>
          <w:rFonts w:hint="eastAsia"/>
        </w:rPr>
        <w:t>特别</w:t>
      </w:r>
      <w:r>
        <w:t>重大产业项目，除上述材料外，需提供项目申请报告（按照发改投资〔2017〕684号《项目申请报告通用文本》格式）。</w:t>
      </w:r>
    </w:p>
    <w:p>
      <w:pPr>
        <w:spacing w:line="560" w:lineRule="exact"/>
      </w:pPr>
      <w:r>
        <w:rPr>
          <w:rFonts w:hint="eastAsia" w:eastAsia="黑体"/>
          <w:sz w:val="36"/>
          <w:szCs w:val="36"/>
        </w:rPr>
        <w:t>附2</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浙江省重大产业项目申报资料合订本清单数据来源</w:t>
      </w: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4078"/>
        <w:gridCol w:w="3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60" w:type="dxa"/>
          </w:tcPr>
          <w:p>
            <w:pPr>
              <w:pStyle w:val="2"/>
              <w:ind w:firstLine="0"/>
              <w:jc w:val="center"/>
              <w:rPr>
                <w:rFonts w:ascii="Times New Roman" w:hAnsi="Times New Roman"/>
                <w:b/>
                <w:kern w:val="0"/>
                <w:sz w:val="28"/>
                <w:szCs w:val="28"/>
              </w:rPr>
            </w:pPr>
            <w:r>
              <w:rPr>
                <w:rFonts w:ascii="Times New Roman" w:hAnsi="Times New Roman"/>
                <w:b/>
                <w:kern w:val="0"/>
                <w:sz w:val="28"/>
                <w:szCs w:val="28"/>
              </w:rPr>
              <w:t>序号</w:t>
            </w:r>
          </w:p>
        </w:tc>
        <w:tc>
          <w:tcPr>
            <w:tcW w:w="4078" w:type="dxa"/>
          </w:tcPr>
          <w:p>
            <w:pPr>
              <w:pStyle w:val="2"/>
              <w:jc w:val="center"/>
              <w:rPr>
                <w:rFonts w:ascii="Times New Roman" w:hAnsi="Times New Roman"/>
                <w:b/>
                <w:kern w:val="0"/>
                <w:sz w:val="28"/>
                <w:szCs w:val="28"/>
              </w:rPr>
            </w:pPr>
            <w:r>
              <w:rPr>
                <w:rFonts w:ascii="Times New Roman" w:hAnsi="Times New Roman"/>
                <w:b/>
                <w:kern w:val="0"/>
                <w:sz w:val="28"/>
                <w:szCs w:val="28"/>
              </w:rPr>
              <w:t>材料名称</w:t>
            </w:r>
          </w:p>
        </w:tc>
        <w:tc>
          <w:tcPr>
            <w:tcW w:w="3290" w:type="dxa"/>
          </w:tcPr>
          <w:p>
            <w:pPr>
              <w:pStyle w:val="2"/>
              <w:ind w:firstLine="0"/>
              <w:jc w:val="center"/>
              <w:rPr>
                <w:rFonts w:ascii="Times New Roman" w:hAnsi="Times New Roman"/>
                <w:b/>
                <w:kern w:val="0"/>
                <w:sz w:val="28"/>
                <w:szCs w:val="28"/>
              </w:rPr>
            </w:pPr>
            <w:r>
              <w:rPr>
                <w:rFonts w:ascii="Times New Roman" w:hAnsi="Times New Roman"/>
                <w:b/>
                <w:kern w:val="0"/>
                <w:sz w:val="28"/>
                <w:szCs w:val="2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1</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重大产业项目申报表</w:t>
            </w:r>
          </w:p>
        </w:tc>
        <w:tc>
          <w:tcPr>
            <w:tcW w:w="3290" w:type="dxa"/>
            <w:vMerge w:val="restart"/>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项目业主填报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2</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项目简介</w:t>
            </w:r>
          </w:p>
        </w:tc>
        <w:tc>
          <w:tcPr>
            <w:tcW w:w="3290" w:type="dxa"/>
            <w:vMerge w:val="continue"/>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3</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投资协议书</w:t>
            </w:r>
          </w:p>
        </w:tc>
        <w:tc>
          <w:tcPr>
            <w:tcW w:w="3290" w:type="dxa"/>
            <w:vMerge w:val="continue"/>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4</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建设资金落实证明材料</w:t>
            </w:r>
          </w:p>
        </w:tc>
        <w:tc>
          <w:tcPr>
            <w:tcW w:w="3290" w:type="dxa"/>
            <w:vMerge w:val="continue"/>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5</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项目获取专利证明材料</w:t>
            </w:r>
          </w:p>
        </w:tc>
        <w:tc>
          <w:tcPr>
            <w:tcW w:w="3290" w:type="dxa"/>
            <w:vMerge w:val="continue"/>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6</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营业执照</w:t>
            </w:r>
          </w:p>
        </w:tc>
        <w:tc>
          <w:tcPr>
            <w:tcW w:w="3290" w:type="dxa"/>
            <w:vAlign w:val="center"/>
          </w:tcPr>
          <w:p>
            <w:pPr>
              <w:rPr>
                <w:bCs/>
                <w:kern w:val="0"/>
                <w:sz w:val="28"/>
                <w:szCs w:val="28"/>
              </w:rPr>
            </w:pPr>
            <w:r>
              <w:rPr>
                <w:bCs/>
                <w:kern w:val="0"/>
                <w:sz w:val="28"/>
                <w:szCs w:val="28"/>
              </w:rPr>
              <w:t>省市场监管平台共享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7</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项目法人身份证</w:t>
            </w:r>
          </w:p>
        </w:tc>
        <w:tc>
          <w:tcPr>
            <w:tcW w:w="3290" w:type="dxa"/>
            <w:vAlign w:val="center"/>
          </w:tcPr>
          <w:p>
            <w:pPr>
              <w:rPr>
                <w:bCs/>
                <w:kern w:val="0"/>
                <w:sz w:val="28"/>
                <w:szCs w:val="28"/>
              </w:rPr>
            </w:pPr>
            <w:r>
              <w:rPr>
                <w:bCs/>
                <w:kern w:val="0"/>
                <w:sz w:val="28"/>
                <w:szCs w:val="28"/>
              </w:rPr>
              <w:t>省公安信息平台共享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8</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项目备案表（核准、审批）</w:t>
            </w:r>
          </w:p>
        </w:tc>
        <w:tc>
          <w:tcPr>
            <w:tcW w:w="3290" w:type="dxa"/>
            <w:vMerge w:val="restart"/>
            <w:vAlign w:val="center"/>
          </w:tcPr>
          <w:p>
            <w:pPr>
              <w:rPr>
                <w:bCs/>
                <w:kern w:val="0"/>
                <w:sz w:val="28"/>
                <w:szCs w:val="28"/>
              </w:rPr>
            </w:pPr>
            <w:r>
              <w:rPr>
                <w:bCs/>
                <w:kern w:val="0"/>
                <w:sz w:val="28"/>
                <w:szCs w:val="28"/>
              </w:rPr>
              <w:t>投资平台3.0平台共享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9</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用地规划设计条件书</w:t>
            </w:r>
          </w:p>
        </w:tc>
        <w:tc>
          <w:tcPr>
            <w:tcW w:w="3290" w:type="dxa"/>
            <w:vMerge w:val="continue"/>
            <w:vAlign w:val="center"/>
          </w:tcPr>
          <w:p>
            <w:pPr>
              <w:rPr>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10</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用地预审意见或土地出让合同</w:t>
            </w:r>
          </w:p>
        </w:tc>
        <w:tc>
          <w:tcPr>
            <w:tcW w:w="3290" w:type="dxa"/>
            <w:vMerge w:val="continue"/>
            <w:vAlign w:val="center"/>
          </w:tcPr>
          <w:p>
            <w:pPr>
              <w:rPr>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11</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环评批复（初审）</w:t>
            </w:r>
          </w:p>
        </w:tc>
        <w:tc>
          <w:tcPr>
            <w:tcW w:w="3290" w:type="dxa"/>
            <w:vMerge w:val="continue"/>
            <w:vAlign w:val="center"/>
          </w:tcPr>
          <w:p>
            <w:pPr>
              <w:rPr>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12</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能评批复（初审）</w:t>
            </w:r>
          </w:p>
        </w:tc>
        <w:tc>
          <w:tcPr>
            <w:tcW w:w="3290" w:type="dxa"/>
            <w:vMerge w:val="continue"/>
            <w:vAlign w:val="center"/>
          </w:tcPr>
          <w:p>
            <w:pPr>
              <w:rPr>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13</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项目位置示意图</w:t>
            </w:r>
          </w:p>
        </w:tc>
        <w:tc>
          <w:tcPr>
            <w:tcW w:w="3290" w:type="dxa"/>
            <w:vMerge w:val="restart"/>
            <w:vAlign w:val="center"/>
          </w:tcPr>
          <w:p>
            <w:pPr>
              <w:rPr>
                <w:bCs/>
                <w:kern w:val="0"/>
                <w:sz w:val="28"/>
                <w:szCs w:val="28"/>
              </w:rPr>
            </w:pPr>
            <w:r>
              <w:rPr>
                <w:bCs/>
                <w:kern w:val="0"/>
                <w:sz w:val="28"/>
                <w:szCs w:val="28"/>
              </w:rPr>
              <w:t>自然资源平台共享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14</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城乡总体规划局部图</w:t>
            </w:r>
          </w:p>
        </w:tc>
        <w:tc>
          <w:tcPr>
            <w:tcW w:w="329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15</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土地利用规划局部图</w:t>
            </w:r>
          </w:p>
        </w:tc>
        <w:tc>
          <w:tcPr>
            <w:tcW w:w="329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16</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控制性详细规划图</w:t>
            </w:r>
          </w:p>
        </w:tc>
        <w:tc>
          <w:tcPr>
            <w:tcW w:w="329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17</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项目总平图</w:t>
            </w:r>
          </w:p>
        </w:tc>
        <w:tc>
          <w:tcPr>
            <w:tcW w:w="329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Pr>
          <w:p>
            <w:pPr>
              <w:pStyle w:val="2"/>
              <w:ind w:left="420" w:firstLine="0"/>
              <w:rPr>
                <w:rFonts w:ascii="Times New Roman" w:hAnsi="Times New Roman"/>
                <w:bCs/>
                <w:kern w:val="0"/>
                <w:sz w:val="28"/>
                <w:szCs w:val="28"/>
              </w:rPr>
            </w:pPr>
            <w:r>
              <w:rPr>
                <w:rFonts w:hint="eastAsia" w:ascii="Times New Roman" w:hAnsi="Times New Roman"/>
                <w:bCs/>
                <w:kern w:val="0"/>
                <w:sz w:val="28"/>
                <w:szCs w:val="28"/>
              </w:rPr>
              <w:t>18</w:t>
            </w:r>
          </w:p>
        </w:tc>
        <w:tc>
          <w:tcPr>
            <w:tcW w:w="4078" w:type="dxa"/>
            <w:vAlign w:val="center"/>
          </w:tcPr>
          <w:p>
            <w:pPr>
              <w:pStyle w:val="2"/>
              <w:ind w:firstLine="0"/>
              <w:rPr>
                <w:rFonts w:ascii="Times New Roman" w:hAnsi="Times New Roman"/>
                <w:bCs/>
                <w:kern w:val="0"/>
                <w:sz w:val="28"/>
                <w:szCs w:val="28"/>
              </w:rPr>
            </w:pPr>
            <w:r>
              <w:rPr>
                <w:rFonts w:ascii="Times New Roman" w:hAnsi="Times New Roman"/>
                <w:bCs/>
                <w:kern w:val="0"/>
                <w:sz w:val="28"/>
                <w:szCs w:val="28"/>
              </w:rPr>
              <w:t>项目效果图</w:t>
            </w:r>
          </w:p>
        </w:tc>
        <w:tc>
          <w:tcPr>
            <w:tcW w:w="3290" w:type="dxa"/>
            <w:vMerge w:val="continue"/>
            <w:vAlign w:val="center"/>
          </w:tcPr>
          <w:p/>
        </w:tc>
      </w:tr>
    </w:tbl>
    <w:p>
      <w:pPr>
        <w:pStyle w:val="2"/>
        <w:ind w:firstLine="0"/>
        <w:rPr>
          <w:rFonts w:ascii="Times New Roman" w:hAnsi="Times New Roman"/>
        </w:rPr>
      </w:pPr>
    </w:p>
    <w:sectPr>
      <w:pgSz w:w="11906" w:h="16838"/>
      <w:pgMar w:top="1440" w:right="1797" w:bottom="1440" w:left="1797" w:header="851" w:footer="992"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14</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2138"/>
    <w:multiLevelType w:val="multilevel"/>
    <w:tmpl w:val="2DC92138"/>
    <w:lvl w:ilvl="0" w:tentative="0">
      <w:start w:val="1"/>
      <w:numFmt w:val="japaneseCounting"/>
      <w:lvlText w:val="第%1条"/>
      <w:lvlJc w:val="left"/>
      <w:pPr>
        <w:ind w:left="420" w:hanging="420"/>
      </w:pPr>
      <w:rPr>
        <w:rFonts w:hint="default" w:ascii="黑体" w:hAnsi="黑体" w:eastAsia="黑体"/>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4D"/>
    <w:rsid w:val="00000999"/>
    <w:rsid w:val="00001315"/>
    <w:rsid w:val="000017E8"/>
    <w:rsid w:val="0000192C"/>
    <w:rsid w:val="00006222"/>
    <w:rsid w:val="0000747D"/>
    <w:rsid w:val="00007649"/>
    <w:rsid w:val="00013CAA"/>
    <w:rsid w:val="00016191"/>
    <w:rsid w:val="00020C70"/>
    <w:rsid w:val="0002170D"/>
    <w:rsid w:val="00021746"/>
    <w:rsid w:val="00022345"/>
    <w:rsid w:val="00022FAE"/>
    <w:rsid w:val="00023281"/>
    <w:rsid w:val="0002351B"/>
    <w:rsid w:val="00023754"/>
    <w:rsid w:val="00024668"/>
    <w:rsid w:val="000273C9"/>
    <w:rsid w:val="00027A66"/>
    <w:rsid w:val="00030B8C"/>
    <w:rsid w:val="00031CB1"/>
    <w:rsid w:val="00036430"/>
    <w:rsid w:val="0003780D"/>
    <w:rsid w:val="00042C6B"/>
    <w:rsid w:val="0004447E"/>
    <w:rsid w:val="00047103"/>
    <w:rsid w:val="0005159D"/>
    <w:rsid w:val="00054D71"/>
    <w:rsid w:val="0006210D"/>
    <w:rsid w:val="00062AC2"/>
    <w:rsid w:val="00064BE3"/>
    <w:rsid w:val="00065946"/>
    <w:rsid w:val="000731BE"/>
    <w:rsid w:val="000735E7"/>
    <w:rsid w:val="00075959"/>
    <w:rsid w:val="00075C0A"/>
    <w:rsid w:val="00075CAA"/>
    <w:rsid w:val="00076E50"/>
    <w:rsid w:val="00077466"/>
    <w:rsid w:val="0007758B"/>
    <w:rsid w:val="00083768"/>
    <w:rsid w:val="000868B4"/>
    <w:rsid w:val="00087CDC"/>
    <w:rsid w:val="0009135C"/>
    <w:rsid w:val="00092273"/>
    <w:rsid w:val="000953FD"/>
    <w:rsid w:val="00095714"/>
    <w:rsid w:val="000A1056"/>
    <w:rsid w:val="000A2E0F"/>
    <w:rsid w:val="000A57C0"/>
    <w:rsid w:val="000A7D28"/>
    <w:rsid w:val="000B0D73"/>
    <w:rsid w:val="000B1886"/>
    <w:rsid w:val="000B3052"/>
    <w:rsid w:val="000B540E"/>
    <w:rsid w:val="000B59AC"/>
    <w:rsid w:val="000B6C4B"/>
    <w:rsid w:val="000C149F"/>
    <w:rsid w:val="000C3F9E"/>
    <w:rsid w:val="000C57AB"/>
    <w:rsid w:val="000C60CD"/>
    <w:rsid w:val="000D1671"/>
    <w:rsid w:val="000D1B24"/>
    <w:rsid w:val="000D1EC2"/>
    <w:rsid w:val="000D2CA4"/>
    <w:rsid w:val="000D3931"/>
    <w:rsid w:val="000D6849"/>
    <w:rsid w:val="000E4041"/>
    <w:rsid w:val="000E4AC1"/>
    <w:rsid w:val="000E539C"/>
    <w:rsid w:val="000E6910"/>
    <w:rsid w:val="000E7929"/>
    <w:rsid w:val="000F15E6"/>
    <w:rsid w:val="000F3138"/>
    <w:rsid w:val="0010093E"/>
    <w:rsid w:val="001024BD"/>
    <w:rsid w:val="00102D11"/>
    <w:rsid w:val="00102F19"/>
    <w:rsid w:val="00105763"/>
    <w:rsid w:val="001066CE"/>
    <w:rsid w:val="00106817"/>
    <w:rsid w:val="00106E31"/>
    <w:rsid w:val="00107905"/>
    <w:rsid w:val="00110D62"/>
    <w:rsid w:val="00110E74"/>
    <w:rsid w:val="0011116C"/>
    <w:rsid w:val="001115EA"/>
    <w:rsid w:val="00111E7C"/>
    <w:rsid w:val="00113310"/>
    <w:rsid w:val="001164B7"/>
    <w:rsid w:val="001166CC"/>
    <w:rsid w:val="00123218"/>
    <w:rsid w:val="00123456"/>
    <w:rsid w:val="00125A74"/>
    <w:rsid w:val="00127442"/>
    <w:rsid w:val="00130E56"/>
    <w:rsid w:val="001357E9"/>
    <w:rsid w:val="00137785"/>
    <w:rsid w:val="00142127"/>
    <w:rsid w:val="001428FE"/>
    <w:rsid w:val="00143873"/>
    <w:rsid w:val="00143928"/>
    <w:rsid w:val="00143BBD"/>
    <w:rsid w:val="00144AEB"/>
    <w:rsid w:val="00144CB9"/>
    <w:rsid w:val="00145729"/>
    <w:rsid w:val="001470B9"/>
    <w:rsid w:val="00147CFA"/>
    <w:rsid w:val="00150A0C"/>
    <w:rsid w:val="00150DCA"/>
    <w:rsid w:val="00153817"/>
    <w:rsid w:val="00154118"/>
    <w:rsid w:val="00154D09"/>
    <w:rsid w:val="00155038"/>
    <w:rsid w:val="00162E0B"/>
    <w:rsid w:val="00163AB3"/>
    <w:rsid w:val="001643A9"/>
    <w:rsid w:val="00164F3B"/>
    <w:rsid w:val="001650B4"/>
    <w:rsid w:val="0016688A"/>
    <w:rsid w:val="001708A0"/>
    <w:rsid w:val="001715D5"/>
    <w:rsid w:val="001728E6"/>
    <w:rsid w:val="00174848"/>
    <w:rsid w:val="0018015B"/>
    <w:rsid w:val="001813B3"/>
    <w:rsid w:val="0018233A"/>
    <w:rsid w:val="00183D91"/>
    <w:rsid w:val="00184BC8"/>
    <w:rsid w:val="001855F8"/>
    <w:rsid w:val="0019072F"/>
    <w:rsid w:val="001919EF"/>
    <w:rsid w:val="001929C3"/>
    <w:rsid w:val="00192A31"/>
    <w:rsid w:val="0019557C"/>
    <w:rsid w:val="001956E3"/>
    <w:rsid w:val="00196441"/>
    <w:rsid w:val="00196C59"/>
    <w:rsid w:val="001971AF"/>
    <w:rsid w:val="001A1664"/>
    <w:rsid w:val="001A1C69"/>
    <w:rsid w:val="001A5289"/>
    <w:rsid w:val="001A57E5"/>
    <w:rsid w:val="001A5DBB"/>
    <w:rsid w:val="001B1513"/>
    <w:rsid w:val="001B6FDA"/>
    <w:rsid w:val="001B7D2B"/>
    <w:rsid w:val="001C1FFB"/>
    <w:rsid w:val="001C2ECA"/>
    <w:rsid w:val="001C3E82"/>
    <w:rsid w:val="001C43B6"/>
    <w:rsid w:val="001C4F6D"/>
    <w:rsid w:val="001C5AB5"/>
    <w:rsid w:val="001C5EC1"/>
    <w:rsid w:val="001C70D7"/>
    <w:rsid w:val="001C76C3"/>
    <w:rsid w:val="001C7B26"/>
    <w:rsid w:val="001D031D"/>
    <w:rsid w:val="001D4AB7"/>
    <w:rsid w:val="001D4D2A"/>
    <w:rsid w:val="001D5713"/>
    <w:rsid w:val="001D6B67"/>
    <w:rsid w:val="001D7D54"/>
    <w:rsid w:val="001E03B6"/>
    <w:rsid w:val="001E15EF"/>
    <w:rsid w:val="001E3537"/>
    <w:rsid w:val="001E3DE5"/>
    <w:rsid w:val="001E5F4F"/>
    <w:rsid w:val="001E6663"/>
    <w:rsid w:val="001F0C00"/>
    <w:rsid w:val="001F3083"/>
    <w:rsid w:val="001F3342"/>
    <w:rsid w:val="001F6CCD"/>
    <w:rsid w:val="00200F23"/>
    <w:rsid w:val="002014CD"/>
    <w:rsid w:val="002029B4"/>
    <w:rsid w:val="00202FB0"/>
    <w:rsid w:val="002051C5"/>
    <w:rsid w:val="0021355A"/>
    <w:rsid w:val="0021575A"/>
    <w:rsid w:val="002167F8"/>
    <w:rsid w:val="0021704C"/>
    <w:rsid w:val="00217A8E"/>
    <w:rsid w:val="002216E9"/>
    <w:rsid w:val="002220A0"/>
    <w:rsid w:val="002226F4"/>
    <w:rsid w:val="00226CE8"/>
    <w:rsid w:val="0022719F"/>
    <w:rsid w:val="00231B25"/>
    <w:rsid w:val="00233EBB"/>
    <w:rsid w:val="002341AF"/>
    <w:rsid w:val="00236618"/>
    <w:rsid w:val="00236D9A"/>
    <w:rsid w:val="002377EB"/>
    <w:rsid w:val="00244926"/>
    <w:rsid w:val="00246BD6"/>
    <w:rsid w:val="002473E2"/>
    <w:rsid w:val="00247945"/>
    <w:rsid w:val="00247F40"/>
    <w:rsid w:val="00250902"/>
    <w:rsid w:val="00251273"/>
    <w:rsid w:val="002523E1"/>
    <w:rsid w:val="00254AD4"/>
    <w:rsid w:val="00254ADD"/>
    <w:rsid w:val="00254BFF"/>
    <w:rsid w:val="002563CA"/>
    <w:rsid w:val="00256491"/>
    <w:rsid w:val="00260456"/>
    <w:rsid w:val="002619CC"/>
    <w:rsid w:val="00261B5C"/>
    <w:rsid w:val="00263E55"/>
    <w:rsid w:val="00265F0E"/>
    <w:rsid w:val="00267420"/>
    <w:rsid w:val="00272F54"/>
    <w:rsid w:val="0027315F"/>
    <w:rsid w:val="0027363A"/>
    <w:rsid w:val="00280A11"/>
    <w:rsid w:val="00281EA2"/>
    <w:rsid w:val="002833FD"/>
    <w:rsid w:val="002838C6"/>
    <w:rsid w:val="00283A8F"/>
    <w:rsid w:val="002867F1"/>
    <w:rsid w:val="002870D4"/>
    <w:rsid w:val="00290151"/>
    <w:rsid w:val="002917AD"/>
    <w:rsid w:val="00292023"/>
    <w:rsid w:val="00292CF3"/>
    <w:rsid w:val="00293C30"/>
    <w:rsid w:val="00294DD4"/>
    <w:rsid w:val="0029627E"/>
    <w:rsid w:val="00296855"/>
    <w:rsid w:val="00296D1D"/>
    <w:rsid w:val="002972AA"/>
    <w:rsid w:val="002A14D5"/>
    <w:rsid w:val="002A154A"/>
    <w:rsid w:val="002A16DA"/>
    <w:rsid w:val="002A31C3"/>
    <w:rsid w:val="002A4B76"/>
    <w:rsid w:val="002B1536"/>
    <w:rsid w:val="002B1630"/>
    <w:rsid w:val="002B1AFF"/>
    <w:rsid w:val="002B1D03"/>
    <w:rsid w:val="002B33B0"/>
    <w:rsid w:val="002B519F"/>
    <w:rsid w:val="002B54BD"/>
    <w:rsid w:val="002B59BC"/>
    <w:rsid w:val="002B5E68"/>
    <w:rsid w:val="002B6946"/>
    <w:rsid w:val="002B76D8"/>
    <w:rsid w:val="002C0546"/>
    <w:rsid w:val="002C2EF5"/>
    <w:rsid w:val="002C3878"/>
    <w:rsid w:val="002C40A4"/>
    <w:rsid w:val="002C4203"/>
    <w:rsid w:val="002C4890"/>
    <w:rsid w:val="002C65CE"/>
    <w:rsid w:val="002D1093"/>
    <w:rsid w:val="002D31C6"/>
    <w:rsid w:val="002D45A6"/>
    <w:rsid w:val="002D7661"/>
    <w:rsid w:val="002E16E2"/>
    <w:rsid w:val="002E2157"/>
    <w:rsid w:val="002E4169"/>
    <w:rsid w:val="002E51DB"/>
    <w:rsid w:val="002E72DC"/>
    <w:rsid w:val="002E7BE8"/>
    <w:rsid w:val="002F1244"/>
    <w:rsid w:val="002F1CB8"/>
    <w:rsid w:val="002F3625"/>
    <w:rsid w:val="002F369A"/>
    <w:rsid w:val="002F567E"/>
    <w:rsid w:val="002F594E"/>
    <w:rsid w:val="002F6163"/>
    <w:rsid w:val="002F618E"/>
    <w:rsid w:val="002F698A"/>
    <w:rsid w:val="003028F7"/>
    <w:rsid w:val="00304218"/>
    <w:rsid w:val="0030492E"/>
    <w:rsid w:val="00306D5B"/>
    <w:rsid w:val="0031011A"/>
    <w:rsid w:val="003103C4"/>
    <w:rsid w:val="00310CF5"/>
    <w:rsid w:val="0031204C"/>
    <w:rsid w:val="003125F0"/>
    <w:rsid w:val="003130D5"/>
    <w:rsid w:val="003202E3"/>
    <w:rsid w:val="00322EC4"/>
    <w:rsid w:val="003243AC"/>
    <w:rsid w:val="003249B8"/>
    <w:rsid w:val="00324D2A"/>
    <w:rsid w:val="00325746"/>
    <w:rsid w:val="0032697F"/>
    <w:rsid w:val="00326F4D"/>
    <w:rsid w:val="003271C6"/>
    <w:rsid w:val="00330E93"/>
    <w:rsid w:val="00332A54"/>
    <w:rsid w:val="0033341F"/>
    <w:rsid w:val="00333CC1"/>
    <w:rsid w:val="00336CB4"/>
    <w:rsid w:val="00337756"/>
    <w:rsid w:val="00337EA4"/>
    <w:rsid w:val="00340F67"/>
    <w:rsid w:val="00341AAB"/>
    <w:rsid w:val="00343246"/>
    <w:rsid w:val="003433B7"/>
    <w:rsid w:val="003442A3"/>
    <w:rsid w:val="00350775"/>
    <w:rsid w:val="00350F68"/>
    <w:rsid w:val="003519AF"/>
    <w:rsid w:val="00351C7E"/>
    <w:rsid w:val="00353769"/>
    <w:rsid w:val="00354DBB"/>
    <w:rsid w:val="0035505C"/>
    <w:rsid w:val="003559CC"/>
    <w:rsid w:val="00357797"/>
    <w:rsid w:val="0035787D"/>
    <w:rsid w:val="00357B3D"/>
    <w:rsid w:val="00360445"/>
    <w:rsid w:val="0036216D"/>
    <w:rsid w:val="003640D2"/>
    <w:rsid w:val="00365704"/>
    <w:rsid w:val="003701A0"/>
    <w:rsid w:val="0037035F"/>
    <w:rsid w:val="00370B5A"/>
    <w:rsid w:val="00370DD1"/>
    <w:rsid w:val="00372140"/>
    <w:rsid w:val="00373157"/>
    <w:rsid w:val="0037464C"/>
    <w:rsid w:val="00377C40"/>
    <w:rsid w:val="00382D65"/>
    <w:rsid w:val="00384722"/>
    <w:rsid w:val="00384E20"/>
    <w:rsid w:val="00385C69"/>
    <w:rsid w:val="00387D4D"/>
    <w:rsid w:val="00391D91"/>
    <w:rsid w:val="003926A2"/>
    <w:rsid w:val="00392EA2"/>
    <w:rsid w:val="00394C6B"/>
    <w:rsid w:val="0039567C"/>
    <w:rsid w:val="0039581B"/>
    <w:rsid w:val="00395B57"/>
    <w:rsid w:val="00395F29"/>
    <w:rsid w:val="0039673D"/>
    <w:rsid w:val="00396FD8"/>
    <w:rsid w:val="003A056D"/>
    <w:rsid w:val="003A1738"/>
    <w:rsid w:val="003A1D72"/>
    <w:rsid w:val="003A32C4"/>
    <w:rsid w:val="003A67D8"/>
    <w:rsid w:val="003A6824"/>
    <w:rsid w:val="003B0D55"/>
    <w:rsid w:val="003B21E2"/>
    <w:rsid w:val="003B626E"/>
    <w:rsid w:val="003C0A6C"/>
    <w:rsid w:val="003C1699"/>
    <w:rsid w:val="003C22C2"/>
    <w:rsid w:val="003C27DD"/>
    <w:rsid w:val="003C3518"/>
    <w:rsid w:val="003C37C1"/>
    <w:rsid w:val="003D4D0F"/>
    <w:rsid w:val="003D6DBE"/>
    <w:rsid w:val="003E0FED"/>
    <w:rsid w:val="003E22B9"/>
    <w:rsid w:val="003E31C9"/>
    <w:rsid w:val="003E3F51"/>
    <w:rsid w:val="003E41C6"/>
    <w:rsid w:val="003E46BB"/>
    <w:rsid w:val="003E4DFC"/>
    <w:rsid w:val="003E5706"/>
    <w:rsid w:val="003E7719"/>
    <w:rsid w:val="003F0F70"/>
    <w:rsid w:val="003F4296"/>
    <w:rsid w:val="003F53DA"/>
    <w:rsid w:val="003F5F32"/>
    <w:rsid w:val="003F7240"/>
    <w:rsid w:val="00400F16"/>
    <w:rsid w:val="004011B6"/>
    <w:rsid w:val="00402B0A"/>
    <w:rsid w:val="00404F6D"/>
    <w:rsid w:val="004125F3"/>
    <w:rsid w:val="00414FC6"/>
    <w:rsid w:val="00415AE7"/>
    <w:rsid w:val="0041686D"/>
    <w:rsid w:val="00416B7C"/>
    <w:rsid w:val="00417B14"/>
    <w:rsid w:val="00417B93"/>
    <w:rsid w:val="00422B86"/>
    <w:rsid w:val="004247A4"/>
    <w:rsid w:val="00424F30"/>
    <w:rsid w:val="004250C1"/>
    <w:rsid w:val="00425F7E"/>
    <w:rsid w:val="004279C4"/>
    <w:rsid w:val="00430FAD"/>
    <w:rsid w:val="00432C59"/>
    <w:rsid w:val="00433FA5"/>
    <w:rsid w:val="004367C6"/>
    <w:rsid w:val="004369D8"/>
    <w:rsid w:val="00444E6C"/>
    <w:rsid w:val="004502AC"/>
    <w:rsid w:val="00453D34"/>
    <w:rsid w:val="00454764"/>
    <w:rsid w:val="00455663"/>
    <w:rsid w:val="00455B89"/>
    <w:rsid w:val="00455F08"/>
    <w:rsid w:val="004561F7"/>
    <w:rsid w:val="0045719B"/>
    <w:rsid w:val="00460BBB"/>
    <w:rsid w:val="00461979"/>
    <w:rsid w:val="00461AF8"/>
    <w:rsid w:val="00465A21"/>
    <w:rsid w:val="00465C81"/>
    <w:rsid w:val="00467B3A"/>
    <w:rsid w:val="00467B3E"/>
    <w:rsid w:val="00476701"/>
    <w:rsid w:val="0047759D"/>
    <w:rsid w:val="00480A10"/>
    <w:rsid w:val="0048190E"/>
    <w:rsid w:val="00482D58"/>
    <w:rsid w:val="004858A8"/>
    <w:rsid w:val="004878A0"/>
    <w:rsid w:val="00490C81"/>
    <w:rsid w:val="0049188F"/>
    <w:rsid w:val="004918AA"/>
    <w:rsid w:val="00496437"/>
    <w:rsid w:val="004976CB"/>
    <w:rsid w:val="004A2B8C"/>
    <w:rsid w:val="004A3982"/>
    <w:rsid w:val="004A3CA6"/>
    <w:rsid w:val="004A7E48"/>
    <w:rsid w:val="004B1124"/>
    <w:rsid w:val="004B14AD"/>
    <w:rsid w:val="004B16AC"/>
    <w:rsid w:val="004B1814"/>
    <w:rsid w:val="004B30A1"/>
    <w:rsid w:val="004B4E8F"/>
    <w:rsid w:val="004B5555"/>
    <w:rsid w:val="004C1DC5"/>
    <w:rsid w:val="004C233F"/>
    <w:rsid w:val="004C2823"/>
    <w:rsid w:val="004C48B6"/>
    <w:rsid w:val="004D12D6"/>
    <w:rsid w:val="004D17A1"/>
    <w:rsid w:val="004D1A76"/>
    <w:rsid w:val="004D2157"/>
    <w:rsid w:val="004D3FDB"/>
    <w:rsid w:val="004D420A"/>
    <w:rsid w:val="004D50FA"/>
    <w:rsid w:val="004D7FD2"/>
    <w:rsid w:val="004E0468"/>
    <w:rsid w:val="004E0A60"/>
    <w:rsid w:val="004E1D7E"/>
    <w:rsid w:val="004E3313"/>
    <w:rsid w:val="004E6419"/>
    <w:rsid w:val="004F1002"/>
    <w:rsid w:val="004F1054"/>
    <w:rsid w:val="004F32FF"/>
    <w:rsid w:val="004F339F"/>
    <w:rsid w:val="004F44BB"/>
    <w:rsid w:val="004F6EC8"/>
    <w:rsid w:val="00500ECB"/>
    <w:rsid w:val="00501087"/>
    <w:rsid w:val="00501A3F"/>
    <w:rsid w:val="00501A7A"/>
    <w:rsid w:val="00501D84"/>
    <w:rsid w:val="00501FA5"/>
    <w:rsid w:val="0050243A"/>
    <w:rsid w:val="00502997"/>
    <w:rsid w:val="0050309A"/>
    <w:rsid w:val="00504CCA"/>
    <w:rsid w:val="00505546"/>
    <w:rsid w:val="00510820"/>
    <w:rsid w:val="00514237"/>
    <w:rsid w:val="00514E07"/>
    <w:rsid w:val="00516674"/>
    <w:rsid w:val="0051765A"/>
    <w:rsid w:val="00523E0E"/>
    <w:rsid w:val="0052610D"/>
    <w:rsid w:val="005303D5"/>
    <w:rsid w:val="0053113B"/>
    <w:rsid w:val="00532284"/>
    <w:rsid w:val="005326F3"/>
    <w:rsid w:val="00533CCA"/>
    <w:rsid w:val="005345D3"/>
    <w:rsid w:val="00534D97"/>
    <w:rsid w:val="00537FAB"/>
    <w:rsid w:val="00541385"/>
    <w:rsid w:val="0054294F"/>
    <w:rsid w:val="0054309D"/>
    <w:rsid w:val="00543536"/>
    <w:rsid w:val="00544A06"/>
    <w:rsid w:val="00544F77"/>
    <w:rsid w:val="0054543C"/>
    <w:rsid w:val="005458DF"/>
    <w:rsid w:val="005517FF"/>
    <w:rsid w:val="0055324D"/>
    <w:rsid w:val="005538C3"/>
    <w:rsid w:val="005538FB"/>
    <w:rsid w:val="0055642E"/>
    <w:rsid w:val="00556C1F"/>
    <w:rsid w:val="00560115"/>
    <w:rsid w:val="00560829"/>
    <w:rsid w:val="00563065"/>
    <w:rsid w:val="00563FDF"/>
    <w:rsid w:val="005652D1"/>
    <w:rsid w:val="005654B1"/>
    <w:rsid w:val="005654C0"/>
    <w:rsid w:val="00565FA7"/>
    <w:rsid w:val="00566B3C"/>
    <w:rsid w:val="00566CDB"/>
    <w:rsid w:val="005676F3"/>
    <w:rsid w:val="00570002"/>
    <w:rsid w:val="00572D42"/>
    <w:rsid w:val="005734DB"/>
    <w:rsid w:val="005752F4"/>
    <w:rsid w:val="00575933"/>
    <w:rsid w:val="005774A5"/>
    <w:rsid w:val="00581B0E"/>
    <w:rsid w:val="00581EF4"/>
    <w:rsid w:val="00582290"/>
    <w:rsid w:val="005826CE"/>
    <w:rsid w:val="00583355"/>
    <w:rsid w:val="00585F09"/>
    <w:rsid w:val="005900D8"/>
    <w:rsid w:val="00590574"/>
    <w:rsid w:val="00591467"/>
    <w:rsid w:val="0059363C"/>
    <w:rsid w:val="00593756"/>
    <w:rsid w:val="00593B5D"/>
    <w:rsid w:val="00597841"/>
    <w:rsid w:val="005A2C0F"/>
    <w:rsid w:val="005A3173"/>
    <w:rsid w:val="005A3C90"/>
    <w:rsid w:val="005A3F72"/>
    <w:rsid w:val="005A4145"/>
    <w:rsid w:val="005A5386"/>
    <w:rsid w:val="005A7759"/>
    <w:rsid w:val="005A7F6F"/>
    <w:rsid w:val="005B03EC"/>
    <w:rsid w:val="005B1A39"/>
    <w:rsid w:val="005B1A46"/>
    <w:rsid w:val="005B2BCE"/>
    <w:rsid w:val="005B3A7E"/>
    <w:rsid w:val="005B491B"/>
    <w:rsid w:val="005B6923"/>
    <w:rsid w:val="005C2C0C"/>
    <w:rsid w:val="005C2D93"/>
    <w:rsid w:val="005C2F41"/>
    <w:rsid w:val="005C35C5"/>
    <w:rsid w:val="005C36A6"/>
    <w:rsid w:val="005C3CB4"/>
    <w:rsid w:val="005C4479"/>
    <w:rsid w:val="005C6292"/>
    <w:rsid w:val="005C787A"/>
    <w:rsid w:val="005D2D7F"/>
    <w:rsid w:val="005D6AB9"/>
    <w:rsid w:val="005E3AA9"/>
    <w:rsid w:val="005E5588"/>
    <w:rsid w:val="005F03B4"/>
    <w:rsid w:val="005F0657"/>
    <w:rsid w:val="005F22F1"/>
    <w:rsid w:val="005F2DD3"/>
    <w:rsid w:val="005F3109"/>
    <w:rsid w:val="005F3531"/>
    <w:rsid w:val="005F4464"/>
    <w:rsid w:val="005F4870"/>
    <w:rsid w:val="005F4E21"/>
    <w:rsid w:val="005F5C32"/>
    <w:rsid w:val="005F6117"/>
    <w:rsid w:val="005F6AD4"/>
    <w:rsid w:val="005F6DD8"/>
    <w:rsid w:val="005F7EC1"/>
    <w:rsid w:val="00600B52"/>
    <w:rsid w:val="0060113F"/>
    <w:rsid w:val="0060287B"/>
    <w:rsid w:val="00603974"/>
    <w:rsid w:val="006047BF"/>
    <w:rsid w:val="00604B51"/>
    <w:rsid w:val="006054A6"/>
    <w:rsid w:val="006054D1"/>
    <w:rsid w:val="006060CE"/>
    <w:rsid w:val="006071B4"/>
    <w:rsid w:val="00611AEF"/>
    <w:rsid w:val="0061420E"/>
    <w:rsid w:val="006144E3"/>
    <w:rsid w:val="00614FA8"/>
    <w:rsid w:val="00615CFA"/>
    <w:rsid w:val="00620C30"/>
    <w:rsid w:val="00622513"/>
    <w:rsid w:val="00622B39"/>
    <w:rsid w:val="00623025"/>
    <w:rsid w:val="00624B5C"/>
    <w:rsid w:val="006265E8"/>
    <w:rsid w:val="006300F3"/>
    <w:rsid w:val="00630C4E"/>
    <w:rsid w:val="0063593C"/>
    <w:rsid w:val="006363B3"/>
    <w:rsid w:val="00636572"/>
    <w:rsid w:val="00636BF1"/>
    <w:rsid w:val="00642E28"/>
    <w:rsid w:val="00643FB7"/>
    <w:rsid w:val="006453DF"/>
    <w:rsid w:val="0064640F"/>
    <w:rsid w:val="00647640"/>
    <w:rsid w:val="0065107A"/>
    <w:rsid w:val="00651155"/>
    <w:rsid w:val="006516C6"/>
    <w:rsid w:val="0065267F"/>
    <w:rsid w:val="00652F76"/>
    <w:rsid w:val="0065406D"/>
    <w:rsid w:val="00654E9D"/>
    <w:rsid w:val="0065516F"/>
    <w:rsid w:val="006555B9"/>
    <w:rsid w:val="00655DE8"/>
    <w:rsid w:val="006600D5"/>
    <w:rsid w:val="00662405"/>
    <w:rsid w:val="00665035"/>
    <w:rsid w:val="006656C8"/>
    <w:rsid w:val="0066650C"/>
    <w:rsid w:val="00666A50"/>
    <w:rsid w:val="00670795"/>
    <w:rsid w:val="00671A83"/>
    <w:rsid w:val="006724DB"/>
    <w:rsid w:val="006748E7"/>
    <w:rsid w:val="00674ADC"/>
    <w:rsid w:val="00675E6D"/>
    <w:rsid w:val="0068070E"/>
    <w:rsid w:val="006820C0"/>
    <w:rsid w:val="00682F30"/>
    <w:rsid w:val="00684455"/>
    <w:rsid w:val="00693C87"/>
    <w:rsid w:val="00693F96"/>
    <w:rsid w:val="00694090"/>
    <w:rsid w:val="006940D8"/>
    <w:rsid w:val="006948D0"/>
    <w:rsid w:val="0069621B"/>
    <w:rsid w:val="006964AE"/>
    <w:rsid w:val="00696E4C"/>
    <w:rsid w:val="00697474"/>
    <w:rsid w:val="006A0058"/>
    <w:rsid w:val="006A3233"/>
    <w:rsid w:val="006A583B"/>
    <w:rsid w:val="006A6ECD"/>
    <w:rsid w:val="006A7CF6"/>
    <w:rsid w:val="006B0B69"/>
    <w:rsid w:val="006B1C4D"/>
    <w:rsid w:val="006B2400"/>
    <w:rsid w:val="006B5302"/>
    <w:rsid w:val="006B551E"/>
    <w:rsid w:val="006B7334"/>
    <w:rsid w:val="006C11D0"/>
    <w:rsid w:val="006C1327"/>
    <w:rsid w:val="006C1561"/>
    <w:rsid w:val="006C16DC"/>
    <w:rsid w:val="006C26C7"/>
    <w:rsid w:val="006C27D3"/>
    <w:rsid w:val="006C36EE"/>
    <w:rsid w:val="006C4FF7"/>
    <w:rsid w:val="006C5476"/>
    <w:rsid w:val="006C5DA4"/>
    <w:rsid w:val="006D2129"/>
    <w:rsid w:val="006D2B90"/>
    <w:rsid w:val="006D3A61"/>
    <w:rsid w:val="006D5387"/>
    <w:rsid w:val="006D6035"/>
    <w:rsid w:val="006D7CE0"/>
    <w:rsid w:val="006D7CF9"/>
    <w:rsid w:val="006E1009"/>
    <w:rsid w:val="006E3C1F"/>
    <w:rsid w:val="006E4B4C"/>
    <w:rsid w:val="006E58C2"/>
    <w:rsid w:val="006E660A"/>
    <w:rsid w:val="006F0F6B"/>
    <w:rsid w:val="006F11AF"/>
    <w:rsid w:val="006F18C2"/>
    <w:rsid w:val="006F2229"/>
    <w:rsid w:val="006F2299"/>
    <w:rsid w:val="006F32FB"/>
    <w:rsid w:val="006F5A7B"/>
    <w:rsid w:val="006F5ED0"/>
    <w:rsid w:val="006F6192"/>
    <w:rsid w:val="006F6778"/>
    <w:rsid w:val="006F6C7B"/>
    <w:rsid w:val="006F7317"/>
    <w:rsid w:val="006F74CC"/>
    <w:rsid w:val="00700959"/>
    <w:rsid w:val="0070202B"/>
    <w:rsid w:val="00704E36"/>
    <w:rsid w:val="00705EA9"/>
    <w:rsid w:val="00706316"/>
    <w:rsid w:val="007079F5"/>
    <w:rsid w:val="00710E22"/>
    <w:rsid w:val="007114C7"/>
    <w:rsid w:val="00712704"/>
    <w:rsid w:val="00716C6F"/>
    <w:rsid w:val="00721167"/>
    <w:rsid w:val="007226DC"/>
    <w:rsid w:val="00722C40"/>
    <w:rsid w:val="00722D4F"/>
    <w:rsid w:val="00723EEF"/>
    <w:rsid w:val="00724260"/>
    <w:rsid w:val="007254E5"/>
    <w:rsid w:val="00725ACC"/>
    <w:rsid w:val="007266BE"/>
    <w:rsid w:val="0073043B"/>
    <w:rsid w:val="007329A8"/>
    <w:rsid w:val="00732ABE"/>
    <w:rsid w:val="007335C7"/>
    <w:rsid w:val="00734A10"/>
    <w:rsid w:val="007356D7"/>
    <w:rsid w:val="0074134D"/>
    <w:rsid w:val="0074321A"/>
    <w:rsid w:val="00743830"/>
    <w:rsid w:val="007460F4"/>
    <w:rsid w:val="00747F9F"/>
    <w:rsid w:val="00750482"/>
    <w:rsid w:val="00752DE6"/>
    <w:rsid w:val="00754BE5"/>
    <w:rsid w:val="007550E8"/>
    <w:rsid w:val="0075544A"/>
    <w:rsid w:val="00755D78"/>
    <w:rsid w:val="007568CB"/>
    <w:rsid w:val="00756F0C"/>
    <w:rsid w:val="00757509"/>
    <w:rsid w:val="00757EFE"/>
    <w:rsid w:val="007634C1"/>
    <w:rsid w:val="00766736"/>
    <w:rsid w:val="00766DF2"/>
    <w:rsid w:val="00767E6E"/>
    <w:rsid w:val="007735F9"/>
    <w:rsid w:val="00774883"/>
    <w:rsid w:val="007774D3"/>
    <w:rsid w:val="00777C40"/>
    <w:rsid w:val="00780170"/>
    <w:rsid w:val="00781927"/>
    <w:rsid w:val="00785C60"/>
    <w:rsid w:val="0078607F"/>
    <w:rsid w:val="007863AF"/>
    <w:rsid w:val="007910EF"/>
    <w:rsid w:val="00791C8C"/>
    <w:rsid w:val="007921F5"/>
    <w:rsid w:val="00793511"/>
    <w:rsid w:val="00796176"/>
    <w:rsid w:val="00796325"/>
    <w:rsid w:val="00796BEA"/>
    <w:rsid w:val="007A13EB"/>
    <w:rsid w:val="007A1B28"/>
    <w:rsid w:val="007A1CEA"/>
    <w:rsid w:val="007A4003"/>
    <w:rsid w:val="007A6BFA"/>
    <w:rsid w:val="007A7ADE"/>
    <w:rsid w:val="007A7D4D"/>
    <w:rsid w:val="007B0E0C"/>
    <w:rsid w:val="007B0F3E"/>
    <w:rsid w:val="007B1812"/>
    <w:rsid w:val="007B3527"/>
    <w:rsid w:val="007B35C4"/>
    <w:rsid w:val="007B46C5"/>
    <w:rsid w:val="007B538C"/>
    <w:rsid w:val="007B7039"/>
    <w:rsid w:val="007B71DD"/>
    <w:rsid w:val="007C3FA7"/>
    <w:rsid w:val="007C4708"/>
    <w:rsid w:val="007C4752"/>
    <w:rsid w:val="007C4998"/>
    <w:rsid w:val="007C5267"/>
    <w:rsid w:val="007C527C"/>
    <w:rsid w:val="007D05D7"/>
    <w:rsid w:val="007D36A6"/>
    <w:rsid w:val="007D3A57"/>
    <w:rsid w:val="007D5ADD"/>
    <w:rsid w:val="007D713A"/>
    <w:rsid w:val="007D747C"/>
    <w:rsid w:val="007E0D69"/>
    <w:rsid w:val="007E4CBD"/>
    <w:rsid w:val="007E608F"/>
    <w:rsid w:val="007E62C0"/>
    <w:rsid w:val="007F2AAA"/>
    <w:rsid w:val="007F2F6A"/>
    <w:rsid w:val="007F3A9A"/>
    <w:rsid w:val="007F70FD"/>
    <w:rsid w:val="007F7E66"/>
    <w:rsid w:val="00800F88"/>
    <w:rsid w:val="00800F9A"/>
    <w:rsid w:val="008016C6"/>
    <w:rsid w:val="00802B7F"/>
    <w:rsid w:val="00804251"/>
    <w:rsid w:val="0080782A"/>
    <w:rsid w:val="00811787"/>
    <w:rsid w:val="00811901"/>
    <w:rsid w:val="0081495C"/>
    <w:rsid w:val="0081518E"/>
    <w:rsid w:val="0081795B"/>
    <w:rsid w:val="00817BE4"/>
    <w:rsid w:val="00820171"/>
    <w:rsid w:val="00820312"/>
    <w:rsid w:val="0082334C"/>
    <w:rsid w:val="008234DE"/>
    <w:rsid w:val="00823D01"/>
    <w:rsid w:val="00824767"/>
    <w:rsid w:val="0082492C"/>
    <w:rsid w:val="00825570"/>
    <w:rsid w:val="00826926"/>
    <w:rsid w:val="00827E22"/>
    <w:rsid w:val="00830286"/>
    <w:rsid w:val="00830658"/>
    <w:rsid w:val="0083176F"/>
    <w:rsid w:val="00832256"/>
    <w:rsid w:val="00834442"/>
    <w:rsid w:val="00835053"/>
    <w:rsid w:val="008353F9"/>
    <w:rsid w:val="00835724"/>
    <w:rsid w:val="008374A6"/>
    <w:rsid w:val="008409A2"/>
    <w:rsid w:val="0084279B"/>
    <w:rsid w:val="008445BA"/>
    <w:rsid w:val="00844A4C"/>
    <w:rsid w:val="00846622"/>
    <w:rsid w:val="00846B33"/>
    <w:rsid w:val="00846BD5"/>
    <w:rsid w:val="00847388"/>
    <w:rsid w:val="008522EF"/>
    <w:rsid w:val="00855056"/>
    <w:rsid w:val="008559CA"/>
    <w:rsid w:val="00857218"/>
    <w:rsid w:val="008574F0"/>
    <w:rsid w:val="00857501"/>
    <w:rsid w:val="00860DA5"/>
    <w:rsid w:val="00860F24"/>
    <w:rsid w:val="0086252E"/>
    <w:rsid w:val="00867D16"/>
    <w:rsid w:val="00870F3A"/>
    <w:rsid w:val="00870FAF"/>
    <w:rsid w:val="00871315"/>
    <w:rsid w:val="00871F93"/>
    <w:rsid w:val="008752DF"/>
    <w:rsid w:val="008764D9"/>
    <w:rsid w:val="008771BD"/>
    <w:rsid w:val="0088086F"/>
    <w:rsid w:val="00880B5E"/>
    <w:rsid w:val="00882942"/>
    <w:rsid w:val="00884154"/>
    <w:rsid w:val="008843A5"/>
    <w:rsid w:val="00886D89"/>
    <w:rsid w:val="0089104D"/>
    <w:rsid w:val="00891E12"/>
    <w:rsid w:val="0089230F"/>
    <w:rsid w:val="008925FD"/>
    <w:rsid w:val="00892F8E"/>
    <w:rsid w:val="008952B9"/>
    <w:rsid w:val="008A032A"/>
    <w:rsid w:val="008A17BF"/>
    <w:rsid w:val="008A2038"/>
    <w:rsid w:val="008A469D"/>
    <w:rsid w:val="008A66FA"/>
    <w:rsid w:val="008A6D3E"/>
    <w:rsid w:val="008B1682"/>
    <w:rsid w:val="008B462B"/>
    <w:rsid w:val="008B513B"/>
    <w:rsid w:val="008B6B3E"/>
    <w:rsid w:val="008C11C5"/>
    <w:rsid w:val="008C1E15"/>
    <w:rsid w:val="008C48DE"/>
    <w:rsid w:val="008C716B"/>
    <w:rsid w:val="008C7699"/>
    <w:rsid w:val="008D3576"/>
    <w:rsid w:val="008D5AA7"/>
    <w:rsid w:val="008D7881"/>
    <w:rsid w:val="008D7DD7"/>
    <w:rsid w:val="008E0225"/>
    <w:rsid w:val="008E0636"/>
    <w:rsid w:val="008E29A3"/>
    <w:rsid w:val="008E5963"/>
    <w:rsid w:val="008E6A9D"/>
    <w:rsid w:val="008F1E11"/>
    <w:rsid w:val="008F2485"/>
    <w:rsid w:val="008F6365"/>
    <w:rsid w:val="008F701C"/>
    <w:rsid w:val="00900588"/>
    <w:rsid w:val="009015EF"/>
    <w:rsid w:val="009021AC"/>
    <w:rsid w:val="00902AAD"/>
    <w:rsid w:val="00905116"/>
    <w:rsid w:val="00905F03"/>
    <w:rsid w:val="00906BFD"/>
    <w:rsid w:val="00912128"/>
    <w:rsid w:val="00912497"/>
    <w:rsid w:val="00912926"/>
    <w:rsid w:val="00922FF3"/>
    <w:rsid w:val="00923696"/>
    <w:rsid w:val="00926868"/>
    <w:rsid w:val="00926CB8"/>
    <w:rsid w:val="0093035B"/>
    <w:rsid w:val="00931969"/>
    <w:rsid w:val="00931971"/>
    <w:rsid w:val="00933CD8"/>
    <w:rsid w:val="0093498B"/>
    <w:rsid w:val="00934FA8"/>
    <w:rsid w:val="00936EBC"/>
    <w:rsid w:val="009414CB"/>
    <w:rsid w:val="00943406"/>
    <w:rsid w:val="00943C94"/>
    <w:rsid w:val="0094496F"/>
    <w:rsid w:val="00947882"/>
    <w:rsid w:val="009504AA"/>
    <w:rsid w:val="00952616"/>
    <w:rsid w:val="0095368A"/>
    <w:rsid w:val="00954779"/>
    <w:rsid w:val="009553E4"/>
    <w:rsid w:val="009557A2"/>
    <w:rsid w:val="0095632A"/>
    <w:rsid w:val="009576AE"/>
    <w:rsid w:val="0096067A"/>
    <w:rsid w:val="00964019"/>
    <w:rsid w:val="00965678"/>
    <w:rsid w:val="00966292"/>
    <w:rsid w:val="009668DE"/>
    <w:rsid w:val="00967CCD"/>
    <w:rsid w:val="00972AA3"/>
    <w:rsid w:val="009730F7"/>
    <w:rsid w:val="00973C34"/>
    <w:rsid w:val="00974DA1"/>
    <w:rsid w:val="0097529B"/>
    <w:rsid w:val="00976104"/>
    <w:rsid w:val="00980060"/>
    <w:rsid w:val="00980123"/>
    <w:rsid w:val="00982919"/>
    <w:rsid w:val="0098418A"/>
    <w:rsid w:val="00985996"/>
    <w:rsid w:val="0098785F"/>
    <w:rsid w:val="0099067E"/>
    <w:rsid w:val="00992065"/>
    <w:rsid w:val="00996114"/>
    <w:rsid w:val="00996DCE"/>
    <w:rsid w:val="009A06ED"/>
    <w:rsid w:val="009A1494"/>
    <w:rsid w:val="009A234A"/>
    <w:rsid w:val="009A239A"/>
    <w:rsid w:val="009A7298"/>
    <w:rsid w:val="009A7413"/>
    <w:rsid w:val="009A77E0"/>
    <w:rsid w:val="009B0786"/>
    <w:rsid w:val="009B2530"/>
    <w:rsid w:val="009B2F4B"/>
    <w:rsid w:val="009B39C9"/>
    <w:rsid w:val="009B442E"/>
    <w:rsid w:val="009B5D47"/>
    <w:rsid w:val="009B6288"/>
    <w:rsid w:val="009B6F94"/>
    <w:rsid w:val="009B70AD"/>
    <w:rsid w:val="009C0A8A"/>
    <w:rsid w:val="009C106D"/>
    <w:rsid w:val="009C1200"/>
    <w:rsid w:val="009C3570"/>
    <w:rsid w:val="009C38A3"/>
    <w:rsid w:val="009C42B0"/>
    <w:rsid w:val="009D107E"/>
    <w:rsid w:val="009D49D2"/>
    <w:rsid w:val="009D593C"/>
    <w:rsid w:val="009D6565"/>
    <w:rsid w:val="009D68BC"/>
    <w:rsid w:val="009D7181"/>
    <w:rsid w:val="009E5965"/>
    <w:rsid w:val="009F0E40"/>
    <w:rsid w:val="009F2637"/>
    <w:rsid w:val="009F4B1A"/>
    <w:rsid w:val="009F6855"/>
    <w:rsid w:val="009F6DB0"/>
    <w:rsid w:val="009F7BB3"/>
    <w:rsid w:val="00A00421"/>
    <w:rsid w:val="00A01533"/>
    <w:rsid w:val="00A0609D"/>
    <w:rsid w:val="00A068D9"/>
    <w:rsid w:val="00A07360"/>
    <w:rsid w:val="00A0746E"/>
    <w:rsid w:val="00A127C8"/>
    <w:rsid w:val="00A144F2"/>
    <w:rsid w:val="00A14EED"/>
    <w:rsid w:val="00A16447"/>
    <w:rsid w:val="00A16ABF"/>
    <w:rsid w:val="00A16E7D"/>
    <w:rsid w:val="00A2096E"/>
    <w:rsid w:val="00A20E7D"/>
    <w:rsid w:val="00A220B5"/>
    <w:rsid w:val="00A221A4"/>
    <w:rsid w:val="00A2510F"/>
    <w:rsid w:val="00A26347"/>
    <w:rsid w:val="00A27AE9"/>
    <w:rsid w:val="00A318D4"/>
    <w:rsid w:val="00A31FF4"/>
    <w:rsid w:val="00A32889"/>
    <w:rsid w:val="00A32F79"/>
    <w:rsid w:val="00A32FF6"/>
    <w:rsid w:val="00A35A9A"/>
    <w:rsid w:val="00A36E75"/>
    <w:rsid w:val="00A41EC8"/>
    <w:rsid w:val="00A436BA"/>
    <w:rsid w:val="00A43871"/>
    <w:rsid w:val="00A44F51"/>
    <w:rsid w:val="00A4567C"/>
    <w:rsid w:val="00A45C54"/>
    <w:rsid w:val="00A45DB5"/>
    <w:rsid w:val="00A47D33"/>
    <w:rsid w:val="00A53192"/>
    <w:rsid w:val="00A545C1"/>
    <w:rsid w:val="00A5626E"/>
    <w:rsid w:val="00A6107B"/>
    <w:rsid w:val="00A6221B"/>
    <w:rsid w:val="00A62BBF"/>
    <w:rsid w:val="00A646FD"/>
    <w:rsid w:val="00A655A8"/>
    <w:rsid w:val="00A6590A"/>
    <w:rsid w:val="00A67A79"/>
    <w:rsid w:val="00A70047"/>
    <w:rsid w:val="00A70AE9"/>
    <w:rsid w:val="00A70F0F"/>
    <w:rsid w:val="00A71D71"/>
    <w:rsid w:val="00A72397"/>
    <w:rsid w:val="00A72C41"/>
    <w:rsid w:val="00A74862"/>
    <w:rsid w:val="00A748E6"/>
    <w:rsid w:val="00A801A4"/>
    <w:rsid w:val="00A81065"/>
    <w:rsid w:val="00A820E6"/>
    <w:rsid w:val="00A8264A"/>
    <w:rsid w:val="00A84FDB"/>
    <w:rsid w:val="00A86FF5"/>
    <w:rsid w:val="00A9001C"/>
    <w:rsid w:val="00A913A2"/>
    <w:rsid w:val="00A91803"/>
    <w:rsid w:val="00A921F7"/>
    <w:rsid w:val="00A9286F"/>
    <w:rsid w:val="00A92887"/>
    <w:rsid w:val="00A94737"/>
    <w:rsid w:val="00A9595C"/>
    <w:rsid w:val="00A96AF9"/>
    <w:rsid w:val="00A97506"/>
    <w:rsid w:val="00AA0958"/>
    <w:rsid w:val="00AA3B44"/>
    <w:rsid w:val="00AA3E2B"/>
    <w:rsid w:val="00AA43BA"/>
    <w:rsid w:val="00AA4FC7"/>
    <w:rsid w:val="00AB15A9"/>
    <w:rsid w:val="00AB2D3B"/>
    <w:rsid w:val="00AB5AB5"/>
    <w:rsid w:val="00AB6108"/>
    <w:rsid w:val="00AC0918"/>
    <w:rsid w:val="00AC39D4"/>
    <w:rsid w:val="00AD3285"/>
    <w:rsid w:val="00AD6358"/>
    <w:rsid w:val="00AD6D01"/>
    <w:rsid w:val="00AD7E34"/>
    <w:rsid w:val="00AE0770"/>
    <w:rsid w:val="00AE2C64"/>
    <w:rsid w:val="00AE341F"/>
    <w:rsid w:val="00AE4193"/>
    <w:rsid w:val="00AE4628"/>
    <w:rsid w:val="00AE5358"/>
    <w:rsid w:val="00AE6FB4"/>
    <w:rsid w:val="00AE7025"/>
    <w:rsid w:val="00AE7552"/>
    <w:rsid w:val="00AE7F45"/>
    <w:rsid w:val="00AF0247"/>
    <w:rsid w:val="00AF0B43"/>
    <w:rsid w:val="00AF2311"/>
    <w:rsid w:val="00AF237A"/>
    <w:rsid w:val="00AF2A9C"/>
    <w:rsid w:val="00AF365B"/>
    <w:rsid w:val="00AF37BE"/>
    <w:rsid w:val="00AF3F28"/>
    <w:rsid w:val="00AF4AA9"/>
    <w:rsid w:val="00AF4EC6"/>
    <w:rsid w:val="00AF517D"/>
    <w:rsid w:val="00AF5ADE"/>
    <w:rsid w:val="00AF61DE"/>
    <w:rsid w:val="00AF66EB"/>
    <w:rsid w:val="00AF6D1F"/>
    <w:rsid w:val="00AF78B0"/>
    <w:rsid w:val="00B005B3"/>
    <w:rsid w:val="00B02C25"/>
    <w:rsid w:val="00B04095"/>
    <w:rsid w:val="00B04464"/>
    <w:rsid w:val="00B05BDF"/>
    <w:rsid w:val="00B063FD"/>
    <w:rsid w:val="00B075EF"/>
    <w:rsid w:val="00B107BB"/>
    <w:rsid w:val="00B11A21"/>
    <w:rsid w:val="00B14ADD"/>
    <w:rsid w:val="00B156FE"/>
    <w:rsid w:val="00B15B3C"/>
    <w:rsid w:val="00B219A8"/>
    <w:rsid w:val="00B2386D"/>
    <w:rsid w:val="00B23E58"/>
    <w:rsid w:val="00B30BBB"/>
    <w:rsid w:val="00B312A0"/>
    <w:rsid w:val="00B33CD7"/>
    <w:rsid w:val="00B34F3D"/>
    <w:rsid w:val="00B36271"/>
    <w:rsid w:val="00B36697"/>
    <w:rsid w:val="00B40176"/>
    <w:rsid w:val="00B41D8C"/>
    <w:rsid w:val="00B42826"/>
    <w:rsid w:val="00B4431E"/>
    <w:rsid w:val="00B445FA"/>
    <w:rsid w:val="00B452EE"/>
    <w:rsid w:val="00B505F2"/>
    <w:rsid w:val="00B51DA1"/>
    <w:rsid w:val="00B550B9"/>
    <w:rsid w:val="00B55B1E"/>
    <w:rsid w:val="00B55D11"/>
    <w:rsid w:val="00B56FEA"/>
    <w:rsid w:val="00B5744C"/>
    <w:rsid w:val="00B67212"/>
    <w:rsid w:val="00B70876"/>
    <w:rsid w:val="00B726F9"/>
    <w:rsid w:val="00B735FB"/>
    <w:rsid w:val="00B7422D"/>
    <w:rsid w:val="00B7535C"/>
    <w:rsid w:val="00B754D2"/>
    <w:rsid w:val="00B7743D"/>
    <w:rsid w:val="00B92BF8"/>
    <w:rsid w:val="00B9367B"/>
    <w:rsid w:val="00B94573"/>
    <w:rsid w:val="00BA2C17"/>
    <w:rsid w:val="00BA4F2B"/>
    <w:rsid w:val="00BA4F88"/>
    <w:rsid w:val="00BA514B"/>
    <w:rsid w:val="00BA69AA"/>
    <w:rsid w:val="00BA70FE"/>
    <w:rsid w:val="00BB0D63"/>
    <w:rsid w:val="00BB101D"/>
    <w:rsid w:val="00BB3853"/>
    <w:rsid w:val="00BB3FDB"/>
    <w:rsid w:val="00BB65A9"/>
    <w:rsid w:val="00BC4106"/>
    <w:rsid w:val="00BD11EA"/>
    <w:rsid w:val="00BD27E2"/>
    <w:rsid w:val="00BD2FFC"/>
    <w:rsid w:val="00BD398A"/>
    <w:rsid w:val="00BD47DE"/>
    <w:rsid w:val="00BD47FB"/>
    <w:rsid w:val="00BD5D79"/>
    <w:rsid w:val="00BD6D1F"/>
    <w:rsid w:val="00BD7B6F"/>
    <w:rsid w:val="00BE0B06"/>
    <w:rsid w:val="00BE474D"/>
    <w:rsid w:val="00BE4E17"/>
    <w:rsid w:val="00BE540B"/>
    <w:rsid w:val="00BE58BC"/>
    <w:rsid w:val="00BE5A24"/>
    <w:rsid w:val="00BE5D0A"/>
    <w:rsid w:val="00BE678B"/>
    <w:rsid w:val="00BE69FB"/>
    <w:rsid w:val="00BF0DE5"/>
    <w:rsid w:val="00BF104A"/>
    <w:rsid w:val="00BF1810"/>
    <w:rsid w:val="00BF360F"/>
    <w:rsid w:val="00BF5D6F"/>
    <w:rsid w:val="00BF6C54"/>
    <w:rsid w:val="00C03836"/>
    <w:rsid w:val="00C03F52"/>
    <w:rsid w:val="00C0586C"/>
    <w:rsid w:val="00C06E30"/>
    <w:rsid w:val="00C07408"/>
    <w:rsid w:val="00C07561"/>
    <w:rsid w:val="00C102DB"/>
    <w:rsid w:val="00C12404"/>
    <w:rsid w:val="00C147A2"/>
    <w:rsid w:val="00C1510C"/>
    <w:rsid w:val="00C160EF"/>
    <w:rsid w:val="00C161D2"/>
    <w:rsid w:val="00C218EF"/>
    <w:rsid w:val="00C228A4"/>
    <w:rsid w:val="00C228DC"/>
    <w:rsid w:val="00C22A7E"/>
    <w:rsid w:val="00C23352"/>
    <w:rsid w:val="00C2367D"/>
    <w:rsid w:val="00C24F1D"/>
    <w:rsid w:val="00C25961"/>
    <w:rsid w:val="00C25A5F"/>
    <w:rsid w:val="00C25C3A"/>
    <w:rsid w:val="00C3434E"/>
    <w:rsid w:val="00C36F25"/>
    <w:rsid w:val="00C371C7"/>
    <w:rsid w:val="00C37584"/>
    <w:rsid w:val="00C378DE"/>
    <w:rsid w:val="00C37F80"/>
    <w:rsid w:val="00C40321"/>
    <w:rsid w:val="00C459FA"/>
    <w:rsid w:val="00C46464"/>
    <w:rsid w:val="00C51617"/>
    <w:rsid w:val="00C53B01"/>
    <w:rsid w:val="00C543A3"/>
    <w:rsid w:val="00C54F99"/>
    <w:rsid w:val="00C57E65"/>
    <w:rsid w:val="00C622AB"/>
    <w:rsid w:val="00C71820"/>
    <w:rsid w:val="00C71C3D"/>
    <w:rsid w:val="00C73C70"/>
    <w:rsid w:val="00C7456D"/>
    <w:rsid w:val="00C749E4"/>
    <w:rsid w:val="00C75BAF"/>
    <w:rsid w:val="00C76CFB"/>
    <w:rsid w:val="00C77B6D"/>
    <w:rsid w:val="00C81675"/>
    <w:rsid w:val="00C816A0"/>
    <w:rsid w:val="00C82CBE"/>
    <w:rsid w:val="00C856DC"/>
    <w:rsid w:val="00C85FCC"/>
    <w:rsid w:val="00C93160"/>
    <w:rsid w:val="00C979FB"/>
    <w:rsid w:val="00CA022C"/>
    <w:rsid w:val="00CA0CD9"/>
    <w:rsid w:val="00CA1E14"/>
    <w:rsid w:val="00CA342F"/>
    <w:rsid w:val="00CA676E"/>
    <w:rsid w:val="00CA7ECB"/>
    <w:rsid w:val="00CB2EC4"/>
    <w:rsid w:val="00CB2FAE"/>
    <w:rsid w:val="00CB73B1"/>
    <w:rsid w:val="00CC0E4A"/>
    <w:rsid w:val="00CC2746"/>
    <w:rsid w:val="00CC315B"/>
    <w:rsid w:val="00CC63F2"/>
    <w:rsid w:val="00CC6775"/>
    <w:rsid w:val="00CC6D0C"/>
    <w:rsid w:val="00CD109C"/>
    <w:rsid w:val="00CD5F86"/>
    <w:rsid w:val="00CD6641"/>
    <w:rsid w:val="00CD7BC2"/>
    <w:rsid w:val="00CE0034"/>
    <w:rsid w:val="00CE1E47"/>
    <w:rsid w:val="00CE38C4"/>
    <w:rsid w:val="00CE46ED"/>
    <w:rsid w:val="00CE612F"/>
    <w:rsid w:val="00CE77B1"/>
    <w:rsid w:val="00CF1ED6"/>
    <w:rsid w:val="00CF2DC0"/>
    <w:rsid w:val="00CF30B2"/>
    <w:rsid w:val="00CF3FB5"/>
    <w:rsid w:val="00CF4F80"/>
    <w:rsid w:val="00CF68A0"/>
    <w:rsid w:val="00D008B1"/>
    <w:rsid w:val="00D009E1"/>
    <w:rsid w:val="00D01BA1"/>
    <w:rsid w:val="00D02186"/>
    <w:rsid w:val="00D0356D"/>
    <w:rsid w:val="00D06287"/>
    <w:rsid w:val="00D106A3"/>
    <w:rsid w:val="00D11E50"/>
    <w:rsid w:val="00D12139"/>
    <w:rsid w:val="00D200DA"/>
    <w:rsid w:val="00D2027B"/>
    <w:rsid w:val="00D2044D"/>
    <w:rsid w:val="00D2172A"/>
    <w:rsid w:val="00D22FB1"/>
    <w:rsid w:val="00D2317E"/>
    <w:rsid w:val="00D2355B"/>
    <w:rsid w:val="00D23CFA"/>
    <w:rsid w:val="00D245BF"/>
    <w:rsid w:val="00D24F3E"/>
    <w:rsid w:val="00D25780"/>
    <w:rsid w:val="00D25B9D"/>
    <w:rsid w:val="00D2601F"/>
    <w:rsid w:val="00D27CFC"/>
    <w:rsid w:val="00D31E7E"/>
    <w:rsid w:val="00D31F44"/>
    <w:rsid w:val="00D33B29"/>
    <w:rsid w:val="00D33C86"/>
    <w:rsid w:val="00D408E3"/>
    <w:rsid w:val="00D40D0D"/>
    <w:rsid w:val="00D42B04"/>
    <w:rsid w:val="00D43BA5"/>
    <w:rsid w:val="00D44AE7"/>
    <w:rsid w:val="00D465DC"/>
    <w:rsid w:val="00D4667D"/>
    <w:rsid w:val="00D50F7A"/>
    <w:rsid w:val="00D51440"/>
    <w:rsid w:val="00D532F3"/>
    <w:rsid w:val="00D53434"/>
    <w:rsid w:val="00D53BA1"/>
    <w:rsid w:val="00D55ADB"/>
    <w:rsid w:val="00D6046C"/>
    <w:rsid w:val="00D62BDF"/>
    <w:rsid w:val="00D67889"/>
    <w:rsid w:val="00D67F9A"/>
    <w:rsid w:val="00D70856"/>
    <w:rsid w:val="00D70927"/>
    <w:rsid w:val="00D70B6D"/>
    <w:rsid w:val="00D70BD5"/>
    <w:rsid w:val="00D70D0D"/>
    <w:rsid w:val="00D71A61"/>
    <w:rsid w:val="00D71BBC"/>
    <w:rsid w:val="00D7387D"/>
    <w:rsid w:val="00D754B5"/>
    <w:rsid w:val="00D76AA5"/>
    <w:rsid w:val="00D76C01"/>
    <w:rsid w:val="00D83B5A"/>
    <w:rsid w:val="00D85EAC"/>
    <w:rsid w:val="00D867D9"/>
    <w:rsid w:val="00D90BEF"/>
    <w:rsid w:val="00D92670"/>
    <w:rsid w:val="00D946C7"/>
    <w:rsid w:val="00D97005"/>
    <w:rsid w:val="00DA0285"/>
    <w:rsid w:val="00DA0334"/>
    <w:rsid w:val="00DA16D0"/>
    <w:rsid w:val="00DA19E4"/>
    <w:rsid w:val="00DA495A"/>
    <w:rsid w:val="00DA52C2"/>
    <w:rsid w:val="00DB391B"/>
    <w:rsid w:val="00DB49E9"/>
    <w:rsid w:val="00DB513F"/>
    <w:rsid w:val="00DB5B23"/>
    <w:rsid w:val="00DB70EF"/>
    <w:rsid w:val="00DC0513"/>
    <w:rsid w:val="00DC0996"/>
    <w:rsid w:val="00DC11E8"/>
    <w:rsid w:val="00DC32CB"/>
    <w:rsid w:val="00DC343C"/>
    <w:rsid w:val="00DC4608"/>
    <w:rsid w:val="00DC52D3"/>
    <w:rsid w:val="00DC5F77"/>
    <w:rsid w:val="00DC799B"/>
    <w:rsid w:val="00DC7B53"/>
    <w:rsid w:val="00DC7D11"/>
    <w:rsid w:val="00DD0CD5"/>
    <w:rsid w:val="00DD12A9"/>
    <w:rsid w:val="00DD250F"/>
    <w:rsid w:val="00DD3AA1"/>
    <w:rsid w:val="00DD40C8"/>
    <w:rsid w:val="00DD5E92"/>
    <w:rsid w:val="00DD708D"/>
    <w:rsid w:val="00DE059A"/>
    <w:rsid w:val="00DE08B0"/>
    <w:rsid w:val="00DE1A75"/>
    <w:rsid w:val="00DE3191"/>
    <w:rsid w:val="00DE4079"/>
    <w:rsid w:val="00DE61D7"/>
    <w:rsid w:val="00DE652C"/>
    <w:rsid w:val="00DE77E1"/>
    <w:rsid w:val="00DE7E86"/>
    <w:rsid w:val="00DF0B2F"/>
    <w:rsid w:val="00DF23B4"/>
    <w:rsid w:val="00DF2B1D"/>
    <w:rsid w:val="00DF4876"/>
    <w:rsid w:val="00DF4B2A"/>
    <w:rsid w:val="00DF4E5C"/>
    <w:rsid w:val="00DF5BE3"/>
    <w:rsid w:val="00DF6072"/>
    <w:rsid w:val="00DF61D1"/>
    <w:rsid w:val="00DF6B75"/>
    <w:rsid w:val="00E0147A"/>
    <w:rsid w:val="00E02CE4"/>
    <w:rsid w:val="00E067D4"/>
    <w:rsid w:val="00E06A33"/>
    <w:rsid w:val="00E12675"/>
    <w:rsid w:val="00E13B5B"/>
    <w:rsid w:val="00E14821"/>
    <w:rsid w:val="00E15945"/>
    <w:rsid w:val="00E16917"/>
    <w:rsid w:val="00E21BF3"/>
    <w:rsid w:val="00E2224E"/>
    <w:rsid w:val="00E2741F"/>
    <w:rsid w:val="00E30424"/>
    <w:rsid w:val="00E3454B"/>
    <w:rsid w:val="00E35D8E"/>
    <w:rsid w:val="00E366EE"/>
    <w:rsid w:val="00E36C9C"/>
    <w:rsid w:val="00E375FD"/>
    <w:rsid w:val="00E37A3E"/>
    <w:rsid w:val="00E37F32"/>
    <w:rsid w:val="00E44B93"/>
    <w:rsid w:val="00E45AEC"/>
    <w:rsid w:val="00E46477"/>
    <w:rsid w:val="00E474BE"/>
    <w:rsid w:val="00E50D37"/>
    <w:rsid w:val="00E50FF3"/>
    <w:rsid w:val="00E5220E"/>
    <w:rsid w:val="00E5224A"/>
    <w:rsid w:val="00E52314"/>
    <w:rsid w:val="00E54FAF"/>
    <w:rsid w:val="00E550CB"/>
    <w:rsid w:val="00E554DF"/>
    <w:rsid w:val="00E55A0B"/>
    <w:rsid w:val="00E55B2C"/>
    <w:rsid w:val="00E57ED9"/>
    <w:rsid w:val="00E608F0"/>
    <w:rsid w:val="00E62315"/>
    <w:rsid w:val="00E6373D"/>
    <w:rsid w:val="00E67BE0"/>
    <w:rsid w:val="00E70E86"/>
    <w:rsid w:val="00E71149"/>
    <w:rsid w:val="00E71349"/>
    <w:rsid w:val="00E74E70"/>
    <w:rsid w:val="00E76D56"/>
    <w:rsid w:val="00E8009E"/>
    <w:rsid w:val="00E80603"/>
    <w:rsid w:val="00E81699"/>
    <w:rsid w:val="00E8205B"/>
    <w:rsid w:val="00E8272A"/>
    <w:rsid w:val="00E83040"/>
    <w:rsid w:val="00E84F80"/>
    <w:rsid w:val="00E854E8"/>
    <w:rsid w:val="00E8707D"/>
    <w:rsid w:val="00E92606"/>
    <w:rsid w:val="00E93DA7"/>
    <w:rsid w:val="00E94642"/>
    <w:rsid w:val="00E95198"/>
    <w:rsid w:val="00E9575E"/>
    <w:rsid w:val="00EA43D4"/>
    <w:rsid w:val="00EA7E20"/>
    <w:rsid w:val="00EB31C9"/>
    <w:rsid w:val="00EB5313"/>
    <w:rsid w:val="00EB5990"/>
    <w:rsid w:val="00EB77E2"/>
    <w:rsid w:val="00EC04A6"/>
    <w:rsid w:val="00EC1519"/>
    <w:rsid w:val="00EC2A96"/>
    <w:rsid w:val="00EC2AB5"/>
    <w:rsid w:val="00EC3547"/>
    <w:rsid w:val="00EC371E"/>
    <w:rsid w:val="00EC4571"/>
    <w:rsid w:val="00EC4590"/>
    <w:rsid w:val="00EC4BB3"/>
    <w:rsid w:val="00EC64F0"/>
    <w:rsid w:val="00EC6862"/>
    <w:rsid w:val="00EC6ABD"/>
    <w:rsid w:val="00EC6EDF"/>
    <w:rsid w:val="00ED0EBB"/>
    <w:rsid w:val="00ED2C4E"/>
    <w:rsid w:val="00ED3EED"/>
    <w:rsid w:val="00ED67C7"/>
    <w:rsid w:val="00ED6A24"/>
    <w:rsid w:val="00ED723A"/>
    <w:rsid w:val="00EE11A0"/>
    <w:rsid w:val="00EE13A6"/>
    <w:rsid w:val="00EE1DF4"/>
    <w:rsid w:val="00EE3813"/>
    <w:rsid w:val="00EE5686"/>
    <w:rsid w:val="00EE6D0B"/>
    <w:rsid w:val="00EF4A65"/>
    <w:rsid w:val="00EF75EC"/>
    <w:rsid w:val="00EF7ADF"/>
    <w:rsid w:val="00F01196"/>
    <w:rsid w:val="00F0229A"/>
    <w:rsid w:val="00F05AC7"/>
    <w:rsid w:val="00F06472"/>
    <w:rsid w:val="00F122B9"/>
    <w:rsid w:val="00F1491C"/>
    <w:rsid w:val="00F17819"/>
    <w:rsid w:val="00F17EAF"/>
    <w:rsid w:val="00F2058B"/>
    <w:rsid w:val="00F2135D"/>
    <w:rsid w:val="00F22B67"/>
    <w:rsid w:val="00F22DEA"/>
    <w:rsid w:val="00F2636F"/>
    <w:rsid w:val="00F26610"/>
    <w:rsid w:val="00F2663F"/>
    <w:rsid w:val="00F268F2"/>
    <w:rsid w:val="00F26E45"/>
    <w:rsid w:val="00F27536"/>
    <w:rsid w:val="00F3208D"/>
    <w:rsid w:val="00F321A1"/>
    <w:rsid w:val="00F32C58"/>
    <w:rsid w:val="00F372A9"/>
    <w:rsid w:val="00F41564"/>
    <w:rsid w:val="00F429B5"/>
    <w:rsid w:val="00F43B24"/>
    <w:rsid w:val="00F459AE"/>
    <w:rsid w:val="00F4612C"/>
    <w:rsid w:val="00F50373"/>
    <w:rsid w:val="00F53990"/>
    <w:rsid w:val="00F54EE1"/>
    <w:rsid w:val="00F55A15"/>
    <w:rsid w:val="00F6307F"/>
    <w:rsid w:val="00F63B36"/>
    <w:rsid w:val="00F6491A"/>
    <w:rsid w:val="00F679AB"/>
    <w:rsid w:val="00F67CD8"/>
    <w:rsid w:val="00F7046A"/>
    <w:rsid w:val="00F704E4"/>
    <w:rsid w:val="00F7173D"/>
    <w:rsid w:val="00F730BD"/>
    <w:rsid w:val="00F732FF"/>
    <w:rsid w:val="00F743C8"/>
    <w:rsid w:val="00F759C4"/>
    <w:rsid w:val="00F76683"/>
    <w:rsid w:val="00F80C36"/>
    <w:rsid w:val="00F81065"/>
    <w:rsid w:val="00F81C44"/>
    <w:rsid w:val="00F8265A"/>
    <w:rsid w:val="00F82B6D"/>
    <w:rsid w:val="00F83522"/>
    <w:rsid w:val="00F83552"/>
    <w:rsid w:val="00F83C62"/>
    <w:rsid w:val="00F851F4"/>
    <w:rsid w:val="00F86EF4"/>
    <w:rsid w:val="00F91BB6"/>
    <w:rsid w:val="00F963A2"/>
    <w:rsid w:val="00F97290"/>
    <w:rsid w:val="00FA0B77"/>
    <w:rsid w:val="00FA40CE"/>
    <w:rsid w:val="00FA781A"/>
    <w:rsid w:val="00FB0063"/>
    <w:rsid w:val="00FB0659"/>
    <w:rsid w:val="00FB0697"/>
    <w:rsid w:val="00FB0A72"/>
    <w:rsid w:val="00FB1FDC"/>
    <w:rsid w:val="00FB4E07"/>
    <w:rsid w:val="00FB5EF1"/>
    <w:rsid w:val="00FB7496"/>
    <w:rsid w:val="00FC08A8"/>
    <w:rsid w:val="00FC106A"/>
    <w:rsid w:val="00FC2949"/>
    <w:rsid w:val="00FC29E7"/>
    <w:rsid w:val="00FC2B89"/>
    <w:rsid w:val="00FC2F90"/>
    <w:rsid w:val="00FC52B0"/>
    <w:rsid w:val="00FC5C92"/>
    <w:rsid w:val="00FC7620"/>
    <w:rsid w:val="00FD0CD6"/>
    <w:rsid w:val="00FD4330"/>
    <w:rsid w:val="00FD6901"/>
    <w:rsid w:val="00FE2138"/>
    <w:rsid w:val="00FE29CF"/>
    <w:rsid w:val="00FE6048"/>
    <w:rsid w:val="00FE709D"/>
    <w:rsid w:val="00FF0AA3"/>
    <w:rsid w:val="00FF2E91"/>
    <w:rsid w:val="00FF3CFE"/>
    <w:rsid w:val="00FF555D"/>
    <w:rsid w:val="00FF563E"/>
    <w:rsid w:val="00FF6638"/>
    <w:rsid w:val="00FF6F2C"/>
    <w:rsid w:val="00FF7FF1"/>
    <w:rsid w:val="01DD04FB"/>
    <w:rsid w:val="02B73E03"/>
    <w:rsid w:val="03B332BE"/>
    <w:rsid w:val="03C86528"/>
    <w:rsid w:val="03E97555"/>
    <w:rsid w:val="0411533A"/>
    <w:rsid w:val="04465263"/>
    <w:rsid w:val="077B9DF4"/>
    <w:rsid w:val="08BF0190"/>
    <w:rsid w:val="091918BF"/>
    <w:rsid w:val="0AB47D72"/>
    <w:rsid w:val="0AEE6EFC"/>
    <w:rsid w:val="0B5224A3"/>
    <w:rsid w:val="0C130496"/>
    <w:rsid w:val="0D1A78A8"/>
    <w:rsid w:val="0D4F6DE0"/>
    <w:rsid w:val="0E6A1E73"/>
    <w:rsid w:val="0EFE7600"/>
    <w:rsid w:val="0F2777E7"/>
    <w:rsid w:val="1025078D"/>
    <w:rsid w:val="10657708"/>
    <w:rsid w:val="108F6B38"/>
    <w:rsid w:val="10ED4124"/>
    <w:rsid w:val="12FC46B3"/>
    <w:rsid w:val="14B43A04"/>
    <w:rsid w:val="155B2815"/>
    <w:rsid w:val="15663828"/>
    <w:rsid w:val="165C704E"/>
    <w:rsid w:val="16B6444E"/>
    <w:rsid w:val="17DC0435"/>
    <w:rsid w:val="17E165DB"/>
    <w:rsid w:val="183647C8"/>
    <w:rsid w:val="19690B52"/>
    <w:rsid w:val="1A2950FA"/>
    <w:rsid w:val="1A741CF7"/>
    <w:rsid w:val="1B37509F"/>
    <w:rsid w:val="1BD6097E"/>
    <w:rsid w:val="1BDBD011"/>
    <w:rsid w:val="1C384E5A"/>
    <w:rsid w:val="1CEC068B"/>
    <w:rsid w:val="1D6C9EEA"/>
    <w:rsid w:val="1DF05CF1"/>
    <w:rsid w:val="1E2C6741"/>
    <w:rsid w:val="1EA1074C"/>
    <w:rsid w:val="1F6DB8E2"/>
    <w:rsid w:val="1F7F55D9"/>
    <w:rsid w:val="1FC62AAD"/>
    <w:rsid w:val="1FF7EA92"/>
    <w:rsid w:val="20A90B21"/>
    <w:rsid w:val="20C94451"/>
    <w:rsid w:val="21066CBD"/>
    <w:rsid w:val="21170426"/>
    <w:rsid w:val="216452FF"/>
    <w:rsid w:val="21C51829"/>
    <w:rsid w:val="22A93AEA"/>
    <w:rsid w:val="22C6341A"/>
    <w:rsid w:val="23B86E91"/>
    <w:rsid w:val="245948FB"/>
    <w:rsid w:val="24AE54B9"/>
    <w:rsid w:val="253958FA"/>
    <w:rsid w:val="2587B252"/>
    <w:rsid w:val="2602373F"/>
    <w:rsid w:val="26D34787"/>
    <w:rsid w:val="2700394C"/>
    <w:rsid w:val="27A04912"/>
    <w:rsid w:val="27FC4126"/>
    <w:rsid w:val="294A10CA"/>
    <w:rsid w:val="296BE499"/>
    <w:rsid w:val="299A5137"/>
    <w:rsid w:val="2A315A23"/>
    <w:rsid w:val="2A3E73D9"/>
    <w:rsid w:val="2AA51792"/>
    <w:rsid w:val="2AFE1A16"/>
    <w:rsid w:val="2BDC5B80"/>
    <w:rsid w:val="2C3E23A2"/>
    <w:rsid w:val="2CC2028E"/>
    <w:rsid w:val="2CD26499"/>
    <w:rsid w:val="2CE87970"/>
    <w:rsid w:val="2CF27B34"/>
    <w:rsid w:val="2D1D25AF"/>
    <w:rsid w:val="2E40666F"/>
    <w:rsid w:val="2F9A2E24"/>
    <w:rsid w:val="2F9F4F7B"/>
    <w:rsid w:val="2FA66BF4"/>
    <w:rsid w:val="2FBF081F"/>
    <w:rsid w:val="30257DA7"/>
    <w:rsid w:val="302C2998"/>
    <w:rsid w:val="304325BD"/>
    <w:rsid w:val="31103F88"/>
    <w:rsid w:val="3119C62B"/>
    <w:rsid w:val="31CD0693"/>
    <w:rsid w:val="31E325CB"/>
    <w:rsid w:val="31F63288"/>
    <w:rsid w:val="320E3885"/>
    <w:rsid w:val="32D23EF0"/>
    <w:rsid w:val="33197810"/>
    <w:rsid w:val="333C0198"/>
    <w:rsid w:val="33564149"/>
    <w:rsid w:val="335706F9"/>
    <w:rsid w:val="33732D99"/>
    <w:rsid w:val="355E241C"/>
    <w:rsid w:val="35BA7755"/>
    <w:rsid w:val="35E12BF6"/>
    <w:rsid w:val="37967D4B"/>
    <w:rsid w:val="37A7C2D0"/>
    <w:rsid w:val="37CE6E2C"/>
    <w:rsid w:val="37D54C2D"/>
    <w:rsid w:val="37F5C0D6"/>
    <w:rsid w:val="37FF6302"/>
    <w:rsid w:val="38CE513F"/>
    <w:rsid w:val="397501E2"/>
    <w:rsid w:val="3A1A2047"/>
    <w:rsid w:val="3A3C1969"/>
    <w:rsid w:val="3B7FA2F7"/>
    <w:rsid w:val="3BCC6D26"/>
    <w:rsid w:val="3BD34FA0"/>
    <w:rsid w:val="3BFF20D3"/>
    <w:rsid w:val="3D4A73FC"/>
    <w:rsid w:val="3E261222"/>
    <w:rsid w:val="3EF7C3FD"/>
    <w:rsid w:val="3F3C23B0"/>
    <w:rsid w:val="3F4FE428"/>
    <w:rsid w:val="3F7C798C"/>
    <w:rsid w:val="3F856490"/>
    <w:rsid w:val="3FB62B14"/>
    <w:rsid w:val="3FD31F3A"/>
    <w:rsid w:val="3FFA646D"/>
    <w:rsid w:val="400008BD"/>
    <w:rsid w:val="40D91972"/>
    <w:rsid w:val="419B1D5A"/>
    <w:rsid w:val="42DFC2E1"/>
    <w:rsid w:val="42FB4E6F"/>
    <w:rsid w:val="44A5312D"/>
    <w:rsid w:val="46290B70"/>
    <w:rsid w:val="462C182F"/>
    <w:rsid w:val="46FF07F3"/>
    <w:rsid w:val="473125BD"/>
    <w:rsid w:val="47DFC8DD"/>
    <w:rsid w:val="481D7751"/>
    <w:rsid w:val="4939D155"/>
    <w:rsid w:val="4A17781B"/>
    <w:rsid w:val="4AC779BE"/>
    <w:rsid w:val="4AD621D7"/>
    <w:rsid w:val="4B0F6B93"/>
    <w:rsid w:val="4C5211CE"/>
    <w:rsid w:val="4CBF5596"/>
    <w:rsid w:val="4D420FCC"/>
    <w:rsid w:val="4E021DFE"/>
    <w:rsid w:val="4E21224F"/>
    <w:rsid w:val="4E7074C0"/>
    <w:rsid w:val="4E774889"/>
    <w:rsid w:val="4ECE1A58"/>
    <w:rsid w:val="4EDC5CCF"/>
    <w:rsid w:val="4F5F1629"/>
    <w:rsid w:val="4F9B6E63"/>
    <w:rsid w:val="4FBB30BF"/>
    <w:rsid w:val="4FBD4455"/>
    <w:rsid w:val="5094649D"/>
    <w:rsid w:val="52566E26"/>
    <w:rsid w:val="54F794F0"/>
    <w:rsid w:val="55E360E6"/>
    <w:rsid w:val="5609075F"/>
    <w:rsid w:val="574E07A6"/>
    <w:rsid w:val="57AF649C"/>
    <w:rsid w:val="57BE4E8E"/>
    <w:rsid w:val="57E51BF4"/>
    <w:rsid w:val="58DFBB62"/>
    <w:rsid w:val="59D97279"/>
    <w:rsid w:val="5A5A624C"/>
    <w:rsid w:val="5B2E5FA7"/>
    <w:rsid w:val="5B7FD523"/>
    <w:rsid w:val="5B8EF88E"/>
    <w:rsid w:val="5B9FBDD6"/>
    <w:rsid w:val="5BAF32FA"/>
    <w:rsid w:val="5BB00D7C"/>
    <w:rsid w:val="5BEF7DFB"/>
    <w:rsid w:val="5C3A545D"/>
    <w:rsid w:val="5CAB6776"/>
    <w:rsid w:val="5D1F22C4"/>
    <w:rsid w:val="5D6FEE35"/>
    <w:rsid w:val="5D7D2214"/>
    <w:rsid w:val="5DA50CC6"/>
    <w:rsid w:val="5DBFAC37"/>
    <w:rsid w:val="5DDFDAA4"/>
    <w:rsid w:val="5DED8E35"/>
    <w:rsid w:val="5EFF224A"/>
    <w:rsid w:val="5F5A851C"/>
    <w:rsid w:val="5F6AA5C5"/>
    <w:rsid w:val="5F7B57FE"/>
    <w:rsid w:val="5FCB4270"/>
    <w:rsid w:val="5FDF3E51"/>
    <w:rsid w:val="5FDFF32A"/>
    <w:rsid w:val="5FF9E376"/>
    <w:rsid w:val="5FFC137C"/>
    <w:rsid w:val="5FFF34A0"/>
    <w:rsid w:val="602B0BD5"/>
    <w:rsid w:val="617E59BC"/>
    <w:rsid w:val="620223F3"/>
    <w:rsid w:val="625F185B"/>
    <w:rsid w:val="629D167F"/>
    <w:rsid w:val="62BA496D"/>
    <w:rsid w:val="634D74F9"/>
    <w:rsid w:val="63714235"/>
    <w:rsid w:val="63901267"/>
    <w:rsid w:val="63D22FD5"/>
    <w:rsid w:val="645F025C"/>
    <w:rsid w:val="64B07140"/>
    <w:rsid w:val="64F17BAA"/>
    <w:rsid w:val="653D3345"/>
    <w:rsid w:val="657D3B02"/>
    <w:rsid w:val="66127C81"/>
    <w:rsid w:val="66FFDEAC"/>
    <w:rsid w:val="67AA2321"/>
    <w:rsid w:val="67AB5824"/>
    <w:rsid w:val="67C25BA0"/>
    <w:rsid w:val="68BEDE4E"/>
    <w:rsid w:val="6A100511"/>
    <w:rsid w:val="6A667347"/>
    <w:rsid w:val="6ADB8F4E"/>
    <w:rsid w:val="6B4A5EA2"/>
    <w:rsid w:val="6BBA5B22"/>
    <w:rsid w:val="6C024D79"/>
    <w:rsid w:val="6C3A03D8"/>
    <w:rsid w:val="6D57D60A"/>
    <w:rsid w:val="6D633C62"/>
    <w:rsid w:val="6E166801"/>
    <w:rsid w:val="6EBFBE7A"/>
    <w:rsid w:val="6EFBD8B4"/>
    <w:rsid w:val="6F3B68D8"/>
    <w:rsid w:val="6FCF036D"/>
    <w:rsid w:val="6FDBABCE"/>
    <w:rsid w:val="6FF0B8A5"/>
    <w:rsid w:val="6FF3B938"/>
    <w:rsid w:val="6FFC45DB"/>
    <w:rsid w:val="6FFD4F50"/>
    <w:rsid w:val="709978A0"/>
    <w:rsid w:val="70C050A4"/>
    <w:rsid w:val="71791CB7"/>
    <w:rsid w:val="71A84B0E"/>
    <w:rsid w:val="72546F0C"/>
    <w:rsid w:val="72935C87"/>
    <w:rsid w:val="72975391"/>
    <w:rsid w:val="72F57644"/>
    <w:rsid w:val="72FD4FEC"/>
    <w:rsid w:val="735B7624"/>
    <w:rsid w:val="735B7EE7"/>
    <w:rsid w:val="739A7493"/>
    <w:rsid w:val="739FA654"/>
    <w:rsid w:val="73AF4C35"/>
    <w:rsid w:val="73FA193B"/>
    <w:rsid w:val="741027FE"/>
    <w:rsid w:val="744743D4"/>
    <w:rsid w:val="7581250B"/>
    <w:rsid w:val="7638456B"/>
    <w:rsid w:val="7656352A"/>
    <w:rsid w:val="769E4528"/>
    <w:rsid w:val="769F48E4"/>
    <w:rsid w:val="76DFF240"/>
    <w:rsid w:val="76F38D71"/>
    <w:rsid w:val="776F2AF5"/>
    <w:rsid w:val="776F440C"/>
    <w:rsid w:val="7778F654"/>
    <w:rsid w:val="77CF8F90"/>
    <w:rsid w:val="77DB1606"/>
    <w:rsid w:val="77FEA626"/>
    <w:rsid w:val="782C62B8"/>
    <w:rsid w:val="78304CBF"/>
    <w:rsid w:val="78482365"/>
    <w:rsid w:val="785EAB39"/>
    <w:rsid w:val="78A1076B"/>
    <w:rsid w:val="792D5F57"/>
    <w:rsid w:val="796849BB"/>
    <w:rsid w:val="79B47039"/>
    <w:rsid w:val="7A1328D6"/>
    <w:rsid w:val="7A416783"/>
    <w:rsid w:val="7A7E6766"/>
    <w:rsid w:val="7ACF0F7E"/>
    <w:rsid w:val="7AD93FF6"/>
    <w:rsid w:val="7AFF68F8"/>
    <w:rsid w:val="7B0C08EF"/>
    <w:rsid w:val="7B3FA2FA"/>
    <w:rsid w:val="7B561ED4"/>
    <w:rsid w:val="7B870239"/>
    <w:rsid w:val="7BBD4E90"/>
    <w:rsid w:val="7BE05F04"/>
    <w:rsid w:val="7BFF25E5"/>
    <w:rsid w:val="7BFFD567"/>
    <w:rsid w:val="7C6E5806"/>
    <w:rsid w:val="7CAFB243"/>
    <w:rsid w:val="7CDBE248"/>
    <w:rsid w:val="7CFDBC38"/>
    <w:rsid w:val="7CFF57F3"/>
    <w:rsid w:val="7D0D5AB6"/>
    <w:rsid w:val="7D473901"/>
    <w:rsid w:val="7DAFDA7D"/>
    <w:rsid w:val="7DB61F3E"/>
    <w:rsid w:val="7DFDD142"/>
    <w:rsid w:val="7DFE273A"/>
    <w:rsid w:val="7DFE68A1"/>
    <w:rsid w:val="7DFFFC51"/>
    <w:rsid w:val="7E3FF798"/>
    <w:rsid w:val="7E5725D5"/>
    <w:rsid w:val="7EA72945"/>
    <w:rsid w:val="7ED029FD"/>
    <w:rsid w:val="7EDC1A6D"/>
    <w:rsid w:val="7EDF1235"/>
    <w:rsid w:val="7EE1D935"/>
    <w:rsid w:val="7EEFEB81"/>
    <w:rsid w:val="7EFA4BF0"/>
    <w:rsid w:val="7EFB7E56"/>
    <w:rsid w:val="7F3A6AB4"/>
    <w:rsid w:val="7F7E5827"/>
    <w:rsid w:val="7F828F1B"/>
    <w:rsid w:val="7F9C7EC6"/>
    <w:rsid w:val="7F9F3039"/>
    <w:rsid w:val="7F9F5DEF"/>
    <w:rsid w:val="7FBB5720"/>
    <w:rsid w:val="7FC749D4"/>
    <w:rsid w:val="7FDB54B1"/>
    <w:rsid w:val="7FDB8C03"/>
    <w:rsid w:val="7FDD103C"/>
    <w:rsid w:val="7FDE1BC0"/>
    <w:rsid w:val="7FEEC64F"/>
    <w:rsid w:val="7FEFEB1A"/>
    <w:rsid w:val="7FF30623"/>
    <w:rsid w:val="7FF7AD9A"/>
    <w:rsid w:val="7FFB1C26"/>
    <w:rsid w:val="7FFBAC4F"/>
    <w:rsid w:val="7FFF8D9D"/>
    <w:rsid w:val="7FFFE217"/>
    <w:rsid w:val="8F3ED2C9"/>
    <w:rsid w:val="965BC131"/>
    <w:rsid w:val="97CFCA9B"/>
    <w:rsid w:val="97FE56AD"/>
    <w:rsid w:val="98DFC0C4"/>
    <w:rsid w:val="98FF7262"/>
    <w:rsid w:val="9FEF3309"/>
    <w:rsid w:val="9FF3D753"/>
    <w:rsid w:val="9FF74AA5"/>
    <w:rsid w:val="A4C71A4C"/>
    <w:rsid w:val="ABF19EC5"/>
    <w:rsid w:val="ABFF69B4"/>
    <w:rsid w:val="B1D7325D"/>
    <w:rsid w:val="B1FB694A"/>
    <w:rsid w:val="B67F6CF2"/>
    <w:rsid w:val="B6BF0912"/>
    <w:rsid w:val="B77F0505"/>
    <w:rsid w:val="B79F1337"/>
    <w:rsid w:val="B7EF2211"/>
    <w:rsid w:val="B7FFA689"/>
    <w:rsid w:val="BAB713E7"/>
    <w:rsid w:val="BAFD7A42"/>
    <w:rsid w:val="BAFE531D"/>
    <w:rsid w:val="BBDC29AF"/>
    <w:rsid w:val="BD77329F"/>
    <w:rsid w:val="BD7E19DB"/>
    <w:rsid w:val="BDFFC667"/>
    <w:rsid w:val="BED33CBD"/>
    <w:rsid w:val="BEED02C8"/>
    <w:rsid w:val="BF3E34BE"/>
    <w:rsid w:val="BF4F6981"/>
    <w:rsid w:val="BF5F7E40"/>
    <w:rsid w:val="BF6B3CDC"/>
    <w:rsid w:val="BF734C27"/>
    <w:rsid w:val="BF764495"/>
    <w:rsid w:val="BF7E88DD"/>
    <w:rsid w:val="BFBF34C2"/>
    <w:rsid w:val="BFED0678"/>
    <w:rsid w:val="BFFCA963"/>
    <w:rsid w:val="BFFFEC8B"/>
    <w:rsid w:val="C5FFED3F"/>
    <w:rsid w:val="C9F24516"/>
    <w:rsid w:val="CABDE746"/>
    <w:rsid w:val="CADF07A8"/>
    <w:rsid w:val="CE9D51F0"/>
    <w:rsid w:val="CEF1CDA0"/>
    <w:rsid w:val="CFF36D1A"/>
    <w:rsid w:val="CFFB7BF0"/>
    <w:rsid w:val="CFFF9480"/>
    <w:rsid w:val="D28FE7E2"/>
    <w:rsid w:val="D2EB5EFB"/>
    <w:rsid w:val="D765A7F9"/>
    <w:rsid w:val="D77F371B"/>
    <w:rsid w:val="DAFFFF0C"/>
    <w:rsid w:val="DC3F7104"/>
    <w:rsid w:val="DC575898"/>
    <w:rsid w:val="DCFFCEEF"/>
    <w:rsid w:val="DEDD5DDF"/>
    <w:rsid w:val="DEF327D4"/>
    <w:rsid w:val="DF5D9F22"/>
    <w:rsid w:val="DF778898"/>
    <w:rsid w:val="DF7F5B92"/>
    <w:rsid w:val="DF7FD079"/>
    <w:rsid w:val="DFA71233"/>
    <w:rsid w:val="DFDF3C7E"/>
    <w:rsid w:val="DFEFDDD9"/>
    <w:rsid w:val="DFFB97E3"/>
    <w:rsid w:val="DFFF834B"/>
    <w:rsid w:val="E15DC65B"/>
    <w:rsid w:val="E27FFBCD"/>
    <w:rsid w:val="E37F36C5"/>
    <w:rsid w:val="E39D1CDC"/>
    <w:rsid w:val="E3F70B34"/>
    <w:rsid w:val="E77FDEAF"/>
    <w:rsid w:val="E7FF76E0"/>
    <w:rsid w:val="EAEFB850"/>
    <w:rsid w:val="ECFD3853"/>
    <w:rsid w:val="ED2A2EA9"/>
    <w:rsid w:val="ED79BF7E"/>
    <w:rsid w:val="EDED8871"/>
    <w:rsid w:val="EDF52B44"/>
    <w:rsid w:val="EEE702C8"/>
    <w:rsid w:val="EF29F36D"/>
    <w:rsid w:val="EF7AA556"/>
    <w:rsid w:val="EF7D4855"/>
    <w:rsid w:val="EFDBB6F6"/>
    <w:rsid w:val="EFEDEE6F"/>
    <w:rsid w:val="EFF5CFE1"/>
    <w:rsid w:val="EFFA07D7"/>
    <w:rsid w:val="EFFE0AD0"/>
    <w:rsid w:val="F0FE79F7"/>
    <w:rsid w:val="F2F62BA7"/>
    <w:rsid w:val="F35BD31F"/>
    <w:rsid w:val="F36F4C89"/>
    <w:rsid w:val="F3728656"/>
    <w:rsid w:val="F3FB55D8"/>
    <w:rsid w:val="F5FDFB3B"/>
    <w:rsid w:val="F5FE27FF"/>
    <w:rsid w:val="F67D0BBC"/>
    <w:rsid w:val="F6A71444"/>
    <w:rsid w:val="F73DAA77"/>
    <w:rsid w:val="F776AF6C"/>
    <w:rsid w:val="F7BFFFAD"/>
    <w:rsid w:val="F7D12E3C"/>
    <w:rsid w:val="F7DEE9C2"/>
    <w:rsid w:val="F7EC5A27"/>
    <w:rsid w:val="F7FE0F12"/>
    <w:rsid w:val="F7FFE7AB"/>
    <w:rsid w:val="F8EBE339"/>
    <w:rsid w:val="F97719D8"/>
    <w:rsid w:val="F9A3221D"/>
    <w:rsid w:val="FABEBB1A"/>
    <w:rsid w:val="FB3B374E"/>
    <w:rsid w:val="FB5A762D"/>
    <w:rsid w:val="FB7F9D02"/>
    <w:rsid w:val="FBDAEE97"/>
    <w:rsid w:val="FBDD1C48"/>
    <w:rsid w:val="FBFE98AD"/>
    <w:rsid w:val="FC9D7F5E"/>
    <w:rsid w:val="FCE53585"/>
    <w:rsid w:val="FCF71FB6"/>
    <w:rsid w:val="FD6CBA2B"/>
    <w:rsid w:val="FD77E581"/>
    <w:rsid w:val="FD797EA2"/>
    <w:rsid w:val="FD7F6C7E"/>
    <w:rsid w:val="FDACB379"/>
    <w:rsid w:val="FDDBABBC"/>
    <w:rsid w:val="FDDC589E"/>
    <w:rsid w:val="FDEF2F99"/>
    <w:rsid w:val="FDFB2BB9"/>
    <w:rsid w:val="FEDF85D5"/>
    <w:rsid w:val="FEFACFC8"/>
    <w:rsid w:val="FF7C6B00"/>
    <w:rsid w:val="FF7D70BA"/>
    <w:rsid w:val="FF7E840E"/>
    <w:rsid w:val="FF7FFA35"/>
    <w:rsid w:val="FF87FE90"/>
    <w:rsid w:val="FFA3C7AC"/>
    <w:rsid w:val="FFB99C5D"/>
    <w:rsid w:val="FFBECF59"/>
    <w:rsid w:val="FFBF0AFE"/>
    <w:rsid w:val="FFD7ECE2"/>
    <w:rsid w:val="FFD9D502"/>
    <w:rsid w:val="FFDB6787"/>
    <w:rsid w:val="FFDF589D"/>
    <w:rsid w:val="FFDF69E3"/>
    <w:rsid w:val="FFDFA8F6"/>
    <w:rsid w:val="FFE0851B"/>
    <w:rsid w:val="FFFA18D7"/>
    <w:rsid w:val="FFFACFF4"/>
    <w:rsid w:val="FFFD0939"/>
    <w:rsid w:val="FFFE36F7"/>
    <w:rsid w:val="FFFE63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27"/>
    <w:qFormat/>
    <w:uiPriority w:val="0"/>
    <w:pPr>
      <w:keepNext/>
      <w:keepLines/>
      <w:spacing w:before="100" w:after="90"/>
      <w:jc w:val="center"/>
      <w:outlineLvl w:val="0"/>
    </w:pPr>
    <w:rPr>
      <w:rFonts w:eastAsia="黑体"/>
      <w:bCs/>
      <w:kern w:val="44"/>
      <w:szCs w:val="44"/>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customStyle="1" w:styleId="2">
    <w:name w:val="Char1"/>
    <w:basedOn w:val="1"/>
    <w:qFormat/>
    <w:uiPriority w:val="99"/>
    <w:pPr>
      <w:spacing w:line="360" w:lineRule="auto"/>
      <w:ind w:firstLine="420"/>
    </w:pPr>
    <w:rPr>
      <w:rFonts w:ascii="宋体" w:hAnsi="宋体"/>
      <w:sz w:val="30"/>
    </w:rPr>
  </w:style>
  <w:style w:type="paragraph" w:styleId="4">
    <w:name w:val="Document Map"/>
    <w:basedOn w:val="1"/>
    <w:link w:val="18"/>
    <w:qFormat/>
    <w:uiPriority w:val="0"/>
    <w:rPr>
      <w:rFonts w:ascii="宋体" w:eastAsia="宋体"/>
      <w:sz w:val="18"/>
      <w:szCs w:val="18"/>
    </w:rPr>
  </w:style>
  <w:style w:type="paragraph" w:styleId="5">
    <w:name w:val="annotation text"/>
    <w:basedOn w:val="1"/>
    <w:link w:val="21"/>
    <w:unhideWhenUsed/>
    <w:qFormat/>
    <w:uiPriority w:val="99"/>
    <w:pPr>
      <w:jc w:val="left"/>
    </w:pPr>
    <w:rPr>
      <w:rFonts w:ascii="Calibri" w:hAnsi="Calibri" w:eastAsia="宋体"/>
      <w:sz w:val="21"/>
      <w:szCs w:val="22"/>
    </w:rPr>
  </w:style>
  <w:style w:type="paragraph" w:styleId="6">
    <w:name w:val="Plain Text"/>
    <w:basedOn w:val="1"/>
    <w:qFormat/>
    <w:uiPriority w:val="0"/>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19"/>
    <w:qFormat/>
    <w:uiPriority w:val="0"/>
    <w:pPr>
      <w:spacing w:before="240" w:after="60"/>
      <w:jc w:val="center"/>
      <w:outlineLvl w:val="0"/>
    </w:pPr>
    <w:rPr>
      <w:rFonts w:ascii="Cambria" w:hAnsi="Cambria" w:eastAsia="宋体"/>
      <w:b/>
      <w:bCs/>
      <w:szCs w:val="32"/>
    </w:rPr>
  </w:style>
  <w:style w:type="paragraph" w:styleId="11">
    <w:name w:val="annotation subject"/>
    <w:basedOn w:val="5"/>
    <w:next w:val="5"/>
    <w:link w:val="26"/>
    <w:qFormat/>
    <w:uiPriority w:val="0"/>
    <w:rPr>
      <w:rFonts w:ascii="Times New Roman" w:hAnsi="Times New Roman" w:eastAsia="仿宋_GB2312"/>
      <w:b/>
      <w:bCs/>
      <w:sz w:val="32"/>
      <w:szCs w:val="20"/>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22"/>
    <w:rPr>
      <w:b/>
      <w:bCs/>
    </w:rPr>
  </w:style>
  <w:style w:type="character" w:styleId="16">
    <w:name w:val="page number"/>
    <w:basedOn w:val="14"/>
    <w:qFormat/>
    <w:uiPriority w:val="0"/>
  </w:style>
  <w:style w:type="character" w:styleId="17">
    <w:name w:val="annotation reference"/>
    <w:unhideWhenUsed/>
    <w:qFormat/>
    <w:uiPriority w:val="99"/>
    <w:rPr>
      <w:sz w:val="21"/>
      <w:szCs w:val="21"/>
    </w:rPr>
  </w:style>
  <w:style w:type="character" w:customStyle="1" w:styleId="18">
    <w:name w:val="文档结构图 Char"/>
    <w:link w:val="4"/>
    <w:qFormat/>
    <w:uiPriority w:val="0"/>
    <w:rPr>
      <w:rFonts w:ascii="宋体"/>
      <w:kern w:val="2"/>
      <w:sz w:val="18"/>
      <w:szCs w:val="18"/>
    </w:rPr>
  </w:style>
  <w:style w:type="character" w:customStyle="1" w:styleId="19">
    <w:name w:val="标题 Char"/>
    <w:link w:val="10"/>
    <w:qFormat/>
    <w:uiPriority w:val="0"/>
    <w:rPr>
      <w:rFonts w:ascii="Cambria" w:hAnsi="Cambria" w:eastAsia="宋体"/>
      <w:b/>
      <w:bCs/>
      <w:kern w:val="2"/>
      <w:sz w:val="32"/>
      <w:szCs w:val="32"/>
      <w:lang w:val="en-US" w:eastAsia="zh-CN" w:bidi="ar-SA"/>
    </w:rPr>
  </w:style>
  <w:style w:type="character" w:customStyle="1" w:styleId="20">
    <w:name w:val="页眉 Char"/>
    <w:link w:val="9"/>
    <w:qFormat/>
    <w:uiPriority w:val="0"/>
    <w:rPr>
      <w:rFonts w:eastAsia="仿宋_GB2312"/>
      <w:kern w:val="2"/>
      <w:sz w:val="18"/>
      <w:szCs w:val="18"/>
    </w:rPr>
  </w:style>
  <w:style w:type="character" w:customStyle="1" w:styleId="21">
    <w:name w:val="批注文字 Char"/>
    <w:link w:val="5"/>
    <w:qFormat/>
    <w:uiPriority w:val="99"/>
    <w:rPr>
      <w:rFonts w:ascii="Calibri" w:hAnsi="Calibri"/>
      <w:kern w:val="2"/>
      <w:sz w:val="21"/>
      <w:szCs w:val="22"/>
    </w:rPr>
  </w:style>
  <w:style w:type="character" w:customStyle="1" w:styleId="22">
    <w:name w:val="页脚 Char"/>
    <w:link w:val="8"/>
    <w:qFormat/>
    <w:uiPriority w:val="99"/>
    <w:rPr>
      <w:rFonts w:eastAsia="仿宋_GB2312"/>
      <w:kern w:val="2"/>
      <w:sz w:val="18"/>
      <w:szCs w:val="18"/>
    </w:rPr>
  </w:style>
  <w:style w:type="paragraph" w:customStyle="1" w:styleId="23">
    <w:name w:val="修订1"/>
    <w:semiHidden/>
    <w:qFormat/>
    <w:uiPriority w:val="99"/>
    <w:rPr>
      <w:rFonts w:ascii="Times New Roman" w:hAnsi="Times New Roman" w:eastAsia="仿宋_GB2312" w:cs="Times New Roman"/>
      <w:kern w:val="2"/>
      <w:sz w:val="32"/>
      <w:lang w:val="en-US" w:eastAsia="zh-CN" w:bidi="ar-SA"/>
    </w:rPr>
  </w:style>
  <w:style w:type="paragraph" w:customStyle="1" w:styleId="24">
    <w:name w:val="Char Char Char Char"/>
    <w:basedOn w:val="1"/>
    <w:qFormat/>
    <w:uiPriority w:val="0"/>
    <w:rPr>
      <w:rFonts w:ascii="Tahoma" w:hAnsi="Tahoma" w:eastAsia="宋体"/>
      <w:sz w:val="24"/>
    </w:rPr>
  </w:style>
  <w:style w:type="paragraph" w:customStyle="1" w:styleId="25">
    <w:name w:val="列出段落1"/>
    <w:basedOn w:val="1"/>
    <w:qFormat/>
    <w:uiPriority w:val="34"/>
    <w:pPr>
      <w:ind w:firstLine="420" w:firstLineChars="200"/>
    </w:pPr>
    <w:rPr>
      <w:rFonts w:ascii="Calibri" w:hAnsi="Calibri" w:eastAsia="宋体"/>
      <w:sz w:val="21"/>
      <w:szCs w:val="22"/>
    </w:rPr>
  </w:style>
  <w:style w:type="character" w:customStyle="1" w:styleId="26">
    <w:name w:val="批注主题 Char"/>
    <w:link w:val="11"/>
    <w:qFormat/>
    <w:uiPriority w:val="0"/>
    <w:rPr>
      <w:rFonts w:ascii="Calibri" w:hAnsi="Calibri" w:eastAsia="仿宋_GB2312"/>
      <w:b/>
      <w:bCs/>
      <w:kern w:val="2"/>
      <w:sz w:val="32"/>
      <w:szCs w:val="22"/>
    </w:rPr>
  </w:style>
  <w:style w:type="character" w:customStyle="1" w:styleId="27">
    <w:name w:val="标题 1 Char"/>
    <w:link w:val="3"/>
    <w:qFormat/>
    <w:uiPriority w:val="0"/>
    <w:rPr>
      <w:rFonts w:eastAsia="黑体"/>
      <w:bCs/>
      <w:kern w:val="44"/>
      <w:sz w:val="32"/>
      <w:szCs w:val="44"/>
    </w:rPr>
  </w:style>
  <w:style w:type="paragraph" w:customStyle="1" w:styleId="28">
    <w:name w:val="列出段落2"/>
    <w:basedOn w:val="1"/>
    <w:qFormat/>
    <w:uiPriority w:val="99"/>
    <w:pPr>
      <w:ind w:firstLine="420" w:firstLineChars="200"/>
    </w:pPr>
  </w:style>
  <w:style w:type="paragraph" w:customStyle="1" w:styleId="29">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14</Pages>
  <Words>897</Words>
  <Characters>5118</Characters>
  <Lines>42</Lines>
  <Paragraphs>12</Paragraphs>
  <TotalTime>90</TotalTime>
  <ScaleCrop>false</ScaleCrop>
  <LinksUpToDate>false</LinksUpToDate>
  <CharactersWithSpaces>6003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2020-07-10T21:11:00Z</dcterms:created>
  <dc:creator>盛仁磊</dc:creator>
  <cp:lastModifiedBy>Caoxl</cp:lastModifiedBy>
  <cp:lastPrinted>2020-09-04T09:55:00Z</cp:lastPrinted>
  <dcterms:modified xsi:type="dcterms:W3CDTF">2020-10-23T04:27:35Z</dcterms:modified>
  <dc:title>《浙江省重大产业项目申报及奖励管理办法（2020修订）》</dc:title>
  <cp:revision>558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