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9" w:lineRule="exact"/>
        <w:ind w:left="2240" w:right="2240"/>
      </w:pPr>
    </w:p>
    <w:p>
      <w:pPr>
        <w:spacing w:line="579" w:lineRule="exact"/>
        <w:jc w:val="center"/>
        <w:rPr>
          <w:rFonts w:eastAsia="方正小标宋简体"/>
          <w:sz w:val="44"/>
          <w:szCs w:val="44"/>
        </w:rPr>
      </w:pPr>
      <w:r>
        <w:rPr>
          <w:rFonts w:eastAsia="方正小标宋简体"/>
          <w:sz w:val="44"/>
          <w:szCs w:val="44"/>
        </w:rPr>
        <w:t>浙江省生态环境保护“十四五”规划</w:t>
      </w:r>
    </w:p>
    <w:p>
      <w:pPr>
        <w:pStyle w:val="2"/>
        <w:spacing w:after="0" w:line="579" w:lineRule="exact"/>
        <w:ind w:left="0" w:leftChars="0" w:right="0" w:rightChars="0" w:firstLine="640" w:firstLineChars="200"/>
        <w:rPr>
          <w:szCs w:val="32"/>
        </w:rPr>
      </w:pPr>
    </w:p>
    <w:p>
      <w:pPr>
        <w:pStyle w:val="2"/>
        <w:spacing w:after="0" w:line="590" w:lineRule="exact"/>
        <w:ind w:left="0" w:leftChars="0" w:right="0" w:rightChars="0" w:firstLine="640" w:firstLineChars="200"/>
        <w:rPr>
          <w:szCs w:val="32"/>
        </w:rPr>
      </w:pPr>
      <w:r>
        <w:rPr>
          <w:szCs w:val="32"/>
        </w:rPr>
        <w:t>为推进“十四五”时期生态环境保护工作，根据《中华人民共和国环境保护法》、国家有关规划计划、《浙江省国民经济和社会发展第十四个五年规划和二</w:t>
      </w:r>
      <w:r>
        <w:rPr>
          <w:rFonts w:hint="eastAsia" w:ascii="仿宋_GB2312"/>
          <w:szCs w:val="32"/>
        </w:rPr>
        <w:t>○</w:t>
      </w:r>
      <w:r>
        <w:rPr>
          <w:szCs w:val="32"/>
        </w:rPr>
        <w:t>三五年远景目标纲要》和《深化生态文明示范创建 高水平建设新时代美丽浙江规划纲要（2020—2035年）》，制定本规划。</w:t>
      </w:r>
    </w:p>
    <w:p>
      <w:pPr>
        <w:pStyle w:val="4"/>
        <w:spacing w:before="0" w:after="0" w:line="590" w:lineRule="exact"/>
        <w:ind w:firstLine="640" w:firstLineChars="200"/>
        <w:jc w:val="left"/>
        <w:rPr>
          <w:rFonts w:ascii="Times New Roman" w:hAnsi="Times New Roman" w:eastAsia="黑体"/>
          <w:b w:val="0"/>
        </w:rPr>
      </w:pPr>
      <w:bookmarkStart w:id="0" w:name="_Toc446062054"/>
      <w:bookmarkStart w:id="1" w:name="_Toc65248106"/>
      <w:bookmarkStart w:id="2" w:name="_Toc55906087"/>
      <w:r>
        <w:rPr>
          <w:rFonts w:ascii="Times New Roman" w:hAnsi="Times New Roman" w:eastAsia="黑体"/>
          <w:b w:val="0"/>
        </w:rPr>
        <w:t>一、</w:t>
      </w:r>
      <w:bookmarkEnd w:id="0"/>
      <w:r>
        <w:rPr>
          <w:rFonts w:ascii="Times New Roman" w:hAnsi="Times New Roman" w:eastAsia="黑体"/>
          <w:b w:val="0"/>
        </w:rPr>
        <w:t>背景与形势</w:t>
      </w:r>
      <w:bookmarkEnd w:id="1"/>
      <w:bookmarkEnd w:id="2"/>
    </w:p>
    <w:p>
      <w:pPr>
        <w:pStyle w:val="4"/>
        <w:spacing w:before="0" w:after="0" w:line="590" w:lineRule="exact"/>
        <w:ind w:firstLine="641" w:firstLineChars="200"/>
        <w:jc w:val="left"/>
        <w:outlineLvl w:val="1"/>
        <w:rPr>
          <w:rFonts w:ascii="Times New Roman" w:hAnsi="Times New Roman" w:eastAsia="楷体_GB2312"/>
        </w:rPr>
      </w:pPr>
      <w:bookmarkStart w:id="3" w:name="_Toc446062055"/>
      <w:bookmarkStart w:id="4" w:name="_Toc65248107"/>
      <w:bookmarkStart w:id="5" w:name="_Toc55906088"/>
      <w:r>
        <w:rPr>
          <w:rFonts w:ascii="Times New Roman" w:hAnsi="Times New Roman" w:eastAsia="楷体_GB2312"/>
        </w:rPr>
        <w:t>（一）</w:t>
      </w:r>
      <w:bookmarkEnd w:id="3"/>
      <w:r>
        <w:rPr>
          <w:rFonts w:ascii="Times New Roman" w:hAnsi="Times New Roman" w:eastAsia="楷体_GB2312"/>
        </w:rPr>
        <w:t>“十三五”规划实施情况</w:t>
      </w:r>
      <w:bookmarkEnd w:id="4"/>
      <w:bookmarkEnd w:id="5"/>
    </w:p>
    <w:p>
      <w:pPr>
        <w:pStyle w:val="2"/>
        <w:spacing w:after="0" w:line="590" w:lineRule="exact"/>
        <w:ind w:left="0" w:leftChars="0" w:right="0" w:rightChars="0" w:firstLine="640" w:firstLineChars="200"/>
        <w:rPr>
          <w:szCs w:val="32"/>
        </w:rPr>
      </w:pPr>
      <w:r>
        <w:rPr>
          <w:bCs/>
          <w:szCs w:val="32"/>
        </w:rPr>
        <w:t>“十三五”期间，我省以习近平生态文明思想为指导，积极践行“绿水青山就是金山银山”理念，全面贯彻党中央、国务院关于生态文明建设和生态环境保护的决策部署，以改善环境质量为核心，深入实施生态文明示范创建行动计划，全面打好污染防治攻坚战，统筹推进生态文明体制改革，大力推进环境风险防范、生态保护修复、治理能力建设，全省生态环境质量持续改善，公众生态环境满意度持续提升，</w:t>
      </w:r>
      <w:r>
        <w:rPr>
          <w:szCs w:val="32"/>
        </w:rPr>
        <w:t>生态环境保护取得显著成效。</w:t>
      </w:r>
    </w:p>
    <w:p>
      <w:pPr>
        <w:pStyle w:val="2"/>
        <w:autoSpaceDE w:val="0"/>
        <w:autoSpaceDN w:val="0"/>
        <w:adjustRightInd w:val="0"/>
        <w:spacing w:after="0" w:line="590" w:lineRule="exact"/>
        <w:ind w:left="0" w:leftChars="0" w:right="0" w:rightChars="0" w:firstLine="643" w:firstLineChars="200"/>
        <w:rPr>
          <w:szCs w:val="32"/>
        </w:rPr>
      </w:pPr>
      <w:r>
        <w:rPr>
          <w:b/>
          <w:szCs w:val="32"/>
          <w:lang w:val="zh-CN"/>
        </w:rPr>
        <w:t>一是污染防治攻坚战取得阶段性胜利。</w:t>
      </w:r>
      <w:r>
        <w:rPr>
          <w:szCs w:val="32"/>
          <w:lang w:val="zh-CN"/>
        </w:rPr>
        <w:t>全面打响蓝天、碧水、净土、清废四场战役，国家“大气十条”“水十条”考核持续保持优秀，环境空气质量在长三角区域率先实现全省达标。</w:t>
      </w:r>
      <w:r>
        <w:rPr>
          <w:szCs w:val="32"/>
        </w:rPr>
        <w:t>2020年，设区城市细颗粒物（PM</w:t>
      </w:r>
      <w:r>
        <w:rPr>
          <w:szCs w:val="32"/>
          <w:vertAlign w:val="subscript"/>
        </w:rPr>
        <w:t>2.5</w:t>
      </w:r>
      <w:r>
        <w:rPr>
          <w:szCs w:val="32"/>
        </w:rPr>
        <w:t>）平均浓度为25微克/立方米，日空气质量优良天数比率达到93.3%，比2015年分别降低43.2%和提高9.5个百分点，50个县级以上城市建成清新空气示范区。全省地表水断面</w:t>
      </w:r>
      <w:r>
        <w:rPr>
          <w:rFonts w:eastAsia="宋体"/>
          <w:szCs w:val="32"/>
        </w:rPr>
        <w:t>Ⅰ</w:t>
      </w:r>
      <w:r>
        <w:rPr>
          <w:szCs w:val="32"/>
        </w:rPr>
        <w:t>—</w:t>
      </w:r>
      <w:r>
        <w:rPr>
          <w:rFonts w:eastAsia="宋体"/>
          <w:szCs w:val="32"/>
        </w:rPr>
        <w:t>Ⅲ</w:t>
      </w:r>
      <w:r>
        <w:rPr>
          <w:szCs w:val="32"/>
        </w:rPr>
        <w:t>类比例达到94.6%，比2015年提高21.7个百分点，提前三年完成消除劣Ⅴ类水质断面任务。</w:t>
      </w:r>
      <w:r>
        <w:rPr>
          <w:bCs/>
          <w:szCs w:val="32"/>
        </w:rPr>
        <w:t>近岸海域水质总体稳中有升，</w:t>
      </w:r>
      <w:r>
        <w:rPr>
          <w:szCs w:val="32"/>
        </w:rPr>
        <w:t>一、二类海水比例较2015年大幅提升，四类和劣四类比例大幅下降。在全国首个完成农用地土壤污染状况详查，高质量完成重点企业用地详查。超额完成受污染耕地、污染地块安全利用率目标和重点行业重点重金属污染减排目标，台州市土壤污染综合防治先行区建设走在全国前列。</w:t>
      </w:r>
      <w:r>
        <w:rPr>
          <w:szCs w:val="32"/>
          <w:lang w:bidi="ar"/>
        </w:rPr>
        <w:t>在全国首个出台农村污水处理设施管理条例，</w:t>
      </w:r>
      <w:r>
        <w:rPr>
          <w:szCs w:val="32"/>
        </w:rPr>
        <w:t>提前三年完成1.3万个行政村环境整治任务</w:t>
      </w:r>
      <w:r>
        <w:rPr>
          <w:szCs w:val="32"/>
          <w:lang w:bidi="ar"/>
        </w:rPr>
        <w:t>。</w:t>
      </w:r>
      <w:r>
        <w:rPr>
          <w:szCs w:val="32"/>
        </w:rPr>
        <w:t>在全国率先开展全域“无废城市”建设，构建覆盖全领域的固废处置监管制度体系，危险废物处置能力缺口基本补齐。全省化学需氧量、氨氮、二氧化硫和氮氧化物四项主要污染物总量控制超额完成“十三五”减排目标任务，单位生产总值二氧化碳排放量持续下降。“十三五”规划各项主要指标顺利完成。</w:t>
      </w:r>
    </w:p>
    <w:p>
      <w:pPr>
        <w:pStyle w:val="2"/>
        <w:spacing w:after="0" w:line="590" w:lineRule="exact"/>
        <w:ind w:left="0" w:leftChars="0" w:right="0" w:rightChars="0" w:firstLine="643" w:firstLineChars="200"/>
        <w:rPr>
          <w:szCs w:val="32"/>
          <w:lang w:val="zh-CN"/>
        </w:rPr>
      </w:pPr>
      <w:r>
        <w:rPr>
          <w:b/>
          <w:szCs w:val="32"/>
          <w:lang w:val="zh-CN"/>
        </w:rPr>
        <w:t>二是生态文明示范创建走在前列。</w:t>
      </w:r>
      <w:r>
        <w:rPr>
          <w:szCs w:val="32"/>
        </w:rPr>
        <w:t>以生态文明示范创建为抓手，持续推进“811”美丽浙江建设行动，建成全国首个生态省</w:t>
      </w:r>
      <w:r>
        <w:t>，“千万工程”获得联合国“地球卫士奖”，成功承办联合国世界环境日全球主场活动，“美丽浙江”影响力显著提升。稳步推进部省共建美丽中国示范区建设，首个发布省域美丽建设规划纲要，实现全省生态环境公众满意度连续9年上升，建成国家级生态文明建设示范市县和“绿水青山就是金山银山”实践创新基地个数居全国第一。</w:t>
      </w:r>
    </w:p>
    <w:p>
      <w:pPr>
        <w:pStyle w:val="2"/>
        <w:autoSpaceDE w:val="0"/>
        <w:autoSpaceDN w:val="0"/>
        <w:adjustRightInd w:val="0"/>
        <w:spacing w:after="0" w:line="590" w:lineRule="exact"/>
        <w:ind w:left="0" w:leftChars="0" w:right="0" w:rightChars="0" w:firstLine="643" w:firstLineChars="200"/>
        <w:rPr>
          <w:bCs/>
          <w:szCs w:val="32"/>
        </w:rPr>
      </w:pPr>
      <w:r>
        <w:rPr>
          <w:b/>
          <w:szCs w:val="32"/>
          <w:lang w:val="zh-CN"/>
        </w:rPr>
        <w:t>三是绿色发展基础不断夯实。</w:t>
      </w:r>
      <w:r>
        <w:rPr>
          <w:bCs/>
          <w:szCs w:val="32"/>
        </w:rPr>
        <w:t>不断推动形成绿色产业布局、产业结构和生产方式，</w:t>
      </w:r>
      <w:r>
        <w:rPr>
          <w:szCs w:val="32"/>
        </w:rPr>
        <w:t>制定实施国家重点生态功能区产业准入负面清单，</w:t>
      </w:r>
      <w:r>
        <w:rPr>
          <w:bCs/>
          <w:szCs w:val="32"/>
        </w:rPr>
        <w:t>绿色发展指数位居全国前列。积极</w:t>
      </w:r>
      <w:r>
        <w:rPr>
          <w:szCs w:val="32"/>
        </w:rPr>
        <w:t>服务大湾区、大花园、大通道、大都市区建设，先后发布实施《浙江省环境功能区划》《浙江省生态保护红线》《浙江省“三线一单”生态环境分区管控方案》，在全国率先形成覆盖全省的生态环境空间管控机制。通过治污倒逼转型升级，“十三五”</w:t>
      </w:r>
      <w:r>
        <w:rPr>
          <w:bCs/>
        </w:rPr>
        <w:t>累计淘汰改造燃煤小锅炉2.5万台，</w:t>
      </w:r>
      <w:r>
        <w:rPr>
          <w:szCs w:val="32"/>
        </w:rPr>
        <w:t>淘汰工业企业落后和过剩产能涉及9503家</w:t>
      </w:r>
      <w:r>
        <w:rPr>
          <w:bCs/>
        </w:rPr>
        <w:t>。</w:t>
      </w:r>
      <w:r>
        <w:rPr>
          <w:szCs w:val="32"/>
        </w:rPr>
        <w:t>以国家清洁能源示范省建设为抓手，强力推进能源消费总量和强度“双控”制度，在全国率先完成煤电超低排放改造。率先制定出台《浙江省温室气体清单管理办法》，对省市县三级清单相关活动实施统一管理和监督。</w:t>
      </w:r>
    </w:p>
    <w:p>
      <w:pPr>
        <w:pStyle w:val="2"/>
        <w:spacing w:after="0" w:line="590" w:lineRule="exact"/>
        <w:ind w:left="0" w:leftChars="0" w:right="0" w:rightChars="0" w:firstLine="643" w:firstLineChars="200"/>
        <w:rPr>
          <w:szCs w:val="32"/>
        </w:rPr>
      </w:pPr>
      <w:r>
        <w:rPr>
          <w:b/>
          <w:szCs w:val="32"/>
          <w:lang w:val="zh-CN"/>
        </w:rPr>
        <w:t>四是生态安全保障持续增强。</w:t>
      </w:r>
      <w:r>
        <w:rPr>
          <w:szCs w:val="32"/>
        </w:rPr>
        <w:t>推进国家公园体制试点，</w:t>
      </w:r>
      <w:r>
        <w:rPr>
          <w:szCs w:val="30"/>
        </w:rPr>
        <w:t>自然保护地体系建设不断提升，</w:t>
      </w:r>
      <w:r>
        <w:rPr>
          <w:szCs w:val="28"/>
        </w:rPr>
        <w:t>生物多样性保护水平不断提高，到2020年，累计建成省级以上自然保护区、森林公园、风景名胜区、湿地公园、地质公园、海洋特别保护区（海洋公园）310个，</w:t>
      </w:r>
      <w:r>
        <w:rPr>
          <w:szCs w:val="30"/>
        </w:rPr>
        <w:t>受保护地面积显著增加</w:t>
      </w:r>
      <w:r>
        <w:rPr>
          <w:szCs w:val="28"/>
        </w:rPr>
        <w:t>。</w:t>
      </w:r>
      <w:r>
        <w:rPr>
          <w:bCs/>
          <w:szCs w:val="32"/>
        </w:rPr>
        <w:t>划定并严守生态保护红线。</w:t>
      </w:r>
      <w:r>
        <w:rPr>
          <w:szCs w:val="28"/>
        </w:rPr>
        <w:t>设立淳安特别生态功能区。</w:t>
      </w:r>
      <w:r>
        <w:rPr>
          <w:bCs/>
          <w:szCs w:val="32"/>
        </w:rPr>
        <w:t>统筹推进山水林田湖草系统保护修复，实施了一系列湿地、矿山、河湖等生态系统整治和修复工程，生态系统功能得到有效提升，</w:t>
      </w:r>
      <w:r>
        <w:rPr>
          <w:szCs w:val="32"/>
        </w:rPr>
        <w:t>全省生态环境状况指数连续多年保持全国前列</w:t>
      </w:r>
      <w:r>
        <w:rPr>
          <w:bCs/>
          <w:szCs w:val="32"/>
        </w:rPr>
        <w:t>。</w:t>
      </w:r>
      <w:r>
        <w:rPr>
          <w:szCs w:val="32"/>
        </w:rPr>
        <w:t>建成覆盖省市县三级的应急预案体系，建成省级社会化环境应急储备中心及专业环境应急处置队伍。核与辐射安全得到全面保障。“十三五”以来，全省未发生较大以上突发环境事件。</w:t>
      </w:r>
    </w:p>
    <w:p>
      <w:pPr>
        <w:pStyle w:val="2"/>
        <w:spacing w:after="0" w:line="570" w:lineRule="exact"/>
        <w:ind w:left="0" w:leftChars="0" w:right="0" w:rightChars="0" w:firstLine="643" w:firstLineChars="200"/>
        <w:rPr>
          <w:szCs w:val="32"/>
        </w:rPr>
      </w:pPr>
      <w:r>
        <w:rPr>
          <w:b/>
          <w:szCs w:val="32"/>
          <w:lang w:val="zh-CN"/>
        </w:rPr>
        <w:t>五是环境治理现代化加速推进。</w:t>
      </w:r>
      <w:r>
        <w:rPr>
          <w:szCs w:val="32"/>
        </w:rPr>
        <w:t>以“最多跑一次”改革为牵引，重点领域和关键环节制度建设不断取得新突破。</w:t>
      </w:r>
      <w:r>
        <w:rPr>
          <w:bCs/>
          <w:szCs w:val="32"/>
        </w:rPr>
        <w:t>省级以上各类开发区和省级特色小镇基本实现“区域环评+环境标准”改革全覆盖。建立省市县乡四级全覆盖的生态环境状况报告制度，在全国率先实现省市县乡村五级河长全覆盖，率先实现省级层面公检法机关驻环保联络机构全覆盖，环境执法力度持续保持全国前列。建立生态环境损害赔偿制度，成立全国首家环境损害司法鉴定联合实验室。</w:t>
      </w:r>
      <w:r>
        <w:rPr>
          <w:szCs w:val="32"/>
        </w:rPr>
        <w:t>建立长三角区域大气和水污染防治协作机制，完善跨界环境处置和应急联动协调机制</w:t>
      </w:r>
      <w:r>
        <w:rPr>
          <w:bCs/>
          <w:szCs w:val="32"/>
        </w:rPr>
        <w:t>。</w:t>
      </w:r>
      <w:r>
        <w:rPr>
          <w:szCs w:val="32"/>
        </w:rPr>
        <w:t>推进环境监管能力建设和环保数字化转型，大气复合立体监测体系已基本形成，跨行政区域河流交接断面全面实现水质自动监测，布设完成全省国家网土壤监测网络和全省国控辐射环境空气自动监测网络，率先建设并应用浙江环境地图和生态环境保护综合协同管理平台。</w:t>
      </w:r>
    </w:p>
    <w:p>
      <w:pPr>
        <w:spacing w:before="240" w:beforeLines="100" w:after="240" w:afterLines="100" w:line="590" w:lineRule="exact"/>
        <w:jc w:val="center"/>
        <w:rPr>
          <w:rFonts w:eastAsia="黑体"/>
          <w:sz w:val="28"/>
          <w:szCs w:val="28"/>
        </w:rPr>
      </w:pPr>
      <w:r>
        <w:rPr>
          <w:rFonts w:eastAsia="黑体"/>
          <w:sz w:val="28"/>
          <w:szCs w:val="28"/>
          <w:lang w:bidi="ar"/>
        </w:rPr>
        <w:t>表1  “十三五”主要指标完成情况</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673"/>
        <w:gridCol w:w="602"/>
        <w:gridCol w:w="504"/>
        <w:gridCol w:w="1274"/>
        <w:gridCol w:w="1708"/>
        <w:gridCol w:w="1133"/>
        <w:gridCol w:w="1166"/>
        <w:gridCol w:w="1019"/>
        <w:gridCol w:w="7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blHeader/>
          <w:jc w:val="center"/>
        </w:trPr>
        <w:tc>
          <w:tcPr>
            <w:tcW w:w="673" w:type="dxa"/>
            <w:tcMar>
              <w:top w:w="0" w:type="dxa"/>
              <w:left w:w="108" w:type="dxa"/>
              <w:bottom w:w="0" w:type="dxa"/>
              <w:right w:w="108" w:type="dxa"/>
            </w:tcMar>
            <w:vAlign w:val="center"/>
          </w:tcPr>
          <w:p>
            <w:pPr>
              <w:widowControl/>
              <w:adjustRightInd w:val="0"/>
              <w:snapToGrid w:val="0"/>
              <w:ind w:left="-160" w:leftChars="-50" w:right="-160" w:rightChars="-50"/>
              <w:jc w:val="center"/>
              <w:rPr>
                <w:rFonts w:hint="eastAsia" w:eastAsia="黑体"/>
                <w:bCs/>
                <w:kern w:val="0"/>
                <w:sz w:val="24"/>
              </w:rPr>
            </w:pPr>
            <w:r>
              <w:rPr>
                <w:rFonts w:eastAsia="黑体"/>
                <w:bCs/>
                <w:kern w:val="0"/>
                <w:sz w:val="24"/>
              </w:rPr>
              <w:t>指标</w:t>
            </w:r>
          </w:p>
          <w:p>
            <w:pPr>
              <w:widowControl/>
              <w:adjustRightInd w:val="0"/>
              <w:snapToGrid w:val="0"/>
              <w:ind w:left="-160" w:leftChars="-50" w:right="-160" w:rightChars="-50"/>
              <w:jc w:val="center"/>
              <w:rPr>
                <w:rFonts w:eastAsia="黑体"/>
                <w:bCs/>
                <w:kern w:val="0"/>
                <w:sz w:val="24"/>
              </w:rPr>
            </w:pPr>
            <w:r>
              <w:rPr>
                <w:rFonts w:eastAsia="黑体"/>
                <w:bCs/>
                <w:kern w:val="0"/>
                <w:sz w:val="24"/>
              </w:rPr>
              <w:t>性质</w:t>
            </w:r>
          </w:p>
        </w:tc>
        <w:tc>
          <w:tcPr>
            <w:tcW w:w="602" w:type="dxa"/>
            <w:tcMar>
              <w:top w:w="0" w:type="dxa"/>
              <w:left w:w="108" w:type="dxa"/>
              <w:bottom w:w="0" w:type="dxa"/>
              <w:right w:w="108" w:type="dxa"/>
            </w:tcMar>
            <w:vAlign w:val="center"/>
          </w:tcPr>
          <w:p>
            <w:pPr>
              <w:widowControl/>
              <w:adjustRightInd w:val="0"/>
              <w:snapToGrid w:val="0"/>
              <w:ind w:left="-160" w:leftChars="-50" w:right="-160" w:rightChars="-50"/>
              <w:jc w:val="center"/>
              <w:rPr>
                <w:rFonts w:hint="eastAsia" w:eastAsia="黑体"/>
                <w:bCs/>
                <w:kern w:val="0"/>
                <w:sz w:val="24"/>
              </w:rPr>
            </w:pPr>
            <w:r>
              <w:rPr>
                <w:rFonts w:eastAsia="黑体"/>
                <w:bCs/>
                <w:kern w:val="0"/>
                <w:sz w:val="24"/>
              </w:rPr>
              <w:t>指标</w:t>
            </w:r>
          </w:p>
          <w:p>
            <w:pPr>
              <w:widowControl/>
              <w:adjustRightInd w:val="0"/>
              <w:snapToGrid w:val="0"/>
              <w:ind w:left="-160" w:leftChars="-50" w:right="-160" w:rightChars="-50"/>
              <w:jc w:val="center"/>
              <w:rPr>
                <w:rFonts w:eastAsia="黑体"/>
                <w:bCs/>
                <w:kern w:val="0"/>
                <w:sz w:val="24"/>
              </w:rPr>
            </w:pPr>
            <w:r>
              <w:rPr>
                <w:rFonts w:eastAsia="黑体"/>
                <w:bCs/>
                <w:kern w:val="0"/>
                <w:sz w:val="24"/>
              </w:rPr>
              <w:t>类别</w:t>
            </w:r>
          </w:p>
        </w:tc>
        <w:tc>
          <w:tcPr>
            <w:tcW w:w="504" w:type="dxa"/>
            <w:tcMar>
              <w:top w:w="0" w:type="dxa"/>
              <w:left w:w="108" w:type="dxa"/>
              <w:bottom w:w="0" w:type="dxa"/>
              <w:right w:w="108" w:type="dxa"/>
            </w:tcMar>
            <w:vAlign w:val="center"/>
          </w:tcPr>
          <w:p>
            <w:pPr>
              <w:widowControl/>
              <w:adjustRightInd w:val="0"/>
              <w:snapToGrid w:val="0"/>
              <w:jc w:val="center"/>
              <w:rPr>
                <w:rFonts w:eastAsia="黑体"/>
                <w:bCs/>
                <w:kern w:val="0"/>
                <w:sz w:val="24"/>
              </w:rPr>
            </w:pPr>
            <w:r>
              <w:rPr>
                <w:rFonts w:eastAsia="黑体"/>
                <w:bCs/>
                <w:kern w:val="0"/>
                <w:sz w:val="24"/>
              </w:rPr>
              <w:t>序号</w:t>
            </w:r>
          </w:p>
        </w:tc>
        <w:tc>
          <w:tcPr>
            <w:tcW w:w="2982" w:type="dxa"/>
            <w:gridSpan w:val="2"/>
            <w:tcMar>
              <w:top w:w="0" w:type="dxa"/>
              <w:left w:w="108" w:type="dxa"/>
              <w:bottom w:w="0" w:type="dxa"/>
              <w:right w:w="108" w:type="dxa"/>
            </w:tcMar>
            <w:vAlign w:val="center"/>
          </w:tcPr>
          <w:p>
            <w:pPr>
              <w:widowControl/>
              <w:adjustRightInd w:val="0"/>
              <w:snapToGrid w:val="0"/>
              <w:jc w:val="center"/>
              <w:rPr>
                <w:rFonts w:eastAsia="黑体"/>
                <w:bCs/>
                <w:kern w:val="0"/>
                <w:sz w:val="24"/>
              </w:rPr>
            </w:pPr>
            <w:r>
              <w:rPr>
                <w:rFonts w:eastAsia="黑体"/>
                <w:bCs/>
                <w:kern w:val="0"/>
                <w:sz w:val="24"/>
              </w:rPr>
              <w:t>指</w:t>
            </w:r>
            <w:r>
              <w:rPr>
                <w:rFonts w:hint="eastAsia" w:eastAsia="黑体"/>
                <w:bCs/>
                <w:kern w:val="0"/>
                <w:sz w:val="24"/>
              </w:rPr>
              <w:t xml:space="preserve"> </w:t>
            </w:r>
            <w:r>
              <w:rPr>
                <w:rFonts w:eastAsia="黑体"/>
                <w:bCs/>
                <w:kern w:val="0"/>
                <w:sz w:val="24"/>
              </w:rPr>
              <w:t>标</w:t>
            </w:r>
            <w:r>
              <w:rPr>
                <w:rFonts w:hint="eastAsia" w:eastAsia="黑体"/>
                <w:bCs/>
                <w:kern w:val="0"/>
                <w:sz w:val="24"/>
              </w:rPr>
              <w:t xml:space="preserve"> </w:t>
            </w:r>
            <w:r>
              <w:rPr>
                <w:rFonts w:eastAsia="黑体"/>
                <w:bCs/>
                <w:kern w:val="0"/>
                <w:sz w:val="24"/>
              </w:rPr>
              <w:t>名</w:t>
            </w:r>
            <w:r>
              <w:rPr>
                <w:rFonts w:hint="eastAsia" w:eastAsia="黑体"/>
                <w:bCs/>
                <w:kern w:val="0"/>
                <w:sz w:val="24"/>
              </w:rPr>
              <w:t xml:space="preserve"> </w:t>
            </w:r>
            <w:r>
              <w:rPr>
                <w:rFonts w:eastAsia="黑体"/>
                <w:bCs/>
                <w:kern w:val="0"/>
                <w:sz w:val="24"/>
              </w:rPr>
              <w:t>称</w:t>
            </w:r>
          </w:p>
        </w:tc>
        <w:tc>
          <w:tcPr>
            <w:tcW w:w="1133" w:type="dxa"/>
            <w:tcMar>
              <w:top w:w="0" w:type="dxa"/>
              <w:left w:w="108" w:type="dxa"/>
              <w:bottom w:w="0" w:type="dxa"/>
              <w:right w:w="108" w:type="dxa"/>
            </w:tcMar>
            <w:vAlign w:val="center"/>
          </w:tcPr>
          <w:p>
            <w:pPr>
              <w:widowControl/>
              <w:adjustRightInd w:val="0"/>
              <w:snapToGrid w:val="0"/>
              <w:jc w:val="center"/>
              <w:rPr>
                <w:rFonts w:hint="eastAsia" w:eastAsia="黑体"/>
                <w:bCs/>
                <w:kern w:val="0"/>
                <w:sz w:val="24"/>
              </w:rPr>
            </w:pPr>
            <w:r>
              <w:rPr>
                <w:rFonts w:eastAsia="黑体"/>
                <w:bCs/>
                <w:kern w:val="0"/>
                <w:sz w:val="24"/>
              </w:rPr>
              <w:t>2015年</w:t>
            </w:r>
          </w:p>
          <w:p>
            <w:pPr>
              <w:widowControl/>
              <w:adjustRightInd w:val="0"/>
              <w:snapToGrid w:val="0"/>
              <w:jc w:val="center"/>
              <w:rPr>
                <w:rFonts w:eastAsia="黑体"/>
                <w:bCs/>
                <w:kern w:val="0"/>
                <w:sz w:val="24"/>
              </w:rPr>
            </w:pPr>
            <w:r>
              <w:rPr>
                <w:rFonts w:eastAsia="黑体"/>
                <w:bCs/>
                <w:kern w:val="0"/>
                <w:sz w:val="24"/>
              </w:rPr>
              <w:t>值</w:t>
            </w:r>
          </w:p>
        </w:tc>
        <w:tc>
          <w:tcPr>
            <w:tcW w:w="1166" w:type="dxa"/>
            <w:tcMar>
              <w:top w:w="0" w:type="dxa"/>
              <w:left w:w="108" w:type="dxa"/>
              <w:bottom w:w="0" w:type="dxa"/>
              <w:right w:w="108" w:type="dxa"/>
            </w:tcMar>
            <w:vAlign w:val="center"/>
          </w:tcPr>
          <w:p>
            <w:pPr>
              <w:widowControl/>
              <w:adjustRightInd w:val="0"/>
              <w:snapToGrid w:val="0"/>
              <w:jc w:val="center"/>
              <w:rPr>
                <w:rFonts w:hint="eastAsia" w:eastAsia="黑体"/>
                <w:bCs/>
                <w:kern w:val="0"/>
                <w:sz w:val="24"/>
              </w:rPr>
            </w:pPr>
            <w:r>
              <w:rPr>
                <w:rFonts w:eastAsia="黑体"/>
                <w:bCs/>
                <w:kern w:val="0"/>
                <w:sz w:val="24"/>
              </w:rPr>
              <w:t>“十三五”</w:t>
            </w:r>
          </w:p>
          <w:p>
            <w:pPr>
              <w:widowControl/>
              <w:adjustRightInd w:val="0"/>
              <w:snapToGrid w:val="0"/>
              <w:jc w:val="center"/>
              <w:rPr>
                <w:rFonts w:eastAsia="黑体"/>
                <w:bCs/>
                <w:kern w:val="0"/>
                <w:sz w:val="24"/>
              </w:rPr>
            </w:pPr>
            <w:r>
              <w:rPr>
                <w:rFonts w:eastAsia="黑体"/>
                <w:bCs/>
                <w:kern w:val="0"/>
                <w:sz w:val="24"/>
              </w:rPr>
              <w:t>目标值</w:t>
            </w:r>
          </w:p>
        </w:tc>
        <w:tc>
          <w:tcPr>
            <w:tcW w:w="1019" w:type="dxa"/>
            <w:tcMar>
              <w:top w:w="0" w:type="dxa"/>
              <w:left w:w="108" w:type="dxa"/>
              <w:bottom w:w="0" w:type="dxa"/>
              <w:right w:w="108" w:type="dxa"/>
            </w:tcMar>
            <w:vAlign w:val="center"/>
          </w:tcPr>
          <w:p>
            <w:pPr>
              <w:widowControl/>
              <w:adjustRightInd w:val="0"/>
              <w:snapToGrid w:val="0"/>
              <w:jc w:val="center"/>
              <w:rPr>
                <w:rFonts w:eastAsia="黑体"/>
                <w:bCs/>
                <w:kern w:val="0"/>
                <w:sz w:val="24"/>
              </w:rPr>
            </w:pPr>
            <w:r>
              <w:rPr>
                <w:rFonts w:eastAsia="黑体"/>
                <w:bCs/>
                <w:kern w:val="0"/>
                <w:sz w:val="24"/>
              </w:rPr>
              <w:t>2020年完成值</w:t>
            </w:r>
          </w:p>
        </w:tc>
        <w:tc>
          <w:tcPr>
            <w:tcW w:w="766" w:type="dxa"/>
            <w:tcMar>
              <w:top w:w="0" w:type="dxa"/>
              <w:left w:w="108" w:type="dxa"/>
              <w:bottom w:w="0" w:type="dxa"/>
              <w:right w:w="108" w:type="dxa"/>
            </w:tcMar>
            <w:vAlign w:val="center"/>
          </w:tcPr>
          <w:p>
            <w:pPr>
              <w:widowControl/>
              <w:adjustRightInd w:val="0"/>
              <w:snapToGrid w:val="0"/>
              <w:jc w:val="center"/>
              <w:rPr>
                <w:rFonts w:eastAsia="黑体"/>
                <w:bCs/>
                <w:kern w:val="0"/>
                <w:sz w:val="24"/>
              </w:rPr>
            </w:pPr>
            <w:r>
              <w:rPr>
                <w:rFonts w:eastAsia="黑体"/>
                <w:bCs/>
                <w:kern w:val="0"/>
                <w:sz w:val="24"/>
              </w:rPr>
              <w:t>完成情况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jc w:val="center"/>
        </w:trPr>
        <w:tc>
          <w:tcPr>
            <w:tcW w:w="673" w:type="dxa"/>
            <w:vMerge w:val="restart"/>
            <w:tcMar>
              <w:top w:w="0" w:type="dxa"/>
              <w:left w:w="108" w:type="dxa"/>
              <w:bottom w:w="0" w:type="dxa"/>
              <w:right w:w="108" w:type="dxa"/>
            </w:tcMar>
            <w:vAlign w:val="center"/>
          </w:tcPr>
          <w:p>
            <w:pPr>
              <w:widowControl/>
              <w:adjustRightInd w:val="0"/>
              <w:snapToGrid w:val="0"/>
              <w:jc w:val="center"/>
              <w:rPr>
                <w:rFonts w:hint="eastAsia"/>
                <w:bCs/>
                <w:kern w:val="0"/>
                <w:sz w:val="24"/>
                <w:lang w:bidi="ar"/>
              </w:rPr>
            </w:pPr>
            <w:r>
              <w:rPr>
                <w:bCs/>
                <w:kern w:val="0"/>
                <w:sz w:val="24"/>
                <w:lang w:bidi="ar"/>
              </w:rPr>
              <w:t>约</w:t>
            </w:r>
          </w:p>
          <w:p>
            <w:pPr>
              <w:widowControl/>
              <w:adjustRightInd w:val="0"/>
              <w:snapToGrid w:val="0"/>
              <w:jc w:val="center"/>
              <w:rPr>
                <w:rFonts w:hint="eastAsia"/>
                <w:bCs/>
                <w:kern w:val="0"/>
                <w:sz w:val="24"/>
                <w:lang w:bidi="ar"/>
              </w:rPr>
            </w:pPr>
            <w:r>
              <w:rPr>
                <w:bCs/>
                <w:kern w:val="0"/>
                <w:sz w:val="24"/>
                <w:lang w:bidi="ar"/>
              </w:rPr>
              <w:t>束</w:t>
            </w:r>
          </w:p>
          <w:p>
            <w:pPr>
              <w:widowControl/>
              <w:adjustRightInd w:val="0"/>
              <w:snapToGrid w:val="0"/>
              <w:jc w:val="center"/>
              <w:rPr>
                <w:rFonts w:hint="eastAsia"/>
                <w:bCs/>
                <w:kern w:val="0"/>
                <w:sz w:val="24"/>
                <w:lang w:bidi="ar"/>
              </w:rPr>
            </w:pPr>
            <w:r>
              <w:rPr>
                <w:bCs/>
                <w:kern w:val="0"/>
                <w:sz w:val="24"/>
                <w:lang w:bidi="ar"/>
              </w:rPr>
              <w:t>性</w:t>
            </w:r>
          </w:p>
          <w:p>
            <w:pPr>
              <w:widowControl/>
              <w:adjustRightInd w:val="0"/>
              <w:snapToGrid w:val="0"/>
              <w:jc w:val="center"/>
              <w:rPr>
                <w:rFonts w:hint="eastAsia"/>
                <w:bCs/>
                <w:kern w:val="0"/>
                <w:sz w:val="24"/>
                <w:lang w:bidi="ar"/>
              </w:rPr>
            </w:pPr>
            <w:r>
              <w:rPr>
                <w:bCs/>
                <w:kern w:val="0"/>
                <w:sz w:val="24"/>
                <w:lang w:bidi="ar"/>
              </w:rPr>
              <w:t>指</w:t>
            </w:r>
          </w:p>
          <w:p>
            <w:pPr>
              <w:widowControl/>
              <w:adjustRightInd w:val="0"/>
              <w:snapToGrid w:val="0"/>
              <w:jc w:val="center"/>
              <w:rPr>
                <w:bCs/>
                <w:kern w:val="0"/>
                <w:sz w:val="24"/>
              </w:rPr>
            </w:pPr>
            <w:r>
              <w:rPr>
                <w:bCs/>
                <w:kern w:val="0"/>
                <w:sz w:val="24"/>
                <w:lang w:bidi="ar"/>
              </w:rPr>
              <w:t>标</w:t>
            </w:r>
          </w:p>
        </w:tc>
        <w:tc>
          <w:tcPr>
            <w:tcW w:w="602" w:type="dxa"/>
            <w:vMerge w:val="restart"/>
            <w:tcMar>
              <w:top w:w="0" w:type="dxa"/>
              <w:left w:w="108" w:type="dxa"/>
              <w:bottom w:w="0" w:type="dxa"/>
              <w:right w:w="108" w:type="dxa"/>
            </w:tcMar>
            <w:vAlign w:val="center"/>
          </w:tcPr>
          <w:p>
            <w:pPr>
              <w:widowControl/>
              <w:adjustRightInd w:val="0"/>
              <w:snapToGrid w:val="0"/>
              <w:jc w:val="center"/>
              <w:rPr>
                <w:bCs/>
                <w:kern w:val="0"/>
                <w:sz w:val="24"/>
              </w:rPr>
            </w:pPr>
            <w:r>
              <w:rPr>
                <w:bCs/>
                <w:kern w:val="0"/>
                <w:sz w:val="24"/>
                <w:lang w:bidi="ar"/>
              </w:rPr>
              <w:t>环境质量</w:t>
            </w:r>
          </w:p>
        </w:tc>
        <w:tc>
          <w:tcPr>
            <w:tcW w:w="504" w:type="dxa"/>
            <w:tcMar>
              <w:top w:w="0" w:type="dxa"/>
              <w:left w:w="108" w:type="dxa"/>
              <w:bottom w:w="0" w:type="dxa"/>
              <w:right w:w="108" w:type="dxa"/>
            </w:tcMar>
            <w:vAlign w:val="center"/>
          </w:tcPr>
          <w:p>
            <w:pPr>
              <w:widowControl/>
              <w:adjustRightInd w:val="0"/>
              <w:snapToGrid w:val="0"/>
              <w:jc w:val="center"/>
              <w:rPr>
                <w:bCs/>
                <w:kern w:val="0"/>
                <w:sz w:val="24"/>
              </w:rPr>
            </w:pPr>
            <w:r>
              <w:rPr>
                <w:bCs/>
                <w:kern w:val="0"/>
                <w:sz w:val="24"/>
                <w:lang w:bidi="ar"/>
              </w:rPr>
              <w:t>1</w:t>
            </w:r>
          </w:p>
        </w:tc>
        <w:tc>
          <w:tcPr>
            <w:tcW w:w="2982" w:type="dxa"/>
            <w:gridSpan w:val="2"/>
            <w:tcMar>
              <w:top w:w="0" w:type="dxa"/>
              <w:left w:w="108" w:type="dxa"/>
              <w:bottom w:w="0" w:type="dxa"/>
              <w:right w:w="108" w:type="dxa"/>
            </w:tcMar>
            <w:vAlign w:val="center"/>
          </w:tcPr>
          <w:p>
            <w:pPr>
              <w:widowControl/>
              <w:adjustRightInd w:val="0"/>
              <w:snapToGrid w:val="0"/>
              <w:jc w:val="center"/>
              <w:rPr>
                <w:bCs/>
                <w:kern w:val="0"/>
                <w:sz w:val="24"/>
              </w:rPr>
            </w:pPr>
            <w:r>
              <w:rPr>
                <w:kern w:val="0"/>
                <w:sz w:val="24"/>
                <w:lang w:bidi="ar"/>
              </w:rPr>
              <w:t>省控断面</w:t>
            </w:r>
            <w:r>
              <w:rPr>
                <w:rFonts w:eastAsia="宋体"/>
                <w:kern w:val="0"/>
                <w:sz w:val="24"/>
                <w:lang w:bidi="ar"/>
              </w:rPr>
              <w:t>Ⅰ</w:t>
            </w:r>
            <w:r>
              <w:rPr>
                <w:kern w:val="0"/>
                <w:sz w:val="24"/>
                <w:lang w:bidi="ar"/>
              </w:rPr>
              <w:t>-</w:t>
            </w:r>
            <w:r>
              <w:rPr>
                <w:rFonts w:eastAsia="宋体"/>
                <w:kern w:val="0"/>
                <w:sz w:val="24"/>
                <w:lang w:bidi="ar"/>
              </w:rPr>
              <w:t>Ⅲ</w:t>
            </w:r>
            <w:r>
              <w:rPr>
                <w:kern w:val="0"/>
                <w:sz w:val="24"/>
                <w:lang w:bidi="ar"/>
              </w:rPr>
              <w:t>类水质比例（%）</w:t>
            </w:r>
          </w:p>
        </w:tc>
        <w:tc>
          <w:tcPr>
            <w:tcW w:w="1133" w:type="dxa"/>
            <w:tcMar>
              <w:top w:w="0" w:type="dxa"/>
              <w:left w:w="108" w:type="dxa"/>
              <w:bottom w:w="0" w:type="dxa"/>
              <w:right w:w="108" w:type="dxa"/>
            </w:tcMar>
            <w:vAlign w:val="center"/>
          </w:tcPr>
          <w:p>
            <w:pPr>
              <w:widowControl/>
              <w:adjustRightInd w:val="0"/>
              <w:snapToGrid w:val="0"/>
              <w:jc w:val="center"/>
              <w:rPr>
                <w:bCs/>
                <w:kern w:val="0"/>
                <w:sz w:val="24"/>
              </w:rPr>
            </w:pPr>
            <w:r>
              <w:rPr>
                <w:kern w:val="0"/>
                <w:sz w:val="24"/>
                <w:lang w:bidi="ar"/>
              </w:rPr>
              <w:t>72.9</w:t>
            </w:r>
          </w:p>
        </w:tc>
        <w:tc>
          <w:tcPr>
            <w:tcW w:w="1166" w:type="dxa"/>
            <w:tcMar>
              <w:top w:w="0" w:type="dxa"/>
              <w:left w:w="108" w:type="dxa"/>
              <w:bottom w:w="0" w:type="dxa"/>
              <w:right w:w="108" w:type="dxa"/>
            </w:tcMar>
            <w:vAlign w:val="center"/>
          </w:tcPr>
          <w:p>
            <w:pPr>
              <w:widowControl/>
              <w:adjustRightInd w:val="0"/>
              <w:snapToGrid w:val="0"/>
              <w:jc w:val="center"/>
              <w:rPr>
                <w:bCs/>
                <w:kern w:val="0"/>
                <w:sz w:val="24"/>
              </w:rPr>
            </w:pPr>
            <w:r>
              <w:rPr>
                <w:kern w:val="0"/>
                <w:sz w:val="24"/>
                <w:lang w:bidi="ar"/>
              </w:rPr>
              <w:t>80</w:t>
            </w:r>
          </w:p>
        </w:tc>
        <w:tc>
          <w:tcPr>
            <w:tcW w:w="1019" w:type="dxa"/>
            <w:tcMar>
              <w:top w:w="0" w:type="dxa"/>
              <w:left w:w="108" w:type="dxa"/>
              <w:bottom w:w="0" w:type="dxa"/>
              <w:right w:w="108" w:type="dxa"/>
            </w:tcMar>
            <w:vAlign w:val="center"/>
          </w:tcPr>
          <w:p>
            <w:pPr>
              <w:widowControl/>
              <w:adjustRightInd w:val="0"/>
              <w:snapToGrid w:val="0"/>
              <w:jc w:val="center"/>
              <w:rPr>
                <w:bCs/>
                <w:kern w:val="0"/>
                <w:sz w:val="24"/>
              </w:rPr>
            </w:pPr>
            <w:r>
              <w:rPr>
                <w:bCs/>
                <w:kern w:val="0"/>
                <w:sz w:val="24"/>
                <w:lang w:bidi="ar"/>
              </w:rPr>
              <w:t>94.6</w:t>
            </w:r>
          </w:p>
        </w:tc>
        <w:tc>
          <w:tcPr>
            <w:tcW w:w="766" w:type="dxa"/>
            <w:tcMar>
              <w:top w:w="0" w:type="dxa"/>
              <w:left w:w="108" w:type="dxa"/>
              <w:bottom w:w="0" w:type="dxa"/>
              <w:right w:w="108" w:type="dxa"/>
            </w:tcMar>
            <w:vAlign w:val="center"/>
          </w:tcPr>
          <w:p>
            <w:pPr>
              <w:widowControl/>
              <w:adjustRightInd w:val="0"/>
              <w:snapToGrid w:val="0"/>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73" w:type="dxa"/>
            <w:vMerge w:val="continue"/>
            <w:tcMar>
              <w:top w:w="0" w:type="dxa"/>
              <w:left w:w="108" w:type="dxa"/>
              <w:bottom w:w="0" w:type="dxa"/>
              <w:right w:w="108" w:type="dxa"/>
            </w:tcMar>
            <w:vAlign w:val="center"/>
          </w:tcPr>
          <w:p>
            <w:pPr>
              <w:adjustRightInd w:val="0"/>
              <w:snapToGrid w:val="0"/>
              <w:jc w:val="center"/>
              <w:rPr>
                <w:sz w:val="20"/>
                <w:szCs w:val="20"/>
              </w:rPr>
            </w:pPr>
          </w:p>
        </w:tc>
        <w:tc>
          <w:tcPr>
            <w:tcW w:w="602" w:type="dxa"/>
            <w:vMerge w:val="continue"/>
            <w:tcMar>
              <w:top w:w="0" w:type="dxa"/>
              <w:left w:w="108" w:type="dxa"/>
              <w:bottom w:w="0" w:type="dxa"/>
              <w:right w:w="108" w:type="dxa"/>
            </w:tcMar>
            <w:vAlign w:val="center"/>
          </w:tcPr>
          <w:p>
            <w:pPr>
              <w:adjustRightInd w:val="0"/>
              <w:snapToGrid w:val="0"/>
              <w:jc w:val="center"/>
              <w:rPr>
                <w:sz w:val="20"/>
                <w:szCs w:val="20"/>
              </w:rPr>
            </w:pPr>
          </w:p>
        </w:tc>
        <w:tc>
          <w:tcPr>
            <w:tcW w:w="504" w:type="dxa"/>
            <w:tcMar>
              <w:top w:w="0" w:type="dxa"/>
              <w:left w:w="108" w:type="dxa"/>
              <w:bottom w:w="0" w:type="dxa"/>
              <w:right w:w="108" w:type="dxa"/>
            </w:tcMar>
            <w:vAlign w:val="center"/>
          </w:tcPr>
          <w:p>
            <w:pPr>
              <w:widowControl/>
              <w:adjustRightInd w:val="0"/>
              <w:snapToGrid w:val="0"/>
              <w:jc w:val="center"/>
              <w:rPr>
                <w:bCs/>
                <w:kern w:val="0"/>
                <w:sz w:val="24"/>
              </w:rPr>
            </w:pPr>
            <w:r>
              <w:rPr>
                <w:bCs/>
                <w:kern w:val="0"/>
                <w:sz w:val="24"/>
                <w:lang w:bidi="ar"/>
              </w:rPr>
              <w:t>2</w:t>
            </w:r>
          </w:p>
        </w:tc>
        <w:tc>
          <w:tcPr>
            <w:tcW w:w="2982" w:type="dxa"/>
            <w:gridSpan w:val="2"/>
            <w:tcMar>
              <w:top w:w="0" w:type="dxa"/>
              <w:left w:w="108" w:type="dxa"/>
              <w:bottom w:w="0" w:type="dxa"/>
              <w:right w:w="108" w:type="dxa"/>
            </w:tcMar>
            <w:vAlign w:val="center"/>
          </w:tcPr>
          <w:p>
            <w:pPr>
              <w:widowControl/>
              <w:adjustRightInd w:val="0"/>
              <w:snapToGrid w:val="0"/>
              <w:jc w:val="center"/>
              <w:rPr>
                <w:bCs/>
                <w:kern w:val="0"/>
                <w:sz w:val="24"/>
              </w:rPr>
            </w:pPr>
            <w:r>
              <w:rPr>
                <w:kern w:val="0"/>
                <w:sz w:val="24"/>
                <w:lang w:bidi="ar"/>
              </w:rPr>
              <w:t>劣V类水质断面（%）</w:t>
            </w:r>
          </w:p>
        </w:tc>
        <w:tc>
          <w:tcPr>
            <w:tcW w:w="1133" w:type="dxa"/>
            <w:tcMar>
              <w:top w:w="0" w:type="dxa"/>
              <w:left w:w="108" w:type="dxa"/>
              <w:bottom w:w="0" w:type="dxa"/>
              <w:right w:w="108" w:type="dxa"/>
            </w:tcMar>
            <w:vAlign w:val="center"/>
          </w:tcPr>
          <w:p>
            <w:pPr>
              <w:widowControl/>
              <w:adjustRightInd w:val="0"/>
              <w:snapToGrid w:val="0"/>
              <w:jc w:val="center"/>
              <w:rPr>
                <w:bCs/>
                <w:kern w:val="0"/>
                <w:sz w:val="24"/>
              </w:rPr>
            </w:pPr>
            <w:r>
              <w:rPr>
                <w:kern w:val="0"/>
                <w:sz w:val="24"/>
                <w:lang w:bidi="ar"/>
              </w:rPr>
              <w:t>6.8</w:t>
            </w:r>
          </w:p>
        </w:tc>
        <w:tc>
          <w:tcPr>
            <w:tcW w:w="1166" w:type="dxa"/>
            <w:tcMar>
              <w:top w:w="0" w:type="dxa"/>
              <w:left w:w="108" w:type="dxa"/>
              <w:bottom w:w="0" w:type="dxa"/>
              <w:right w:w="108" w:type="dxa"/>
            </w:tcMar>
            <w:vAlign w:val="center"/>
          </w:tcPr>
          <w:p>
            <w:pPr>
              <w:widowControl/>
              <w:adjustRightInd w:val="0"/>
              <w:snapToGrid w:val="0"/>
              <w:ind w:left="-160" w:leftChars="-50" w:right="-160" w:rightChars="-50"/>
              <w:jc w:val="center"/>
              <w:rPr>
                <w:bCs/>
                <w:kern w:val="0"/>
                <w:sz w:val="24"/>
              </w:rPr>
            </w:pPr>
            <w:r>
              <w:rPr>
                <w:kern w:val="0"/>
                <w:sz w:val="24"/>
                <w:lang w:bidi="ar"/>
              </w:rPr>
              <w:t>全面消除</w:t>
            </w:r>
          </w:p>
        </w:tc>
        <w:tc>
          <w:tcPr>
            <w:tcW w:w="1019" w:type="dxa"/>
            <w:tcMar>
              <w:top w:w="0" w:type="dxa"/>
              <w:left w:w="108" w:type="dxa"/>
              <w:bottom w:w="0" w:type="dxa"/>
              <w:right w:w="108" w:type="dxa"/>
            </w:tcMar>
            <w:vAlign w:val="center"/>
          </w:tcPr>
          <w:p>
            <w:pPr>
              <w:widowControl/>
              <w:adjustRightInd w:val="0"/>
              <w:snapToGrid w:val="0"/>
              <w:jc w:val="center"/>
              <w:rPr>
                <w:bCs/>
                <w:kern w:val="0"/>
                <w:sz w:val="24"/>
              </w:rPr>
            </w:pPr>
            <w:r>
              <w:rPr>
                <w:bCs/>
                <w:kern w:val="0"/>
                <w:sz w:val="24"/>
                <w:lang w:bidi="ar"/>
              </w:rPr>
              <w:t>0</w:t>
            </w:r>
          </w:p>
        </w:tc>
        <w:tc>
          <w:tcPr>
            <w:tcW w:w="766" w:type="dxa"/>
            <w:tcMar>
              <w:top w:w="0" w:type="dxa"/>
              <w:left w:w="108" w:type="dxa"/>
              <w:bottom w:w="0" w:type="dxa"/>
              <w:right w:w="108" w:type="dxa"/>
            </w:tcMar>
            <w:vAlign w:val="center"/>
          </w:tcPr>
          <w:p>
            <w:pPr>
              <w:widowControl/>
              <w:adjustRightInd w:val="0"/>
              <w:snapToGrid w:val="0"/>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19" w:hRule="atLeast"/>
          <w:jc w:val="center"/>
        </w:trPr>
        <w:tc>
          <w:tcPr>
            <w:tcW w:w="673" w:type="dxa"/>
            <w:vMerge w:val="continue"/>
            <w:tcMar>
              <w:top w:w="0" w:type="dxa"/>
              <w:left w:w="108" w:type="dxa"/>
              <w:bottom w:w="0" w:type="dxa"/>
              <w:right w:w="108" w:type="dxa"/>
            </w:tcMar>
            <w:vAlign w:val="center"/>
          </w:tcPr>
          <w:p>
            <w:pPr>
              <w:adjustRightInd w:val="0"/>
              <w:snapToGrid w:val="0"/>
              <w:jc w:val="center"/>
              <w:rPr>
                <w:sz w:val="20"/>
                <w:szCs w:val="20"/>
              </w:rPr>
            </w:pPr>
          </w:p>
        </w:tc>
        <w:tc>
          <w:tcPr>
            <w:tcW w:w="602" w:type="dxa"/>
            <w:vMerge w:val="continue"/>
            <w:tcMar>
              <w:top w:w="0" w:type="dxa"/>
              <w:left w:w="108" w:type="dxa"/>
              <w:bottom w:w="0" w:type="dxa"/>
              <w:right w:w="108" w:type="dxa"/>
            </w:tcMar>
            <w:vAlign w:val="center"/>
          </w:tcPr>
          <w:p>
            <w:pPr>
              <w:adjustRightInd w:val="0"/>
              <w:snapToGrid w:val="0"/>
              <w:jc w:val="center"/>
              <w:rPr>
                <w:sz w:val="20"/>
                <w:szCs w:val="20"/>
              </w:rPr>
            </w:pPr>
          </w:p>
        </w:tc>
        <w:tc>
          <w:tcPr>
            <w:tcW w:w="504" w:type="dxa"/>
            <w:tcMar>
              <w:top w:w="0" w:type="dxa"/>
              <w:left w:w="108" w:type="dxa"/>
              <w:bottom w:w="0" w:type="dxa"/>
              <w:right w:w="108" w:type="dxa"/>
            </w:tcMar>
            <w:vAlign w:val="center"/>
          </w:tcPr>
          <w:p>
            <w:pPr>
              <w:widowControl/>
              <w:adjustRightInd w:val="0"/>
              <w:snapToGrid w:val="0"/>
              <w:jc w:val="center"/>
              <w:rPr>
                <w:bCs/>
                <w:kern w:val="0"/>
                <w:sz w:val="24"/>
              </w:rPr>
            </w:pPr>
            <w:r>
              <w:rPr>
                <w:bCs/>
                <w:kern w:val="0"/>
                <w:sz w:val="24"/>
                <w:lang w:bidi="ar"/>
              </w:rPr>
              <w:t>3</w:t>
            </w:r>
          </w:p>
        </w:tc>
        <w:tc>
          <w:tcPr>
            <w:tcW w:w="2982" w:type="dxa"/>
            <w:gridSpan w:val="2"/>
            <w:tcMar>
              <w:top w:w="0" w:type="dxa"/>
              <w:left w:w="108" w:type="dxa"/>
              <w:bottom w:w="0" w:type="dxa"/>
              <w:right w:w="108" w:type="dxa"/>
            </w:tcMar>
            <w:vAlign w:val="center"/>
          </w:tcPr>
          <w:p>
            <w:pPr>
              <w:widowControl/>
              <w:adjustRightInd w:val="0"/>
              <w:snapToGrid w:val="0"/>
              <w:jc w:val="center"/>
              <w:rPr>
                <w:bCs/>
                <w:kern w:val="0"/>
                <w:sz w:val="24"/>
              </w:rPr>
            </w:pPr>
            <w:r>
              <w:rPr>
                <w:kern w:val="0"/>
                <w:sz w:val="24"/>
                <w:lang w:bidi="ar"/>
              </w:rPr>
              <w:t>设区城市PM</w:t>
            </w:r>
            <w:r>
              <w:rPr>
                <w:kern w:val="0"/>
                <w:sz w:val="24"/>
                <w:vertAlign w:val="subscript"/>
                <w:lang w:bidi="ar"/>
              </w:rPr>
              <w:t>2.5</w:t>
            </w:r>
            <w:r>
              <w:rPr>
                <w:kern w:val="0"/>
                <w:sz w:val="24"/>
                <w:lang w:bidi="ar"/>
              </w:rPr>
              <w:t>浓度（µg/m</w:t>
            </w:r>
            <w:r>
              <w:rPr>
                <w:kern w:val="0"/>
                <w:sz w:val="24"/>
                <w:vertAlign w:val="superscript"/>
                <w:lang w:bidi="ar"/>
              </w:rPr>
              <w:t>3</w:t>
            </w:r>
            <w:r>
              <w:rPr>
                <w:kern w:val="0"/>
                <w:sz w:val="24"/>
                <w:lang w:bidi="ar"/>
              </w:rPr>
              <w:t>）</w:t>
            </w:r>
          </w:p>
        </w:tc>
        <w:tc>
          <w:tcPr>
            <w:tcW w:w="1133" w:type="dxa"/>
            <w:tcMar>
              <w:top w:w="0" w:type="dxa"/>
              <w:left w:w="108" w:type="dxa"/>
              <w:bottom w:w="0" w:type="dxa"/>
              <w:right w:w="108" w:type="dxa"/>
            </w:tcMar>
            <w:vAlign w:val="center"/>
          </w:tcPr>
          <w:p>
            <w:pPr>
              <w:widowControl/>
              <w:adjustRightInd w:val="0"/>
              <w:snapToGrid w:val="0"/>
              <w:jc w:val="center"/>
              <w:rPr>
                <w:bCs/>
                <w:kern w:val="0"/>
                <w:sz w:val="24"/>
              </w:rPr>
            </w:pPr>
            <w:r>
              <w:rPr>
                <w:kern w:val="0"/>
                <w:sz w:val="24"/>
                <w:lang w:bidi="ar"/>
              </w:rPr>
              <w:t>44</w:t>
            </w:r>
          </w:p>
        </w:tc>
        <w:tc>
          <w:tcPr>
            <w:tcW w:w="1166" w:type="dxa"/>
            <w:tcMar>
              <w:top w:w="0" w:type="dxa"/>
              <w:left w:w="108" w:type="dxa"/>
              <w:bottom w:w="0" w:type="dxa"/>
              <w:right w:w="108" w:type="dxa"/>
            </w:tcMar>
            <w:vAlign w:val="center"/>
          </w:tcPr>
          <w:p>
            <w:pPr>
              <w:widowControl/>
              <w:adjustRightInd w:val="0"/>
              <w:snapToGrid w:val="0"/>
              <w:jc w:val="center"/>
              <w:rPr>
                <w:bCs/>
                <w:kern w:val="0"/>
                <w:sz w:val="24"/>
              </w:rPr>
            </w:pPr>
            <w:r>
              <w:rPr>
                <w:kern w:val="0"/>
                <w:sz w:val="24"/>
                <w:lang w:bidi="ar"/>
              </w:rPr>
              <w:t>35</w:t>
            </w:r>
          </w:p>
        </w:tc>
        <w:tc>
          <w:tcPr>
            <w:tcW w:w="1019" w:type="dxa"/>
            <w:tcMar>
              <w:top w:w="0" w:type="dxa"/>
              <w:left w:w="108" w:type="dxa"/>
              <w:bottom w:w="0" w:type="dxa"/>
              <w:right w:w="108" w:type="dxa"/>
            </w:tcMar>
            <w:vAlign w:val="center"/>
          </w:tcPr>
          <w:p>
            <w:pPr>
              <w:widowControl/>
              <w:adjustRightInd w:val="0"/>
              <w:snapToGrid w:val="0"/>
              <w:jc w:val="center"/>
              <w:rPr>
                <w:bCs/>
                <w:kern w:val="0"/>
                <w:sz w:val="24"/>
              </w:rPr>
            </w:pPr>
            <w:r>
              <w:rPr>
                <w:bCs/>
                <w:kern w:val="0"/>
                <w:sz w:val="24"/>
                <w:lang w:bidi="ar"/>
              </w:rPr>
              <w:t>25</w:t>
            </w:r>
          </w:p>
        </w:tc>
        <w:tc>
          <w:tcPr>
            <w:tcW w:w="766" w:type="dxa"/>
            <w:tcMar>
              <w:top w:w="0" w:type="dxa"/>
              <w:left w:w="108" w:type="dxa"/>
              <w:bottom w:w="0" w:type="dxa"/>
              <w:right w:w="108" w:type="dxa"/>
            </w:tcMar>
            <w:vAlign w:val="center"/>
          </w:tcPr>
          <w:p>
            <w:pPr>
              <w:widowControl/>
              <w:adjustRightInd w:val="0"/>
              <w:snapToGrid w:val="0"/>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jc w:val="center"/>
        </w:trPr>
        <w:tc>
          <w:tcPr>
            <w:tcW w:w="673" w:type="dxa"/>
            <w:vMerge w:val="continue"/>
            <w:tcMar>
              <w:top w:w="0" w:type="dxa"/>
              <w:left w:w="108" w:type="dxa"/>
              <w:bottom w:w="0" w:type="dxa"/>
              <w:right w:w="108" w:type="dxa"/>
            </w:tcMar>
            <w:vAlign w:val="center"/>
          </w:tcPr>
          <w:p>
            <w:pPr>
              <w:adjustRightInd w:val="0"/>
              <w:snapToGrid w:val="0"/>
              <w:jc w:val="center"/>
              <w:rPr>
                <w:sz w:val="20"/>
                <w:szCs w:val="20"/>
              </w:rPr>
            </w:pPr>
          </w:p>
        </w:tc>
        <w:tc>
          <w:tcPr>
            <w:tcW w:w="602" w:type="dxa"/>
            <w:vMerge w:val="continue"/>
            <w:tcMar>
              <w:top w:w="0" w:type="dxa"/>
              <w:left w:w="108" w:type="dxa"/>
              <w:bottom w:w="0" w:type="dxa"/>
              <w:right w:w="108" w:type="dxa"/>
            </w:tcMar>
            <w:vAlign w:val="center"/>
          </w:tcPr>
          <w:p>
            <w:pPr>
              <w:adjustRightInd w:val="0"/>
              <w:snapToGrid w:val="0"/>
              <w:jc w:val="center"/>
              <w:rPr>
                <w:sz w:val="20"/>
                <w:szCs w:val="20"/>
              </w:rPr>
            </w:pPr>
          </w:p>
        </w:tc>
        <w:tc>
          <w:tcPr>
            <w:tcW w:w="504" w:type="dxa"/>
            <w:tcMar>
              <w:top w:w="0" w:type="dxa"/>
              <w:left w:w="108" w:type="dxa"/>
              <w:bottom w:w="0" w:type="dxa"/>
              <w:right w:w="108" w:type="dxa"/>
            </w:tcMar>
            <w:vAlign w:val="center"/>
          </w:tcPr>
          <w:p>
            <w:pPr>
              <w:widowControl/>
              <w:adjustRightInd w:val="0"/>
              <w:snapToGrid w:val="0"/>
              <w:jc w:val="center"/>
              <w:rPr>
                <w:bCs/>
                <w:kern w:val="0"/>
                <w:sz w:val="24"/>
              </w:rPr>
            </w:pPr>
            <w:r>
              <w:rPr>
                <w:bCs/>
                <w:kern w:val="0"/>
                <w:sz w:val="24"/>
                <w:lang w:bidi="ar"/>
              </w:rPr>
              <w:t>4</w:t>
            </w:r>
          </w:p>
        </w:tc>
        <w:tc>
          <w:tcPr>
            <w:tcW w:w="2982" w:type="dxa"/>
            <w:gridSpan w:val="2"/>
            <w:tcMar>
              <w:top w:w="0" w:type="dxa"/>
              <w:left w:w="108" w:type="dxa"/>
              <w:bottom w:w="0" w:type="dxa"/>
              <w:right w:w="108" w:type="dxa"/>
            </w:tcMar>
            <w:vAlign w:val="center"/>
          </w:tcPr>
          <w:p>
            <w:pPr>
              <w:widowControl/>
              <w:adjustRightInd w:val="0"/>
              <w:snapToGrid w:val="0"/>
              <w:jc w:val="center"/>
              <w:rPr>
                <w:rFonts w:hint="eastAsia"/>
                <w:kern w:val="0"/>
                <w:sz w:val="24"/>
                <w:lang w:bidi="ar"/>
              </w:rPr>
            </w:pPr>
            <w:r>
              <w:rPr>
                <w:kern w:val="0"/>
                <w:sz w:val="24"/>
                <w:lang w:bidi="ar"/>
              </w:rPr>
              <w:t>设区城市日空气质量</w:t>
            </w:r>
          </w:p>
          <w:p>
            <w:pPr>
              <w:widowControl/>
              <w:adjustRightInd w:val="0"/>
              <w:snapToGrid w:val="0"/>
              <w:jc w:val="center"/>
              <w:rPr>
                <w:bCs/>
                <w:kern w:val="0"/>
                <w:sz w:val="24"/>
              </w:rPr>
            </w:pPr>
            <w:r>
              <w:rPr>
                <w:kern w:val="0"/>
                <w:sz w:val="24"/>
                <w:lang w:bidi="ar"/>
              </w:rPr>
              <w:t>达标天数比例（%）</w:t>
            </w:r>
          </w:p>
        </w:tc>
        <w:tc>
          <w:tcPr>
            <w:tcW w:w="1133" w:type="dxa"/>
            <w:tcMar>
              <w:top w:w="0" w:type="dxa"/>
              <w:left w:w="108" w:type="dxa"/>
              <w:bottom w:w="0" w:type="dxa"/>
              <w:right w:w="108" w:type="dxa"/>
            </w:tcMar>
            <w:vAlign w:val="center"/>
          </w:tcPr>
          <w:p>
            <w:pPr>
              <w:widowControl/>
              <w:adjustRightInd w:val="0"/>
              <w:snapToGrid w:val="0"/>
              <w:jc w:val="center"/>
              <w:rPr>
                <w:bCs/>
                <w:kern w:val="0"/>
                <w:sz w:val="24"/>
              </w:rPr>
            </w:pPr>
            <w:r>
              <w:rPr>
                <w:kern w:val="0"/>
                <w:sz w:val="24"/>
                <w:lang w:bidi="ar"/>
              </w:rPr>
              <w:t>83.8</w:t>
            </w:r>
          </w:p>
        </w:tc>
        <w:tc>
          <w:tcPr>
            <w:tcW w:w="1166" w:type="dxa"/>
            <w:tcMar>
              <w:top w:w="0" w:type="dxa"/>
              <w:left w:w="108" w:type="dxa"/>
              <w:bottom w:w="0" w:type="dxa"/>
              <w:right w:w="108" w:type="dxa"/>
            </w:tcMar>
            <w:vAlign w:val="center"/>
          </w:tcPr>
          <w:p>
            <w:pPr>
              <w:widowControl/>
              <w:adjustRightInd w:val="0"/>
              <w:snapToGrid w:val="0"/>
              <w:jc w:val="center"/>
              <w:rPr>
                <w:bCs/>
                <w:kern w:val="0"/>
                <w:sz w:val="24"/>
              </w:rPr>
            </w:pPr>
            <w:r>
              <w:rPr>
                <w:kern w:val="0"/>
                <w:sz w:val="24"/>
                <w:lang w:bidi="ar"/>
              </w:rPr>
              <w:t>85.6</w:t>
            </w:r>
          </w:p>
        </w:tc>
        <w:tc>
          <w:tcPr>
            <w:tcW w:w="1019" w:type="dxa"/>
            <w:tcMar>
              <w:top w:w="0" w:type="dxa"/>
              <w:left w:w="108" w:type="dxa"/>
              <w:bottom w:w="0" w:type="dxa"/>
              <w:right w:w="108" w:type="dxa"/>
            </w:tcMar>
            <w:vAlign w:val="center"/>
          </w:tcPr>
          <w:p>
            <w:pPr>
              <w:widowControl/>
              <w:adjustRightInd w:val="0"/>
              <w:snapToGrid w:val="0"/>
              <w:jc w:val="center"/>
              <w:rPr>
                <w:bCs/>
                <w:kern w:val="0"/>
                <w:sz w:val="24"/>
              </w:rPr>
            </w:pPr>
            <w:r>
              <w:rPr>
                <w:bCs/>
                <w:kern w:val="0"/>
                <w:sz w:val="24"/>
                <w:lang w:bidi="ar"/>
              </w:rPr>
              <w:t>93.3</w:t>
            </w:r>
          </w:p>
        </w:tc>
        <w:tc>
          <w:tcPr>
            <w:tcW w:w="766" w:type="dxa"/>
            <w:tcMar>
              <w:top w:w="0" w:type="dxa"/>
              <w:left w:w="108" w:type="dxa"/>
              <w:bottom w:w="0" w:type="dxa"/>
              <w:right w:w="108" w:type="dxa"/>
            </w:tcMar>
            <w:vAlign w:val="center"/>
          </w:tcPr>
          <w:p>
            <w:pPr>
              <w:widowControl/>
              <w:adjustRightInd w:val="0"/>
              <w:snapToGrid w:val="0"/>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37" w:hRule="atLeast"/>
          <w:jc w:val="center"/>
        </w:trPr>
        <w:tc>
          <w:tcPr>
            <w:tcW w:w="673" w:type="dxa"/>
            <w:vMerge w:val="restart"/>
            <w:tcMar>
              <w:top w:w="0" w:type="dxa"/>
              <w:left w:w="108" w:type="dxa"/>
              <w:bottom w:w="0" w:type="dxa"/>
              <w:right w:w="108" w:type="dxa"/>
            </w:tcMar>
            <w:vAlign w:val="center"/>
          </w:tcPr>
          <w:p>
            <w:pPr>
              <w:adjustRightInd w:val="0"/>
              <w:snapToGrid w:val="0"/>
              <w:spacing w:line="300" w:lineRule="exact"/>
              <w:jc w:val="center"/>
              <w:rPr>
                <w:rFonts w:hint="eastAsia"/>
                <w:bCs/>
                <w:kern w:val="0"/>
                <w:sz w:val="24"/>
                <w:lang w:bidi="ar"/>
              </w:rPr>
            </w:pPr>
            <w:r>
              <w:rPr>
                <w:bCs/>
                <w:kern w:val="0"/>
                <w:sz w:val="24"/>
                <w:lang w:bidi="ar"/>
              </w:rPr>
              <w:t>约</w:t>
            </w:r>
          </w:p>
          <w:p>
            <w:pPr>
              <w:adjustRightInd w:val="0"/>
              <w:snapToGrid w:val="0"/>
              <w:spacing w:line="300" w:lineRule="exact"/>
              <w:jc w:val="center"/>
              <w:rPr>
                <w:rFonts w:hint="eastAsia"/>
                <w:bCs/>
                <w:kern w:val="0"/>
                <w:sz w:val="24"/>
                <w:lang w:bidi="ar"/>
              </w:rPr>
            </w:pPr>
            <w:r>
              <w:rPr>
                <w:bCs/>
                <w:kern w:val="0"/>
                <w:sz w:val="24"/>
                <w:lang w:bidi="ar"/>
              </w:rPr>
              <w:t>束</w:t>
            </w:r>
          </w:p>
          <w:p>
            <w:pPr>
              <w:adjustRightInd w:val="0"/>
              <w:snapToGrid w:val="0"/>
              <w:spacing w:line="300" w:lineRule="exact"/>
              <w:jc w:val="center"/>
              <w:rPr>
                <w:rFonts w:hint="eastAsia"/>
                <w:bCs/>
                <w:kern w:val="0"/>
                <w:sz w:val="24"/>
                <w:lang w:bidi="ar"/>
              </w:rPr>
            </w:pPr>
            <w:r>
              <w:rPr>
                <w:bCs/>
                <w:kern w:val="0"/>
                <w:sz w:val="24"/>
                <w:lang w:bidi="ar"/>
              </w:rPr>
              <w:t>性</w:t>
            </w:r>
          </w:p>
          <w:p>
            <w:pPr>
              <w:adjustRightInd w:val="0"/>
              <w:snapToGrid w:val="0"/>
              <w:spacing w:line="300" w:lineRule="exact"/>
              <w:jc w:val="center"/>
              <w:rPr>
                <w:rFonts w:hint="eastAsia"/>
                <w:bCs/>
                <w:kern w:val="0"/>
                <w:sz w:val="24"/>
                <w:lang w:bidi="ar"/>
              </w:rPr>
            </w:pPr>
            <w:r>
              <w:rPr>
                <w:bCs/>
                <w:kern w:val="0"/>
                <w:sz w:val="24"/>
                <w:lang w:bidi="ar"/>
              </w:rPr>
              <w:t>指</w:t>
            </w:r>
          </w:p>
          <w:p>
            <w:pPr>
              <w:adjustRightInd w:val="0"/>
              <w:snapToGrid w:val="0"/>
              <w:spacing w:line="300" w:lineRule="exact"/>
              <w:jc w:val="center"/>
              <w:rPr>
                <w:sz w:val="20"/>
                <w:szCs w:val="20"/>
              </w:rPr>
            </w:pPr>
            <w:r>
              <w:rPr>
                <w:bCs/>
                <w:kern w:val="0"/>
                <w:sz w:val="24"/>
                <w:lang w:bidi="ar"/>
              </w:rPr>
              <w:t>标</w:t>
            </w:r>
          </w:p>
        </w:tc>
        <w:tc>
          <w:tcPr>
            <w:tcW w:w="602" w:type="dxa"/>
            <w:vMerge w:val="restart"/>
            <w:tcMar>
              <w:top w:w="0" w:type="dxa"/>
              <w:left w:w="108" w:type="dxa"/>
              <w:bottom w:w="0" w:type="dxa"/>
              <w:right w:w="108" w:type="dxa"/>
            </w:tcMar>
            <w:vAlign w:val="center"/>
          </w:tcPr>
          <w:p>
            <w:pPr>
              <w:adjustRightInd w:val="0"/>
              <w:snapToGrid w:val="0"/>
              <w:spacing w:line="300" w:lineRule="exact"/>
              <w:jc w:val="center"/>
              <w:rPr>
                <w:bCs/>
                <w:kern w:val="0"/>
                <w:sz w:val="24"/>
                <w:lang w:bidi="ar"/>
              </w:rPr>
            </w:pPr>
            <w:r>
              <w:rPr>
                <w:bCs/>
                <w:kern w:val="0"/>
                <w:sz w:val="24"/>
                <w:lang w:bidi="ar"/>
              </w:rPr>
              <w:t>污染减排</w:t>
            </w:r>
          </w:p>
        </w:tc>
        <w:tc>
          <w:tcPr>
            <w:tcW w:w="504" w:type="dxa"/>
            <w:vMerge w:val="restart"/>
            <w:tcMar>
              <w:top w:w="0" w:type="dxa"/>
              <w:left w:w="108" w:type="dxa"/>
              <w:bottom w:w="0" w:type="dxa"/>
              <w:right w:w="108" w:type="dxa"/>
            </w:tcMar>
            <w:vAlign w:val="center"/>
          </w:tcPr>
          <w:p>
            <w:pPr>
              <w:adjustRightInd w:val="0"/>
              <w:snapToGrid w:val="0"/>
              <w:spacing w:line="300" w:lineRule="exact"/>
              <w:jc w:val="center"/>
              <w:rPr>
                <w:bCs/>
                <w:kern w:val="0"/>
                <w:sz w:val="24"/>
                <w:lang w:bidi="ar"/>
              </w:rPr>
            </w:pPr>
            <w:r>
              <w:rPr>
                <w:bCs/>
                <w:kern w:val="0"/>
                <w:sz w:val="24"/>
                <w:lang w:bidi="ar"/>
              </w:rPr>
              <w:t>5</w:t>
            </w:r>
          </w:p>
        </w:tc>
        <w:tc>
          <w:tcPr>
            <w:tcW w:w="1274" w:type="dxa"/>
            <w:vMerge w:val="restart"/>
            <w:tcMar>
              <w:top w:w="0" w:type="dxa"/>
              <w:left w:w="108" w:type="dxa"/>
              <w:bottom w:w="0" w:type="dxa"/>
              <w:right w:w="108" w:type="dxa"/>
            </w:tcMar>
            <w:vAlign w:val="center"/>
          </w:tcPr>
          <w:p>
            <w:pPr>
              <w:adjustRightInd w:val="0"/>
              <w:snapToGrid w:val="0"/>
              <w:spacing w:line="300" w:lineRule="exact"/>
              <w:jc w:val="center"/>
              <w:rPr>
                <w:rFonts w:hint="eastAsia"/>
                <w:kern w:val="0"/>
                <w:sz w:val="24"/>
                <w:lang w:bidi="ar"/>
              </w:rPr>
            </w:pPr>
            <w:r>
              <w:rPr>
                <w:kern w:val="0"/>
                <w:sz w:val="24"/>
                <w:lang w:bidi="ar"/>
              </w:rPr>
              <w:t>国家</w:t>
            </w:r>
          </w:p>
          <w:p>
            <w:pPr>
              <w:adjustRightInd w:val="0"/>
              <w:snapToGrid w:val="0"/>
              <w:spacing w:line="300" w:lineRule="exact"/>
              <w:jc w:val="center"/>
              <w:rPr>
                <w:kern w:val="0"/>
                <w:sz w:val="24"/>
                <w:lang w:bidi="ar"/>
              </w:rPr>
            </w:pPr>
            <w:r>
              <w:rPr>
                <w:kern w:val="0"/>
                <w:sz w:val="24"/>
                <w:lang w:bidi="ar"/>
              </w:rPr>
              <w:t>“十三五”总量控制指标</w:t>
            </w:r>
          </w:p>
        </w:tc>
        <w:tc>
          <w:tcPr>
            <w:tcW w:w="1708"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化学需氧量减排比例（%）</w:t>
            </w:r>
          </w:p>
        </w:tc>
        <w:tc>
          <w:tcPr>
            <w:tcW w:w="1133"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w:t>
            </w:r>
          </w:p>
        </w:tc>
        <w:tc>
          <w:tcPr>
            <w:tcW w:w="11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〔19.2〕</w:t>
            </w:r>
          </w:p>
        </w:tc>
        <w:tc>
          <w:tcPr>
            <w:tcW w:w="1019"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rPr>
              <w:t>〔25.2〕</w:t>
            </w:r>
          </w:p>
        </w:tc>
        <w:tc>
          <w:tcPr>
            <w:tcW w:w="7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37" w:hRule="atLeast"/>
          <w:jc w:val="center"/>
        </w:trPr>
        <w:tc>
          <w:tcPr>
            <w:tcW w:w="673"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602" w:type="dxa"/>
            <w:vMerge w:val="continue"/>
            <w:tcMar>
              <w:top w:w="0" w:type="dxa"/>
              <w:left w:w="108" w:type="dxa"/>
              <w:bottom w:w="0" w:type="dxa"/>
              <w:right w:w="108" w:type="dxa"/>
            </w:tcMar>
            <w:vAlign w:val="center"/>
          </w:tcPr>
          <w:p>
            <w:pPr>
              <w:adjustRightInd w:val="0"/>
              <w:snapToGrid w:val="0"/>
              <w:spacing w:line="300" w:lineRule="exact"/>
              <w:jc w:val="center"/>
              <w:rPr>
                <w:bCs/>
                <w:kern w:val="0"/>
                <w:sz w:val="24"/>
                <w:lang w:bidi="ar"/>
              </w:rPr>
            </w:pPr>
          </w:p>
        </w:tc>
        <w:tc>
          <w:tcPr>
            <w:tcW w:w="504" w:type="dxa"/>
            <w:vMerge w:val="continue"/>
            <w:tcMar>
              <w:top w:w="0" w:type="dxa"/>
              <w:left w:w="108" w:type="dxa"/>
              <w:bottom w:w="0" w:type="dxa"/>
              <w:right w:w="108" w:type="dxa"/>
            </w:tcMar>
            <w:vAlign w:val="center"/>
          </w:tcPr>
          <w:p>
            <w:pPr>
              <w:adjustRightInd w:val="0"/>
              <w:snapToGrid w:val="0"/>
              <w:spacing w:line="300" w:lineRule="exact"/>
              <w:jc w:val="center"/>
              <w:rPr>
                <w:bCs/>
                <w:kern w:val="0"/>
                <w:sz w:val="24"/>
                <w:lang w:bidi="ar"/>
              </w:rPr>
            </w:pPr>
          </w:p>
        </w:tc>
        <w:tc>
          <w:tcPr>
            <w:tcW w:w="1274" w:type="dxa"/>
            <w:vMerge w:val="continue"/>
            <w:tcMar>
              <w:top w:w="0" w:type="dxa"/>
              <w:left w:w="108" w:type="dxa"/>
              <w:bottom w:w="0" w:type="dxa"/>
              <w:right w:w="108" w:type="dxa"/>
            </w:tcMar>
            <w:vAlign w:val="center"/>
          </w:tcPr>
          <w:p>
            <w:pPr>
              <w:adjustRightInd w:val="0"/>
              <w:snapToGrid w:val="0"/>
              <w:spacing w:line="300" w:lineRule="exact"/>
              <w:jc w:val="center"/>
              <w:rPr>
                <w:kern w:val="0"/>
                <w:sz w:val="24"/>
                <w:lang w:bidi="ar"/>
              </w:rPr>
            </w:pPr>
          </w:p>
        </w:tc>
        <w:tc>
          <w:tcPr>
            <w:tcW w:w="1708"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氨氮减排比例（%）</w:t>
            </w:r>
          </w:p>
        </w:tc>
        <w:tc>
          <w:tcPr>
            <w:tcW w:w="1133"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w:t>
            </w:r>
          </w:p>
        </w:tc>
        <w:tc>
          <w:tcPr>
            <w:tcW w:w="11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〔17.6〕</w:t>
            </w:r>
          </w:p>
        </w:tc>
        <w:tc>
          <w:tcPr>
            <w:tcW w:w="1019"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〔21.3〕</w:t>
            </w:r>
          </w:p>
        </w:tc>
        <w:tc>
          <w:tcPr>
            <w:tcW w:w="7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37" w:hRule="atLeast"/>
          <w:jc w:val="center"/>
        </w:trPr>
        <w:tc>
          <w:tcPr>
            <w:tcW w:w="673"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602" w:type="dxa"/>
            <w:vMerge w:val="continue"/>
            <w:tcMar>
              <w:top w:w="0" w:type="dxa"/>
              <w:left w:w="108" w:type="dxa"/>
              <w:bottom w:w="0" w:type="dxa"/>
              <w:right w:w="108" w:type="dxa"/>
            </w:tcMar>
            <w:vAlign w:val="center"/>
          </w:tcPr>
          <w:p>
            <w:pPr>
              <w:widowControl/>
              <w:adjustRightInd w:val="0"/>
              <w:snapToGrid w:val="0"/>
              <w:spacing w:line="300" w:lineRule="exact"/>
              <w:jc w:val="center"/>
              <w:rPr>
                <w:bCs/>
                <w:kern w:val="0"/>
                <w:sz w:val="24"/>
              </w:rPr>
            </w:pPr>
          </w:p>
        </w:tc>
        <w:tc>
          <w:tcPr>
            <w:tcW w:w="504" w:type="dxa"/>
            <w:vMerge w:val="continue"/>
            <w:tcMar>
              <w:top w:w="0" w:type="dxa"/>
              <w:left w:w="108" w:type="dxa"/>
              <w:bottom w:w="0" w:type="dxa"/>
              <w:right w:w="108" w:type="dxa"/>
            </w:tcMar>
            <w:vAlign w:val="center"/>
          </w:tcPr>
          <w:p>
            <w:pPr>
              <w:widowControl/>
              <w:adjustRightInd w:val="0"/>
              <w:snapToGrid w:val="0"/>
              <w:spacing w:line="300" w:lineRule="exact"/>
              <w:jc w:val="center"/>
              <w:rPr>
                <w:bCs/>
                <w:kern w:val="0"/>
                <w:sz w:val="24"/>
              </w:rPr>
            </w:pPr>
          </w:p>
        </w:tc>
        <w:tc>
          <w:tcPr>
            <w:tcW w:w="1274" w:type="dxa"/>
            <w:vMerge w:val="continue"/>
            <w:tcMar>
              <w:top w:w="0" w:type="dxa"/>
              <w:left w:w="108" w:type="dxa"/>
              <w:bottom w:w="0" w:type="dxa"/>
              <w:right w:w="108" w:type="dxa"/>
            </w:tcMar>
            <w:vAlign w:val="center"/>
          </w:tcPr>
          <w:p>
            <w:pPr>
              <w:widowControl/>
              <w:adjustRightInd w:val="0"/>
              <w:snapToGrid w:val="0"/>
              <w:spacing w:line="300" w:lineRule="exact"/>
              <w:jc w:val="center"/>
              <w:rPr>
                <w:bCs/>
                <w:kern w:val="0"/>
                <w:sz w:val="24"/>
              </w:rPr>
            </w:pPr>
          </w:p>
        </w:tc>
        <w:tc>
          <w:tcPr>
            <w:tcW w:w="1708"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二氧化硫减排比例（%）</w:t>
            </w:r>
          </w:p>
        </w:tc>
        <w:tc>
          <w:tcPr>
            <w:tcW w:w="1133"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w:t>
            </w:r>
          </w:p>
        </w:tc>
        <w:tc>
          <w:tcPr>
            <w:tcW w:w="11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〔17〕</w:t>
            </w:r>
          </w:p>
        </w:tc>
        <w:tc>
          <w:tcPr>
            <w:tcW w:w="1019"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〔28.8〕</w:t>
            </w:r>
          </w:p>
        </w:tc>
        <w:tc>
          <w:tcPr>
            <w:tcW w:w="7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37" w:hRule="atLeast"/>
          <w:jc w:val="center"/>
        </w:trPr>
        <w:tc>
          <w:tcPr>
            <w:tcW w:w="673"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602"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504"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1274"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1708"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氮氧化物减排比例（%）</w:t>
            </w:r>
          </w:p>
        </w:tc>
        <w:tc>
          <w:tcPr>
            <w:tcW w:w="1133"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w:t>
            </w:r>
          </w:p>
        </w:tc>
        <w:tc>
          <w:tcPr>
            <w:tcW w:w="11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〔17〕</w:t>
            </w:r>
          </w:p>
        </w:tc>
        <w:tc>
          <w:tcPr>
            <w:tcW w:w="1019"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〔23.2〕</w:t>
            </w:r>
          </w:p>
        </w:tc>
        <w:tc>
          <w:tcPr>
            <w:tcW w:w="7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445" w:hRule="atLeast"/>
          <w:jc w:val="center"/>
        </w:trPr>
        <w:tc>
          <w:tcPr>
            <w:tcW w:w="673"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602" w:type="dxa"/>
            <w:tcMar>
              <w:top w:w="0" w:type="dxa"/>
              <w:left w:w="108" w:type="dxa"/>
              <w:bottom w:w="0" w:type="dxa"/>
              <w:right w:w="108" w:type="dxa"/>
            </w:tcMar>
            <w:vAlign w:val="center"/>
          </w:tcPr>
          <w:p>
            <w:pPr>
              <w:widowControl/>
              <w:adjustRightInd w:val="0"/>
              <w:snapToGrid w:val="0"/>
              <w:spacing w:line="280" w:lineRule="exact"/>
              <w:jc w:val="center"/>
              <w:rPr>
                <w:bCs/>
                <w:kern w:val="0"/>
                <w:sz w:val="24"/>
              </w:rPr>
            </w:pPr>
            <w:r>
              <w:rPr>
                <w:kern w:val="0"/>
                <w:sz w:val="24"/>
                <w:lang w:bidi="ar"/>
              </w:rPr>
              <w:t>重金属减排</w:t>
            </w:r>
          </w:p>
        </w:tc>
        <w:tc>
          <w:tcPr>
            <w:tcW w:w="504"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6</w:t>
            </w:r>
          </w:p>
        </w:tc>
        <w:tc>
          <w:tcPr>
            <w:tcW w:w="1274" w:type="dxa"/>
            <w:tcMar>
              <w:top w:w="0" w:type="dxa"/>
              <w:left w:w="108" w:type="dxa"/>
              <w:bottom w:w="0" w:type="dxa"/>
              <w:right w:w="108" w:type="dxa"/>
            </w:tcMar>
            <w:vAlign w:val="center"/>
          </w:tcPr>
          <w:p>
            <w:pPr>
              <w:adjustRightInd w:val="0"/>
              <w:snapToGrid w:val="0"/>
              <w:spacing w:line="300" w:lineRule="exact"/>
              <w:jc w:val="center"/>
              <w:rPr>
                <w:rFonts w:hint="eastAsia"/>
                <w:kern w:val="0"/>
                <w:sz w:val="24"/>
                <w:lang w:bidi="ar"/>
              </w:rPr>
            </w:pPr>
            <w:r>
              <w:rPr>
                <w:kern w:val="0"/>
                <w:sz w:val="24"/>
                <w:lang w:bidi="ar"/>
              </w:rPr>
              <w:t>国家</w:t>
            </w:r>
          </w:p>
          <w:p>
            <w:pPr>
              <w:adjustRightInd w:val="0"/>
              <w:snapToGrid w:val="0"/>
              <w:spacing w:line="300" w:lineRule="exact"/>
              <w:ind w:left="-160" w:leftChars="-50" w:right="-160" w:rightChars="-50"/>
              <w:jc w:val="center"/>
              <w:rPr>
                <w:rFonts w:hint="eastAsia"/>
                <w:kern w:val="0"/>
                <w:sz w:val="24"/>
                <w:lang w:bidi="ar"/>
              </w:rPr>
            </w:pPr>
            <w:r>
              <w:rPr>
                <w:kern w:val="0"/>
                <w:sz w:val="24"/>
                <w:lang w:bidi="ar"/>
              </w:rPr>
              <w:t>“十三五”</w:t>
            </w:r>
          </w:p>
          <w:p>
            <w:pPr>
              <w:adjustRightInd w:val="0"/>
              <w:snapToGrid w:val="0"/>
              <w:spacing w:line="300" w:lineRule="exact"/>
              <w:ind w:left="-160" w:leftChars="-50" w:right="-160" w:rightChars="-50"/>
              <w:jc w:val="center"/>
              <w:rPr>
                <w:rFonts w:hint="eastAsia"/>
                <w:kern w:val="0"/>
                <w:sz w:val="24"/>
                <w:lang w:bidi="ar"/>
              </w:rPr>
            </w:pPr>
            <w:r>
              <w:rPr>
                <w:kern w:val="0"/>
                <w:sz w:val="24"/>
                <w:lang w:bidi="ar"/>
              </w:rPr>
              <w:t>重金属总量</w:t>
            </w:r>
          </w:p>
          <w:p>
            <w:pPr>
              <w:adjustRightInd w:val="0"/>
              <w:snapToGrid w:val="0"/>
              <w:spacing w:line="300" w:lineRule="exact"/>
              <w:jc w:val="center"/>
              <w:rPr>
                <w:bCs/>
                <w:kern w:val="0"/>
                <w:sz w:val="24"/>
              </w:rPr>
            </w:pPr>
            <w:r>
              <w:rPr>
                <w:kern w:val="0"/>
                <w:sz w:val="24"/>
                <w:lang w:bidi="ar"/>
              </w:rPr>
              <w:t>控制指标</w:t>
            </w:r>
          </w:p>
        </w:tc>
        <w:tc>
          <w:tcPr>
            <w:tcW w:w="1708" w:type="dxa"/>
            <w:tcMar>
              <w:top w:w="0" w:type="dxa"/>
              <w:left w:w="108" w:type="dxa"/>
              <w:bottom w:w="0" w:type="dxa"/>
              <w:right w:w="108" w:type="dxa"/>
            </w:tcMar>
            <w:vAlign w:val="center"/>
          </w:tcPr>
          <w:p>
            <w:pPr>
              <w:adjustRightInd w:val="0"/>
              <w:snapToGrid w:val="0"/>
              <w:spacing w:line="300" w:lineRule="exact"/>
              <w:jc w:val="center"/>
              <w:rPr>
                <w:bCs/>
                <w:kern w:val="0"/>
                <w:sz w:val="24"/>
              </w:rPr>
            </w:pPr>
            <w:r>
              <w:rPr>
                <w:kern w:val="0"/>
                <w:sz w:val="24"/>
                <w:lang w:bidi="ar"/>
              </w:rPr>
              <w:t>重金属排放量比2013年削减比例（%）</w:t>
            </w:r>
          </w:p>
        </w:tc>
        <w:tc>
          <w:tcPr>
            <w:tcW w:w="1133"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w:t>
            </w:r>
          </w:p>
        </w:tc>
        <w:tc>
          <w:tcPr>
            <w:tcW w:w="11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较2013年削减10%</w:t>
            </w:r>
          </w:p>
        </w:tc>
        <w:tc>
          <w:tcPr>
            <w:tcW w:w="1019"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rPr>
              <w:t>较2013年削减13.7%</w:t>
            </w:r>
          </w:p>
        </w:tc>
        <w:tc>
          <w:tcPr>
            <w:tcW w:w="7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jc w:val="center"/>
        </w:trPr>
        <w:tc>
          <w:tcPr>
            <w:tcW w:w="673" w:type="dxa"/>
            <w:vMerge w:val="restart"/>
            <w:tcMar>
              <w:top w:w="0" w:type="dxa"/>
              <w:left w:w="108" w:type="dxa"/>
              <w:bottom w:w="0" w:type="dxa"/>
              <w:right w:w="108" w:type="dxa"/>
            </w:tcMar>
            <w:vAlign w:val="center"/>
          </w:tcPr>
          <w:p>
            <w:pPr>
              <w:widowControl/>
              <w:adjustRightInd w:val="0"/>
              <w:snapToGrid w:val="0"/>
              <w:spacing w:line="300" w:lineRule="exact"/>
              <w:jc w:val="center"/>
              <w:rPr>
                <w:rFonts w:hint="eastAsia"/>
                <w:bCs/>
                <w:kern w:val="0"/>
                <w:sz w:val="24"/>
                <w:lang w:bidi="ar"/>
              </w:rPr>
            </w:pPr>
            <w:r>
              <w:rPr>
                <w:bCs/>
                <w:kern w:val="0"/>
                <w:sz w:val="24"/>
                <w:lang w:bidi="ar"/>
              </w:rPr>
              <w:t>预</w:t>
            </w:r>
          </w:p>
          <w:p>
            <w:pPr>
              <w:widowControl/>
              <w:adjustRightInd w:val="0"/>
              <w:snapToGrid w:val="0"/>
              <w:spacing w:line="300" w:lineRule="exact"/>
              <w:jc w:val="center"/>
              <w:rPr>
                <w:rFonts w:hint="eastAsia"/>
                <w:bCs/>
                <w:kern w:val="0"/>
                <w:sz w:val="24"/>
                <w:lang w:bidi="ar"/>
              </w:rPr>
            </w:pPr>
            <w:r>
              <w:rPr>
                <w:bCs/>
                <w:kern w:val="0"/>
                <w:sz w:val="24"/>
                <w:lang w:bidi="ar"/>
              </w:rPr>
              <w:t>期</w:t>
            </w:r>
          </w:p>
          <w:p>
            <w:pPr>
              <w:widowControl/>
              <w:adjustRightInd w:val="0"/>
              <w:snapToGrid w:val="0"/>
              <w:spacing w:line="300" w:lineRule="exact"/>
              <w:jc w:val="center"/>
              <w:rPr>
                <w:rFonts w:hint="eastAsia"/>
                <w:bCs/>
                <w:kern w:val="0"/>
                <w:sz w:val="24"/>
                <w:lang w:bidi="ar"/>
              </w:rPr>
            </w:pPr>
            <w:r>
              <w:rPr>
                <w:bCs/>
                <w:kern w:val="0"/>
                <w:sz w:val="24"/>
                <w:lang w:bidi="ar"/>
              </w:rPr>
              <w:t>性</w:t>
            </w:r>
          </w:p>
          <w:p>
            <w:pPr>
              <w:widowControl/>
              <w:adjustRightInd w:val="0"/>
              <w:snapToGrid w:val="0"/>
              <w:spacing w:line="300" w:lineRule="exact"/>
              <w:jc w:val="center"/>
              <w:rPr>
                <w:rFonts w:hint="eastAsia"/>
                <w:bCs/>
                <w:kern w:val="0"/>
                <w:sz w:val="24"/>
                <w:lang w:bidi="ar"/>
              </w:rPr>
            </w:pPr>
            <w:r>
              <w:rPr>
                <w:bCs/>
                <w:kern w:val="0"/>
                <w:sz w:val="24"/>
                <w:lang w:bidi="ar"/>
              </w:rPr>
              <w:t>指</w:t>
            </w:r>
          </w:p>
          <w:p>
            <w:pPr>
              <w:widowControl/>
              <w:adjustRightInd w:val="0"/>
              <w:snapToGrid w:val="0"/>
              <w:spacing w:line="300" w:lineRule="exact"/>
              <w:jc w:val="center"/>
              <w:rPr>
                <w:bCs/>
                <w:kern w:val="0"/>
                <w:sz w:val="24"/>
              </w:rPr>
            </w:pPr>
            <w:r>
              <w:rPr>
                <w:bCs/>
                <w:kern w:val="0"/>
                <w:sz w:val="24"/>
                <w:lang w:bidi="ar"/>
              </w:rPr>
              <w:t>标</w:t>
            </w:r>
          </w:p>
        </w:tc>
        <w:tc>
          <w:tcPr>
            <w:tcW w:w="602" w:type="dxa"/>
            <w:vMerge w:val="restart"/>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环境质量</w:t>
            </w:r>
          </w:p>
        </w:tc>
        <w:tc>
          <w:tcPr>
            <w:tcW w:w="504"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7</w:t>
            </w:r>
          </w:p>
        </w:tc>
        <w:tc>
          <w:tcPr>
            <w:tcW w:w="2982" w:type="dxa"/>
            <w:gridSpan w:val="2"/>
            <w:tcMar>
              <w:top w:w="0" w:type="dxa"/>
              <w:left w:w="108" w:type="dxa"/>
              <w:bottom w:w="0" w:type="dxa"/>
              <w:right w:w="108" w:type="dxa"/>
            </w:tcMar>
            <w:vAlign w:val="center"/>
          </w:tcPr>
          <w:p>
            <w:pPr>
              <w:widowControl/>
              <w:adjustRightInd w:val="0"/>
              <w:snapToGrid w:val="0"/>
              <w:spacing w:line="300" w:lineRule="exact"/>
              <w:jc w:val="center"/>
              <w:rPr>
                <w:rFonts w:hint="eastAsia"/>
                <w:kern w:val="0"/>
                <w:sz w:val="24"/>
                <w:lang w:bidi="ar"/>
              </w:rPr>
            </w:pPr>
            <w:r>
              <w:rPr>
                <w:kern w:val="0"/>
                <w:sz w:val="24"/>
                <w:lang w:bidi="ar"/>
              </w:rPr>
              <w:t>地表水交接断面水质</w:t>
            </w:r>
          </w:p>
          <w:p>
            <w:pPr>
              <w:widowControl/>
              <w:adjustRightInd w:val="0"/>
              <w:snapToGrid w:val="0"/>
              <w:spacing w:line="300" w:lineRule="exact"/>
              <w:jc w:val="center"/>
              <w:rPr>
                <w:bCs/>
                <w:kern w:val="0"/>
                <w:sz w:val="24"/>
              </w:rPr>
            </w:pPr>
            <w:r>
              <w:rPr>
                <w:kern w:val="0"/>
                <w:sz w:val="24"/>
                <w:lang w:bidi="ar"/>
              </w:rPr>
              <w:t>达标率（%）</w:t>
            </w:r>
          </w:p>
        </w:tc>
        <w:tc>
          <w:tcPr>
            <w:tcW w:w="1133"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73.1</w:t>
            </w:r>
          </w:p>
        </w:tc>
        <w:tc>
          <w:tcPr>
            <w:tcW w:w="11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80</w:t>
            </w:r>
          </w:p>
        </w:tc>
        <w:tc>
          <w:tcPr>
            <w:tcW w:w="1019"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rPr>
              <w:t>98.6</w:t>
            </w:r>
          </w:p>
        </w:tc>
        <w:tc>
          <w:tcPr>
            <w:tcW w:w="7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11" w:hRule="atLeast"/>
          <w:jc w:val="center"/>
        </w:trPr>
        <w:tc>
          <w:tcPr>
            <w:tcW w:w="673"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602"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504"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8</w:t>
            </w:r>
          </w:p>
        </w:tc>
        <w:tc>
          <w:tcPr>
            <w:tcW w:w="2982" w:type="dxa"/>
            <w:gridSpan w:val="2"/>
            <w:tcMar>
              <w:top w:w="0" w:type="dxa"/>
              <w:left w:w="108" w:type="dxa"/>
              <w:bottom w:w="0" w:type="dxa"/>
              <w:right w:w="108" w:type="dxa"/>
            </w:tcMar>
            <w:vAlign w:val="center"/>
          </w:tcPr>
          <w:p>
            <w:pPr>
              <w:widowControl/>
              <w:adjustRightInd w:val="0"/>
              <w:snapToGrid w:val="0"/>
              <w:spacing w:line="300" w:lineRule="exact"/>
              <w:jc w:val="center"/>
              <w:rPr>
                <w:rFonts w:hint="eastAsia"/>
                <w:kern w:val="0"/>
                <w:sz w:val="24"/>
                <w:lang w:bidi="ar"/>
              </w:rPr>
            </w:pPr>
            <w:r>
              <w:rPr>
                <w:kern w:val="0"/>
                <w:sz w:val="24"/>
                <w:lang w:bidi="ar"/>
              </w:rPr>
              <w:t>近岸海域二类以上海水</w:t>
            </w:r>
          </w:p>
          <w:p>
            <w:pPr>
              <w:widowControl/>
              <w:adjustRightInd w:val="0"/>
              <w:snapToGrid w:val="0"/>
              <w:spacing w:line="300" w:lineRule="exact"/>
              <w:jc w:val="center"/>
              <w:rPr>
                <w:bCs/>
                <w:kern w:val="0"/>
                <w:sz w:val="24"/>
              </w:rPr>
            </w:pPr>
            <w:r>
              <w:rPr>
                <w:kern w:val="0"/>
                <w:sz w:val="24"/>
                <w:lang w:bidi="ar"/>
              </w:rPr>
              <w:t>比例（</w:t>
            </w:r>
            <w:r>
              <w:rPr>
                <w:rFonts w:hint="eastAsia"/>
                <w:kern w:val="0"/>
                <w:sz w:val="24"/>
                <w:lang w:bidi="ar"/>
              </w:rPr>
              <w:t>%，</w:t>
            </w:r>
            <w:r>
              <w:rPr>
                <w:kern w:val="0"/>
                <w:sz w:val="24"/>
                <w:lang w:bidi="ar"/>
              </w:rPr>
              <w:t>按点位）</w:t>
            </w:r>
          </w:p>
        </w:tc>
        <w:tc>
          <w:tcPr>
            <w:tcW w:w="1133" w:type="dxa"/>
            <w:tcMar>
              <w:top w:w="0" w:type="dxa"/>
              <w:left w:w="108" w:type="dxa"/>
              <w:bottom w:w="0" w:type="dxa"/>
              <w:right w:w="108" w:type="dxa"/>
            </w:tcMar>
            <w:vAlign w:val="center"/>
          </w:tcPr>
          <w:p>
            <w:pPr>
              <w:widowControl/>
              <w:adjustRightInd w:val="0"/>
              <w:snapToGrid w:val="0"/>
              <w:spacing w:line="300" w:lineRule="exact"/>
              <w:jc w:val="center"/>
              <w:rPr>
                <w:rFonts w:hint="eastAsia"/>
                <w:kern w:val="0"/>
                <w:sz w:val="24"/>
                <w:lang w:bidi="ar"/>
              </w:rPr>
            </w:pPr>
            <w:r>
              <w:rPr>
                <w:kern w:val="0"/>
                <w:sz w:val="24"/>
                <w:lang w:bidi="ar"/>
              </w:rPr>
              <w:t>13.2（“十二五”</w:t>
            </w:r>
          </w:p>
          <w:p>
            <w:pPr>
              <w:widowControl/>
              <w:adjustRightInd w:val="0"/>
              <w:snapToGrid w:val="0"/>
              <w:spacing w:line="300" w:lineRule="exact"/>
              <w:jc w:val="center"/>
              <w:rPr>
                <w:bCs/>
                <w:kern w:val="0"/>
                <w:sz w:val="24"/>
              </w:rPr>
            </w:pPr>
            <w:r>
              <w:rPr>
                <w:kern w:val="0"/>
                <w:sz w:val="24"/>
                <w:lang w:bidi="ar"/>
              </w:rPr>
              <w:t>平均值）</w:t>
            </w:r>
          </w:p>
        </w:tc>
        <w:tc>
          <w:tcPr>
            <w:tcW w:w="1166" w:type="dxa"/>
            <w:tcMar>
              <w:top w:w="0" w:type="dxa"/>
              <w:left w:w="108" w:type="dxa"/>
              <w:bottom w:w="0" w:type="dxa"/>
              <w:right w:w="108" w:type="dxa"/>
            </w:tcMar>
            <w:vAlign w:val="center"/>
          </w:tcPr>
          <w:p>
            <w:pPr>
              <w:widowControl/>
              <w:adjustRightInd w:val="0"/>
              <w:snapToGrid w:val="0"/>
              <w:spacing w:line="300" w:lineRule="exact"/>
              <w:jc w:val="center"/>
              <w:rPr>
                <w:kern w:val="0"/>
                <w:sz w:val="24"/>
                <w:lang w:bidi="ar"/>
              </w:rPr>
            </w:pPr>
            <w:r>
              <w:rPr>
                <w:kern w:val="0"/>
                <w:sz w:val="24"/>
                <w:lang w:bidi="ar"/>
              </w:rPr>
              <w:t>保持</w:t>
            </w:r>
          </w:p>
          <w:p>
            <w:pPr>
              <w:widowControl/>
              <w:adjustRightInd w:val="0"/>
              <w:snapToGrid w:val="0"/>
              <w:spacing w:line="300" w:lineRule="exact"/>
              <w:jc w:val="center"/>
              <w:rPr>
                <w:bCs/>
                <w:kern w:val="0"/>
                <w:sz w:val="24"/>
              </w:rPr>
            </w:pPr>
            <w:r>
              <w:rPr>
                <w:kern w:val="0"/>
                <w:sz w:val="24"/>
                <w:lang w:bidi="ar"/>
              </w:rPr>
              <w:t>稳定</w:t>
            </w:r>
          </w:p>
        </w:tc>
        <w:tc>
          <w:tcPr>
            <w:tcW w:w="1019"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rPr>
              <w:t>52</w:t>
            </w:r>
          </w:p>
        </w:tc>
        <w:tc>
          <w:tcPr>
            <w:tcW w:w="7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37" w:hRule="atLeast"/>
          <w:jc w:val="center"/>
        </w:trPr>
        <w:tc>
          <w:tcPr>
            <w:tcW w:w="673"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602"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504"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9</w:t>
            </w:r>
          </w:p>
        </w:tc>
        <w:tc>
          <w:tcPr>
            <w:tcW w:w="2982" w:type="dxa"/>
            <w:gridSpan w:val="2"/>
            <w:tcMar>
              <w:top w:w="0" w:type="dxa"/>
              <w:left w:w="108" w:type="dxa"/>
              <w:bottom w:w="0" w:type="dxa"/>
              <w:right w:w="108" w:type="dxa"/>
            </w:tcMar>
            <w:vAlign w:val="center"/>
          </w:tcPr>
          <w:p>
            <w:pPr>
              <w:widowControl/>
              <w:adjustRightInd w:val="0"/>
              <w:snapToGrid w:val="0"/>
              <w:spacing w:line="300" w:lineRule="exact"/>
              <w:jc w:val="center"/>
              <w:rPr>
                <w:rFonts w:hint="eastAsia"/>
                <w:kern w:val="0"/>
                <w:sz w:val="24"/>
                <w:lang w:bidi="ar"/>
              </w:rPr>
            </w:pPr>
            <w:r>
              <w:rPr>
                <w:kern w:val="0"/>
                <w:sz w:val="24"/>
                <w:lang w:bidi="ar"/>
              </w:rPr>
              <w:t>县级以上集中式饮用水</w:t>
            </w:r>
          </w:p>
          <w:p>
            <w:pPr>
              <w:widowControl/>
              <w:adjustRightInd w:val="0"/>
              <w:snapToGrid w:val="0"/>
              <w:spacing w:line="300" w:lineRule="exact"/>
              <w:jc w:val="center"/>
              <w:rPr>
                <w:bCs/>
                <w:kern w:val="0"/>
                <w:sz w:val="24"/>
              </w:rPr>
            </w:pPr>
            <w:r>
              <w:rPr>
                <w:kern w:val="0"/>
                <w:sz w:val="24"/>
                <w:lang w:bidi="ar"/>
              </w:rPr>
              <w:t>水源水质达标率（%）</w:t>
            </w:r>
          </w:p>
        </w:tc>
        <w:tc>
          <w:tcPr>
            <w:tcW w:w="1133"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85</w:t>
            </w:r>
          </w:p>
        </w:tc>
        <w:tc>
          <w:tcPr>
            <w:tcW w:w="11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94</w:t>
            </w:r>
          </w:p>
        </w:tc>
        <w:tc>
          <w:tcPr>
            <w:tcW w:w="1019"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100</w:t>
            </w:r>
          </w:p>
        </w:tc>
        <w:tc>
          <w:tcPr>
            <w:tcW w:w="7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73"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602"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504" w:type="dxa"/>
            <w:vMerge w:val="restart"/>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10</w:t>
            </w:r>
          </w:p>
        </w:tc>
        <w:tc>
          <w:tcPr>
            <w:tcW w:w="2982" w:type="dxa"/>
            <w:gridSpan w:val="2"/>
            <w:tcMar>
              <w:top w:w="0" w:type="dxa"/>
              <w:left w:w="108" w:type="dxa"/>
              <w:bottom w:w="0" w:type="dxa"/>
              <w:right w:w="108" w:type="dxa"/>
            </w:tcMar>
            <w:vAlign w:val="center"/>
          </w:tcPr>
          <w:p>
            <w:pPr>
              <w:widowControl/>
              <w:adjustRightInd w:val="0"/>
              <w:snapToGrid w:val="0"/>
              <w:spacing w:line="300" w:lineRule="exact"/>
              <w:jc w:val="center"/>
              <w:rPr>
                <w:bCs/>
                <w:spacing w:val="-6"/>
                <w:w w:val="95"/>
                <w:kern w:val="0"/>
                <w:sz w:val="24"/>
              </w:rPr>
            </w:pPr>
            <w:r>
              <w:rPr>
                <w:spacing w:val="-6"/>
                <w:w w:val="95"/>
                <w:kern w:val="0"/>
                <w:sz w:val="24"/>
                <w:lang w:bidi="ar"/>
              </w:rPr>
              <w:t>受污染耕地安全利用率（%）*</w:t>
            </w:r>
          </w:p>
        </w:tc>
        <w:tc>
          <w:tcPr>
            <w:tcW w:w="1133"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w:t>
            </w:r>
          </w:p>
        </w:tc>
        <w:tc>
          <w:tcPr>
            <w:tcW w:w="11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91</w:t>
            </w:r>
          </w:p>
        </w:tc>
        <w:tc>
          <w:tcPr>
            <w:tcW w:w="1019"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rPr>
              <w:t>91.34</w:t>
            </w:r>
          </w:p>
        </w:tc>
        <w:tc>
          <w:tcPr>
            <w:tcW w:w="7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73"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602"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504"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2982" w:type="dxa"/>
            <w:gridSpan w:val="2"/>
            <w:tcMar>
              <w:top w:w="0" w:type="dxa"/>
              <w:left w:w="108" w:type="dxa"/>
              <w:bottom w:w="0" w:type="dxa"/>
              <w:right w:w="108" w:type="dxa"/>
            </w:tcMar>
            <w:vAlign w:val="center"/>
          </w:tcPr>
          <w:p>
            <w:pPr>
              <w:widowControl/>
              <w:adjustRightInd w:val="0"/>
              <w:snapToGrid w:val="0"/>
              <w:spacing w:line="300" w:lineRule="exact"/>
              <w:jc w:val="center"/>
              <w:rPr>
                <w:bCs/>
                <w:spacing w:val="-6"/>
                <w:kern w:val="0"/>
                <w:sz w:val="24"/>
              </w:rPr>
            </w:pPr>
            <w:r>
              <w:rPr>
                <w:spacing w:val="-6"/>
                <w:kern w:val="0"/>
                <w:sz w:val="24"/>
                <w:lang w:bidi="ar"/>
              </w:rPr>
              <w:t>污染地块安全利用率（%）*</w:t>
            </w:r>
          </w:p>
        </w:tc>
        <w:tc>
          <w:tcPr>
            <w:tcW w:w="1133"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w:t>
            </w:r>
          </w:p>
        </w:tc>
        <w:tc>
          <w:tcPr>
            <w:tcW w:w="11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90以上</w:t>
            </w:r>
          </w:p>
        </w:tc>
        <w:tc>
          <w:tcPr>
            <w:tcW w:w="1019"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rPr>
              <w:t>100</w:t>
            </w:r>
          </w:p>
        </w:tc>
        <w:tc>
          <w:tcPr>
            <w:tcW w:w="7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37" w:hRule="atLeast"/>
          <w:jc w:val="center"/>
        </w:trPr>
        <w:tc>
          <w:tcPr>
            <w:tcW w:w="673"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602" w:type="dxa"/>
            <w:vMerge w:val="restart"/>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生态建设</w:t>
            </w:r>
          </w:p>
        </w:tc>
        <w:tc>
          <w:tcPr>
            <w:tcW w:w="504"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11</w:t>
            </w:r>
          </w:p>
        </w:tc>
        <w:tc>
          <w:tcPr>
            <w:tcW w:w="2982" w:type="dxa"/>
            <w:gridSpan w:val="2"/>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省级以上生态文明示范区创建比率（%）</w:t>
            </w:r>
          </w:p>
        </w:tc>
        <w:tc>
          <w:tcPr>
            <w:tcW w:w="1133"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39</w:t>
            </w:r>
          </w:p>
        </w:tc>
        <w:tc>
          <w:tcPr>
            <w:tcW w:w="11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50</w:t>
            </w:r>
          </w:p>
        </w:tc>
        <w:tc>
          <w:tcPr>
            <w:tcW w:w="1019"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rPr>
              <w:t>67.3</w:t>
            </w:r>
          </w:p>
        </w:tc>
        <w:tc>
          <w:tcPr>
            <w:tcW w:w="7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73"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602"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504"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12</w:t>
            </w:r>
          </w:p>
        </w:tc>
        <w:tc>
          <w:tcPr>
            <w:tcW w:w="2982" w:type="dxa"/>
            <w:gridSpan w:val="2"/>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大陆自然岸线比例（%）*</w:t>
            </w:r>
          </w:p>
        </w:tc>
        <w:tc>
          <w:tcPr>
            <w:tcW w:w="1133"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w:t>
            </w:r>
          </w:p>
        </w:tc>
        <w:tc>
          <w:tcPr>
            <w:tcW w:w="11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35</w:t>
            </w:r>
          </w:p>
        </w:tc>
        <w:tc>
          <w:tcPr>
            <w:tcW w:w="1019"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rPr>
              <w:t>35</w:t>
            </w:r>
          </w:p>
        </w:tc>
        <w:tc>
          <w:tcPr>
            <w:tcW w:w="7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284" w:hRule="atLeast"/>
          <w:jc w:val="center"/>
        </w:trPr>
        <w:tc>
          <w:tcPr>
            <w:tcW w:w="673" w:type="dxa"/>
            <w:vMerge w:val="continue"/>
            <w:tcMar>
              <w:top w:w="0" w:type="dxa"/>
              <w:left w:w="108" w:type="dxa"/>
              <w:bottom w:w="0" w:type="dxa"/>
              <w:right w:w="108" w:type="dxa"/>
            </w:tcMar>
            <w:vAlign w:val="center"/>
          </w:tcPr>
          <w:p>
            <w:pPr>
              <w:adjustRightInd w:val="0"/>
              <w:snapToGrid w:val="0"/>
              <w:spacing w:line="300" w:lineRule="exact"/>
              <w:jc w:val="center"/>
              <w:rPr>
                <w:sz w:val="20"/>
                <w:szCs w:val="20"/>
              </w:rPr>
            </w:pPr>
          </w:p>
        </w:tc>
        <w:tc>
          <w:tcPr>
            <w:tcW w:w="602"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风险防控</w:t>
            </w:r>
          </w:p>
        </w:tc>
        <w:tc>
          <w:tcPr>
            <w:tcW w:w="504"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13</w:t>
            </w:r>
          </w:p>
        </w:tc>
        <w:tc>
          <w:tcPr>
            <w:tcW w:w="2982" w:type="dxa"/>
            <w:gridSpan w:val="2"/>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5年期突发环境事件发生数下降比率（%）</w:t>
            </w:r>
          </w:p>
        </w:tc>
        <w:tc>
          <w:tcPr>
            <w:tcW w:w="1133" w:type="dxa"/>
            <w:tcMar>
              <w:top w:w="0" w:type="dxa"/>
              <w:left w:w="108" w:type="dxa"/>
              <w:bottom w:w="0" w:type="dxa"/>
              <w:right w:w="108" w:type="dxa"/>
            </w:tcMar>
            <w:vAlign w:val="center"/>
          </w:tcPr>
          <w:p>
            <w:pPr>
              <w:widowControl/>
              <w:adjustRightInd w:val="0"/>
              <w:snapToGrid w:val="0"/>
              <w:spacing w:line="300" w:lineRule="exact"/>
              <w:jc w:val="center"/>
              <w:rPr>
                <w:rFonts w:hint="eastAsia"/>
                <w:kern w:val="0"/>
                <w:sz w:val="24"/>
                <w:lang w:bidi="ar"/>
              </w:rPr>
            </w:pPr>
            <w:r>
              <w:rPr>
                <w:kern w:val="0"/>
                <w:sz w:val="24"/>
                <w:lang w:bidi="ar"/>
              </w:rPr>
              <w:t>130（“十二五”</w:t>
            </w:r>
          </w:p>
          <w:p>
            <w:pPr>
              <w:widowControl/>
              <w:adjustRightInd w:val="0"/>
              <w:snapToGrid w:val="0"/>
              <w:spacing w:line="300" w:lineRule="exact"/>
              <w:jc w:val="center"/>
              <w:rPr>
                <w:bCs/>
                <w:kern w:val="0"/>
                <w:sz w:val="24"/>
              </w:rPr>
            </w:pPr>
            <w:r>
              <w:rPr>
                <w:kern w:val="0"/>
                <w:sz w:val="24"/>
                <w:lang w:bidi="ar"/>
              </w:rPr>
              <w:t>总数）</w:t>
            </w:r>
          </w:p>
        </w:tc>
        <w:tc>
          <w:tcPr>
            <w:tcW w:w="11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kern w:val="0"/>
                <w:sz w:val="24"/>
                <w:lang w:bidi="ar"/>
              </w:rPr>
              <w:t>“十三五”期间比“十二五”总数下降5%</w:t>
            </w:r>
          </w:p>
        </w:tc>
        <w:tc>
          <w:tcPr>
            <w:tcW w:w="1019" w:type="dxa"/>
            <w:tcMar>
              <w:top w:w="0" w:type="dxa"/>
              <w:left w:w="108" w:type="dxa"/>
              <w:bottom w:w="0" w:type="dxa"/>
              <w:right w:w="108" w:type="dxa"/>
            </w:tcMar>
            <w:vAlign w:val="center"/>
          </w:tcPr>
          <w:p>
            <w:pPr>
              <w:widowControl/>
              <w:adjustRightInd w:val="0"/>
              <w:snapToGrid w:val="0"/>
              <w:spacing w:line="300" w:lineRule="exact"/>
              <w:ind w:left="-80" w:leftChars="-25" w:right="-80" w:rightChars="-25"/>
              <w:jc w:val="center"/>
              <w:rPr>
                <w:rFonts w:hint="eastAsia"/>
                <w:bCs/>
                <w:kern w:val="0"/>
                <w:sz w:val="24"/>
              </w:rPr>
            </w:pPr>
            <w:r>
              <w:rPr>
                <w:bCs/>
                <w:kern w:val="0"/>
                <w:sz w:val="24"/>
              </w:rPr>
              <w:t>“十三五”期间</w:t>
            </w:r>
          </w:p>
          <w:p>
            <w:pPr>
              <w:widowControl/>
              <w:adjustRightInd w:val="0"/>
              <w:snapToGrid w:val="0"/>
              <w:spacing w:line="300" w:lineRule="exact"/>
              <w:ind w:left="-80" w:leftChars="-25" w:right="-80" w:rightChars="-25"/>
              <w:jc w:val="center"/>
              <w:rPr>
                <w:rFonts w:hint="eastAsia"/>
                <w:bCs/>
                <w:kern w:val="0"/>
                <w:sz w:val="24"/>
              </w:rPr>
            </w:pPr>
            <w:r>
              <w:rPr>
                <w:bCs/>
                <w:kern w:val="0"/>
                <w:sz w:val="24"/>
              </w:rPr>
              <w:t>（总数</w:t>
            </w:r>
          </w:p>
          <w:p>
            <w:pPr>
              <w:widowControl/>
              <w:adjustRightInd w:val="0"/>
              <w:snapToGrid w:val="0"/>
              <w:spacing w:line="300" w:lineRule="exact"/>
              <w:ind w:left="-80" w:leftChars="-25" w:right="-80" w:rightChars="-25"/>
              <w:jc w:val="center"/>
              <w:rPr>
                <w:bCs/>
                <w:kern w:val="0"/>
                <w:sz w:val="24"/>
              </w:rPr>
            </w:pPr>
            <w:r>
              <w:rPr>
                <w:bCs/>
                <w:kern w:val="0"/>
                <w:sz w:val="24"/>
              </w:rPr>
              <w:t>为60</w:t>
            </w:r>
            <w:r>
              <w:rPr>
                <w:kern w:val="0"/>
                <w:sz w:val="24"/>
                <w:lang w:bidi="ar"/>
              </w:rPr>
              <w:t>）</w:t>
            </w:r>
            <w:r>
              <w:rPr>
                <w:bCs/>
                <w:kern w:val="0"/>
                <w:sz w:val="24"/>
              </w:rPr>
              <w:t>比“十二五”总数下降53.8%</w:t>
            </w:r>
          </w:p>
        </w:tc>
        <w:tc>
          <w:tcPr>
            <w:tcW w:w="766" w:type="dxa"/>
            <w:tcMar>
              <w:top w:w="0" w:type="dxa"/>
              <w:left w:w="108" w:type="dxa"/>
              <w:bottom w:w="0" w:type="dxa"/>
              <w:right w:w="108" w:type="dxa"/>
            </w:tcMar>
            <w:vAlign w:val="center"/>
          </w:tcPr>
          <w:p>
            <w:pPr>
              <w:widowControl/>
              <w:adjustRightInd w:val="0"/>
              <w:snapToGrid w:val="0"/>
              <w:spacing w:line="300" w:lineRule="exact"/>
              <w:jc w:val="center"/>
              <w:rPr>
                <w:bCs/>
                <w:kern w:val="0"/>
                <w:sz w:val="24"/>
              </w:rPr>
            </w:pPr>
            <w:r>
              <w:rPr>
                <w:bCs/>
                <w:kern w:val="0"/>
                <w:sz w:val="24"/>
                <w:lang w:bidi="ar"/>
              </w:rPr>
              <w:t>完成</w:t>
            </w:r>
          </w:p>
        </w:tc>
      </w:tr>
    </w:tbl>
    <w:p>
      <w:pPr>
        <w:spacing w:before="60" w:beforeLines="25"/>
        <w:rPr>
          <w:rFonts w:eastAsia="楷体_GB2312"/>
          <w:sz w:val="24"/>
        </w:rPr>
      </w:pPr>
      <w:r>
        <w:rPr>
          <w:rFonts w:eastAsia="楷体_GB2312"/>
          <w:sz w:val="24"/>
          <w:lang w:bidi="ar"/>
        </w:rPr>
        <w:t>注：1.带*的指标2020年完成值为预计数。</w:t>
      </w:r>
    </w:p>
    <w:p>
      <w:pPr>
        <w:spacing w:before="60" w:beforeLines="25"/>
        <w:ind w:firstLine="480" w:firstLineChars="200"/>
        <w:rPr>
          <w:rFonts w:eastAsia="楷体_GB2312"/>
          <w:sz w:val="24"/>
          <w:lang w:bidi="ar"/>
        </w:rPr>
      </w:pPr>
      <w:r>
        <w:rPr>
          <w:rFonts w:eastAsia="楷体_GB2312"/>
          <w:sz w:val="24"/>
          <w:lang w:bidi="ar"/>
        </w:rPr>
        <w:t>2.〔〕为五年累计数。</w:t>
      </w:r>
    </w:p>
    <w:p>
      <w:pPr>
        <w:pStyle w:val="4"/>
        <w:spacing w:before="0" w:after="0" w:line="590" w:lineRule="exact"/>
        <w:ind w:firstLine="641" w:firstLineChars="200"/>
        <w:jc w:val="left"/>
        <w:outlineLvl w:val="1"/>
        <w:rPr>
          <w:rFonts w:ascii="Times New Roman" w:hAnsi="Times New Roman" w:eastAsia="楷体_GB2312"/>
        </w:rPr>
      </w:pPr>
      <w:bookmarkStart w:id="6" w:name="_Toc65248108"/>
      <w:bookmarkStart w:id="7" w:name="_Toc55906089"/>
      <w:r>
        <w:rPr>
          <w:rFonts w:ascii="Times New Roman" w:hAnsi="Times New Roman" w:eastAsia="楷体_GB2312"/>
        </w:rPr>
        <w:t>（二）当前存在的主要问题</w:t>
      </w:r>
      <w:bookmarkEnd w:id="6"/>
      <w:bookmarkEnd w:id="7"/>
    </w:p>
    <w:p>
      <w:pPr>
        <w:pStyle w:val="2"/>
        <w:spacing w:after="0" w:line="590" w:lineRule="exact"/>
        <w:ind w:left="0" w:leftChars="0" w:right="0" w:rightChars="0" w:firstLine="640" w:firstLineChars="200"/>
        <w:rPr>
          <w:szCs w:val="32"/>
        </w:rPr>
      </w:pPr>
      <w:r>
        <w:rPr>
          <w:szCs w:val="32"/>
        </w:rPr>
        <w:t>“十三五”以来，尽管我省生态环境保护工作取得积极成效，但仍面临一些深层次问题。</w:t>
      </w:r>
    </w:p>
    <w:p>
      <w:pPr>
        <w:autoSpaceDE w:val="0"/>
        <w:autoSpaceDN w:val="0"/>
        <w:adjustRightInd w:val="0"/>
        <w:spacing w:line="590" w:lineRule="exact"/>
        <w:ind w:firstLine="643" w:firstLineChars="200"/>
        <w:rPr>
          <w:bCs/>
          <w:szCs w:val="32"/>
        </w:rPr>
      </w:pPr>
      <w:r>
        <w:rPr>
          <w:b/>
          <w:szCs w:val="32"/>
        </w:rPr>
        <w:t>一是绿色低碳发展水平有待进一步提升。</w:t>
      </w:r>
      <w:r>
        <w:rPr>
          <w:bCs/>
          <w:szCs w:val="32"/>
        </w:rPr>
        <w:t>省内结构性、行业性污染仍然较为突出，生态环境保护和经济发展协调性仍有较大提升空间。能源清洁低碳化水平有待进一步提升，以煤炭为主的能源结构尚未根本改变，天然气等清洁能源的供应能力和利用规模依然偏低，产业低碳转型进程有待加快，二氧化碳排放提前达峰面临较大压力。交通运输结构有待进一步优化，铁路、水路运输的比较优势有待进一步发挥，柴油货车运输仍是货运主要方式。产业生态化水平仍然不高，以纺织、皮革、造纸、橡塑、金属制品等为代表的传统制造业投入产出效益总体偏低。</w:t>
      </w:r>
    </w:p>
    <w:p>
      <w:pPr>
        <w:pStyle w:val="2"/>
        <w:spacing w:after="0" w:line="590" w:lineRule="exact"/>
        <w:ind w:left="0" w:leftChars="0" w:right="0" w:rightChars="0" w:firstLine="643" w:firstLineChars="200"/>
        <w:rPr>
          <w:bCs/>
          <w:szCs w:val="32"/>
        </w:rPr>
      </w:pPr>
      <w:r>
        <w:rPr>
          <w:b/>
          <w:szCs w:val="32"/>
        </w:rPr>
        <w:t>二是生态环境质量改善成效尚不稳固。</w:t>
      </w:r>
      <w:r>
        <w:rPr>
          <w:bCs/>
          <w:szCs w:val="32"/>
        </w:rPr>
        <w:t>全省区域、流域间水质差异较大，部分平原河网水质仍为轻度污染，小微水体治理存在薄弱环节，杭州湾等重要海湾水质较差。部分河道生态流量不足、岸线硬质化普遍，水生态健康水平不高。特殊气象条件下，蓝藻异常增殖现象仍有发生，影响饮用水安全。空气质量持续改善难度加大，环杭州湾区域</w:t>
      </w:r>
      <w:r>
        <w:rPr>
          <w:bCs/>
        </w:rPr>
        <w:t>臭氧（O</w:t>
      </w:r>
      <w:r>
        <w:rPr>
          <w:bCs/>
          <w:vertAlign w:val="subscript"/>
        </w:rPr>
        <w:t>3</w:t>
      </w:r>
      <w:r>
        <w:rPr>
          <w:bCs/>
        </w:rPr>
        <w:t>）超标天次比例较高，</w:t>
      </w:r>
      <w:r>
        <w:rPr>
          <w:bCs/>
          <w:szCs w:val="32"/>
        </w:rPr>
        <w:t>成为影响城市环境空气质量改善的首要污染物。</w:t>
      </w:r>
      <w:r>
        <w:rPr>
          <w:szCs w:val="32"/>
          <w:lang w:bidi="ar"/>
        </w:rPr>
        <w:t>全省受污染耕地占比不高、但绝对数不小，需修复的污染地块和土壤污染重点监管单位数量分别占全国总数的十分之一，部分园区和企业地下水污染问题凸显，土壤和地下水污染“防控治”压力较大，而相应的工作基础和技术力量比较薄弱，管控和治理水平亟待提升。</w:t>
      </w:r>
      <w:r>
        <w:rPr>
          <w:szCs w:val="32"/>
          <w:lang w:val="zh-CN" w:bidi="ar"/>
        </w:rPr>
        <w:t>固体废物处置能力仍有不足，工业固体废物资源化利用水平有待提升，生活垃圾和建筑垃圾处理能力不平衡、处置水平有待提升。</w:t>
      </w:r>
      <w:r>
        <w:rPr>
          <w:rFonts w:eastAsia="宋体"/>
          <w:sz w:val="24"/>
        </w:rPr>
        <w:t xml:space="preserve"> </w:t>
      </w:r>
    </w:p>
    <w:p>
      <w:pPr>
        <w:pStyle w:val="2"/>
        <w:adjustRightInd w:val="0"/>
        <w:spacing w:after="0" w:line="590" w:lineRule="exact"/>
        <w:ind w:left="0" w:leftChars="0" w:right="0" w:rightChars="0" w:firstLine="643" w:firstLineChars="200"/>
        <w:rPr>
          <w:lang w:val="zh-CN"/>
        </w:rPr>
      </w:pPr>
      <w:r>
        <w:rPr>
          <w:b/>
          <w:lang w:val="zh-CN"/>
        </w:rPr>
        <w:t>三是生态环境风险隐患不容忽视。</w:t>
      </w:r>
      <w:r>
        <w:rPr>
          <w:lang w:val="zh-CN"/>
        </w:rPr>
        <w:t>生态系统质量和稳定性有待提升，生态空间遭受挤占，局部地区自然生态系统出现退化。山水林田湖草保护和修复系统性不足。生物物种资源本底调查尚不全面。生物多样性保护存在空缺区域，部分特有物种、遗传资源等尚未建立相关保护地，保护力度不够。外来生物入侵危害普遍存在，对全省生物多样性构成威胁。全</w:t>
      </w:r>
      <w:r>
        <w:rPr>
          <w:szCs w:val="32"/>
        </w:rPr>
        <w:t>省风险源企业数量多</w:t>
      </w:r>
      <w:r>
        <w:rPr>
          <w:lang w:val="zh-CN"/>
        </w:rPr>
        <w:t>，涉危险化学品风险源布局性风险突出。核设施和放射源安全管控压力大。</w:t>
      </w:r>
    </w:p>
    <w:p>
      <w:pPr>
        <w:autoSpaceDE w:val="0"/>
        <w:autoSpaceDN w:val="0"/>
        <w:adjustRightInd w:val="0"/>
        <w:spacing w:line="590" w:lineRule="exact"/>
        <w:ind w:firstLine="643" w:firstLineChars="200"/>
      </w:pPr>
      <w:r>
        <w:rPr>
          <w:b/>
          <w:szCs w:val="32"/>
        </w:rPr>
        <w:t>四是生态环境治理体系和治理能力亟需加强。</w:t>
      </w:r>
      <w:r>
        <w:rPr>
          <w:szCs w:val="32"/>
        </w:rPr>
        <w:t>生态文明领域统筹协调机制仍需完善，</w:t>
      </w:r>
      <w:r>
        <w:rPr>
          <w:bCs/>
          <w:szCs w:val="32"/>
        </w:rPr>
        <w:t>各级各部门“管发展必须管环保、管行业必须管环保、管生产必须管环保”的责任体系有待健全。</w:t>
      </w:r>
      <w:r>
        <w:t>生态环境保护的陆海统筹、区域协调机制有待建立完善，环境污染问题发现机制仍需进一步落地见效。</w:t>
      </w:r>
      <w:r>
        <w:rPr>
          <w:bCs/>
          <w:szCs w:val="32"/>
        </w:rPr>
        <w:t>生态环境保护相关的地方法规标准仍不完善，土壤污染防治、生态环境监测等领域地方立法存在空白，农业面源、</w:t>
      </w:r>
      <w:r>
        <w:t>污染地块、挥发性有机物等环境治理重点领域缺乏技术标准。</w:t>
      </w:r>
      <w:r>
        <w:rPr>
          <w:bCs/>
          <w:szCs w:val="32"/>
        </w:rPr>
        <w:t>环境治理的市场手段和社会参与程度仍然偏弱，资源环境产权制度尚不健全，资源、能源价格机制有待进一步完善，资源环境的市场配置效率有待进一步提高。</w:t>
      </w:r>
      <w:r>
        <w:t>环境基础能力保障仍显不足，环境风险管控和应急能力建设比较薄弱，环保执法队伍建设、监管能力、管理手段亟需提升，现代信息技术在环境治理领域的应用有待进一步加强。</w:t>
      </w:r>
    </w:p>
    <w:p>
      <w:pPr>
        <w:pStyle w:val="4"/>
        <w:spacing w:before="0" w:after="0" w:line="590" w:lineRule="exact"/>
        <w:ind w:firstLine="641" w:firstLineChars="200"/>
        <w:jc w:val="left"/>
        <w:outlineLvl w:val="1"/>
        <w:rPr>
          <w:rFonts w:ascii="Times New Roman" w:hAnsi="Times New Roman" w:eastAsia="楷体_GB2312"/>
        </w:rPr>
      </w:pPr>
      <w:bookmarkStart w:id="8" w:name="_Toc65248109"/>
      <w:bookmarkStart w:id="9" w:name="_Toc55906090"/>
      <w:r>
        <w:rPr>
          <w:rFonts w:ascii="Times New Roman" w:hAnsi="Times New Roman" w:eastAsia="楷体_GB2312"/>
        </w:rPr>
        <w:t>（三）“十四五”面临的形势</w:t>
      </w:r>
      <w:bookmarkEnd w:id="8"/>
      <w:bookmarkEnd w:id="9"/>
    </w:p>
    <w:p>
      <w:pPr>
        <w:spacing w:line="590" w:lineRule="exact"/>
        <w:ind w:firstLine="640" w:firstLineChars="200"/>
      </w:pPr>
      <w:r>
        <w:t>“十四五”时期，面临中华民族伟大复兴战略全局和世界百年未有之大变局，我省将迈入高水平建设社会主义现代化、高水平建设新时代美丽浙江的新征程，</w:t>
      </w:r>
      <w:r>
        <w:rPr>
          <w:bCs/>
          <w:szCs w:val="32"/>
        </w:rPr>
        <w:t>生态环境保护工作将面临重大机遇和挑战。</w:t>
      </w:r>
    </w:p>
    <w:p>
      <w:pPr>
        <w:spacing w:line="590" w:lineRule="exact"/>
        <w:ind w:firstLine="640" w:firstLineChars="200"/>
        <w:rPr>
          <w:kern w:val="0"/>
          <w:szCs w:val="32"/>
          <w:lang w:val="zh-CN"/>
        </w:rPr>
      </w:pPr>
      <w:r>
        <w:t>机遇和有利因素体现在：</w:t>
      </w:r>
      <w:r>
        <w:rPr>
          <w:b/>
          <w:bCs/>
        </w:rPr>
        <w:t>一是</w:t>
      </w:r>
      <w:r>
        <w:rPr>
          <w:szCs w:val="32"/>
        </w:rPr>
        <w:t>“努力成为新时代全面展</w:t>
      </w:r>
      <w:r>
        <w:t>示中国特色社会主义制度优越性的重要窗口”“高质量发展建设共同富裕示范区”“争创社会主义现代化先行省”“生态文明建设要先行示范”为生态环境保护带来重要政治机遇。</w:t>
      </w:r>
      <w:r>
        <w:rPr>
          <w:b/>
        </w:rPr>
        <w:t>二是</w:t>
      </w:r>
      <w:r>
        <w:rPr>
          <w:kern w:val="0"/>
          <w:szCs w:val="32"/>
          <w:lang w:val="zh-CN"/>
        </w:rPr>
        <w:t>立足新发展阶段，贯彻新发展理念，构建新发展格局，碳达峰、碳中和纳入生态文明建设整体布局，为统筹经济高质量发展和生态环境高水平保护提供重要推手。</w:t>
      </w:r>
      <w:r>
        <w:rPr>
          <w:b/>
          <w:bCs/>
        </w:rPr>
        <w:t>三是</w:t>
      </w:r>
      <w:r>
        <w:t>“一带一路”、长江经济带、长三角一体化发展等国家重大战略在我省交汇落地，为拓展生态环境保护开放合作深度广度、推动区域生态环境联保共治带来新动力。</w:t>
      </w:r>
      <w:r>
        <w:rPr>
          <w:b/>
          <w:bCs/>
        </w:rPr>
        <w:t>四是</w:t>
      </w:r>
      <w:r>
        <w:rPr>
          <w:bCs/>
        </w:rPr>
        <w:t>以</w:t>
      </w:r>
      <w:r>
        <w:t>数字科技创新为核心动力的新时代数字浙江建设全面推进，</w:t>
      </w:r>
      <w:r>
        <w:rPr>
          <w:szCs w:val="32"/>
        </w:rPr>
        <w:t>为产业结构绿色转型赋予新动能，也为</w:t>
      </w:r>
      <w:r>
        <w:t>全面推进生态环境治理现代化提供重要支撑。</w:t>
      </w:r>
      <w:r>
        <w:rPr>
          <w:b/>
          <w:bCs/>
        </w:rPr>
        <w:t>五</w:t>
      </w:r>
      <w:r>
        <w:rPr>
          <w:b/>
          <w:kern w:val="0"/>
          <w:szCs w:val="32"/>
          <w:lang w:val="zh-CN"/>
        </w:rPr>
        <w:t>是</w:t>
      </w:r>
      <w:r>
        <w:rPr>
          <w:kern w:val="0"/>
          <w:szCs w:val="32"/>
          <w:lang w:val="zh-CN"/>
        </w:rPr>
        <w:t>我省大都市区建设和新型城镇化深入推进，将带动全省</w:t>
      </w:r>
      <w:r>
        <w:rPr>
          <w:bCs/>
          <w:szCs w:val="32"/>
        </w:rPr>
        <w:t>城市化进程由速度型向质量型转换，为生态环境系统保护和系统治理提供有利条件。</w:t>
      </w:r>
    </w:p>
    <w:p>
      <w:pPr>
        <w:spacing w:line="590" w:lineRule="exact"/>
        <w:ind w:firstLine="640" w:firstLineChars="200"/>
        <w:rPr>
          <w:bCs/>
        </w:rPr>
      </w:pPr>
      <w:r>
        <w:rPr>
          <w:szCs w:val="32"/>
        </w:rPr>
        <w:t>面临的挑战主要包括：</w:t>
      </w:r>
      <w:r>
        <w:rPr>
          <w:b/>
          <w:bCs/>
          <w:szCs w:val="32"/>
        </w:rPr>
        <w:t>一是</w:t>
      </w:r>
      <w:r>
        <w:rPr>
          <w:szCs w:val="32"/>
        </w:rPr>
        <w:t>新冠肺炎疫情影响广泛深远，世界经济低迷和全球化逆流加大了开放型经济发展的风险，统筹发展和保护的难度增加，生态安全面临新要求新挑战。</w:t>
      </w:r>
      <w:r>
        <w:rPr>
          <w:b/>
          <w:bCs/>
          <w:szCs w:val="32"/>
        </w:rPr>
        <w:t>二是</w:t>
      </w:r>
      <w:r>
        <w:rPr>
          <w:szCs w:val="32"/>
        </w:rPr>
        <w:t>国际社会对应对气候变化、生物多样性保护、海洋环境保护等领域日益关注，碳达峰和碳中和实践带来新的挑战，我省参与全球生态环境治理的治理体系和能力与治理需求仍不相适应。</w:t>
      </w:r>
      <w:r>
        <w:rPr>
          <w:b/>
          <w:bCs/>
          <w:szCs w:val="32"/>
        </w:rPr>
        <w:t>三是</w:t>
      </w:r>
      <w:r>
        <w:rPr>
          <w:bCs/>
          <w:szCs w:val="32"/>
        </w:rPr>
        <w:t>随着新发展阶段、</w:t>
      </w:r>
      <w:r>
        <w:rPr>
          <w:kern w:val="0"/>
          <w:szCs w:val="32"/>
          <w:lang w:val="zh-CN"/>
        </w:rPr>
        <w:t>新发展理念、新发展格局的深入推进</w:t>
      </w:r>
      <w:r>
        <w:rPr>
          <w:bCs/>
          <w:szCs w:val="32"/>
        </w:rPr>
        <w:t>，公众对优美生态环境的需求进一步提升，</w:t>
      </w:r>
      <w:r>
        <w:rPr>
          <w:szCs w:val="32"/>
        </w:rPr>
        <w:t>我省生态环境质量高位持续改善、生态环境保护继续走在前列的压力加大</w:t>
      </w:r>
      <w:r>
        <w:rPr>
          <w:bCs/>
          <w:szCs w:val="32"/>
        </w:rPr>
        <w:t>。</w:t>
      </w:r>
    </w:p>
    <w:p>
      <w:pPr>
        <w:spacing w:line="590" w:lineRule="exact"/>
        <w:ind w:firstLine="640" w:firstLineChars="200"/>
      </w:pPr>
      <w:r>
        <w:t>综合判断，“十四五”以及今后一个时期，我省生态环境保护工作面临的机遇与挑战交织、动力与困难并存，全面推进生态环境保护工作依然任重道远。必须锚定社会主义现代化先行省和美丽中国先行示范区建设目标，保持战略定力，强化系统观念，坚持底线思维，充分把握新机遇新条件，妥善应对各种风险和挑战，努力开创生态环境保护新局面，为高水平推进美丽浙江建设夯实生态环境基础。</w:t>
      </w:r>
    </w:p>
    <w:p>
      <w:pPr>
        <w:pStyle w:val="4"/>
        <w:spacing w:before="0" w:after="0" w:line="590" w:lineRule="exact"/>
        <w:ind w:firstLine="640" w:firstLineChars="200"/>
        <w:jc w:val="left"/>
        <w:rPr>
          <w:rFonts w:ascii="Times New Roman" w:hAnsi="Times New Roman" w:eastAsia="黑体"/>
          <w:b w:val="0"/>
        </w:rPr>
      </w:pPr>
      <w:bookmarkStart w:id="10" w:name="_Toc65248110"/>
      <w:bookmarkStart w:id="11" w:name="_Toc55906091"/>
      <w:r>
        <w:rPr>
          <w:rFonts w:ascii="Times New Roman" w:hAnsi="Times New Roman" w:eastAsia="黑体"/>
          <w:b w:val="0"/>
        </w:rPr>
        <w:t>二、总体要求</w:t>
      </w:r>
      <w:bookmarkEnd w:id="10"/>
      <w:bookmarkEnd w:id="11"/>
    </w:p>
    <w:p>
      <w:pPr>
        <w:pStyle w:val="4"/>
        <w:spacing w:before="0" w:after="0" w:line="590" w:lineRule="exact"/>
        <w:ind w:firstLine="641" w:firstLineChars="200"/>
        <w:jc w:val="left"/>
        <w:outlineLvl w:val="1"/>
        <w:rPr>
          <w:rFonts w:ascii="Times New Roman" w:hAnsi="Times New Roman" w:eastAsia="楷体_GB2312"/>
        </w:rPr>
      </w:pPr>
      <w:bookmarkStart w:id="12" w:name="_Toc55906092"/>
      <w:bookmarkStart w:id="13" w:name="_Toc65248111"/>
      <w:r>
        <w:rPr>
          <w:rFonts w:ascii="Times New Roman" w:hAnsi="Times New Roman" w:eastAsia="楷体_GB2312"/>
        </w:rPr>
        <w:t>（一）指导思想</w:t>
      </w:r>
      <w:bookmarkEnd w:id="12"/>
      <w:bookmarkEnd w:id="13"/>
    </w:p>
    <w:p>
      <w:pPr>
        <w:spacing w:line="590" w:lineRule="exact"/>
        <w:ind w:firstLine="640" w:firstLineChars="200"/>
      </w:pPr>
      <w:r>
        <w:t>坚持以习近平新时代中国特色社会主义思想为指导，深入贯彻习近平生态文明思想，全面贯彻落实党的十九大和十九届二中、三中、四中、五中全会及省</w:t>
      </w:r>
      <w:r>
        <w:rPr>
          <w:rFonts w:hint="eastAsia"/>
        </w:rPr>
        <w:t>第</w:t>
      </w:r>
      <w:r>
        <w:t>十四次党代会和历次全会精神，紧紧围绕“五位一体”总体布局和“四个全面”战略布局，准确把握新发展阶段、深入贯彻新发展理念、主动融入新发展格局，忠实践行“八八战略”、奋力打造“重要窗口”，深入践行“绿水青山就是金山银山”理念，坚决落实碳达峰、碳中和要求，以生态文明建设先行示范为导向，以服务高质量发展为主题，以减污降碳协同增效为总抓手，坚持源头治理、系统治理、整体治理，突出精准治污、科学治污、依法治污，深入打好污染防治攻坚战，全面推进生态修复和生物多样性保护，持续改善环境质量，有效维护生态安全，加快推进生态环境治理体系和治理能力现代化，统筹推动经济社会发展全面绿色转型，努力建设展示人与自然和谐共生、生态文明高度发达的“重要窗口”，高水平绘好新时代“富春山居图”。</w:t>
      </w:r>
    </w:p>
    <w:p>
      <w:pPr>
        <w:pStyle w:val="4"/>
        <w:spacing w:before="0" w:after="0" w:line="590" w:lineRule="exact"/>
        <w:ind w:firstLine="641" w:firstLineChars="200"/>
        <w:jc w:val="left"/>
        <w:outlineLvl w:val="1"/>
        <w:rPr>
          <w:rFonts w:ascii="Times New Roman" w:hAnsi="Times New Roman" w:eastAsia="楷体_GB2312"/>
        </w:rPr>
      </w:pPr>
      <w:bookmarkStart w:id="14" w:name="_Toc55906093"/>
      <w:bookmarkStart w:id="15" w:name="_Toc65248112"/>
      <w:r>
        <w:rPr>
          <w:rFonts w:ascii="Times New Roman" w:hAnsi="Times New Roman" w:eastAsia="楷体_GB2312"/>
        </w:rPr>
        <w:t>（二）基本</w:t>
      </w:r>
      <w:bookmarkEnd w:id="14"/>
      <w:r>
        <w:rPr>
          <w:rFonts w:ascii="Times New Roman" w:hAnsi="Times New Roman" w:eastAsia="楷体_GB2312"/>
        </w:rPr>
        <w:t>原则</w:t>
      </w:r>
      <w:bookmarkEnd w:id="15"/>
    </w:p>
    <w:p>
      <w:pPr>
        <w:spacing w:line="590" w:lineRule="exact"/>
        <w:ind w:firstLine="643" w:firstLineChars="200"/>
        <w:rPr>
          <w:szCs w:val="32"/>
          <w:lang w:val="zh-CN"/>
        </w:rPr>
      </w:pPr>
      <w:r>
        <w:rPr>
          <w:b/>
          <w:szCs w:val="32"/>
          <w:lang w:val="zh-CN"/>
        </w:rPr>
        <w:t>坚持低碳引领、绿色发展。</w:t>
      </w:r>
      <w:r>
        <w:rPr>
          <w:szCs w:val="32"/>
          <w:lang w:val="zh-CN"/>
        </w:rPr>
        <w:t>以碳达峰目标和碳中和愿景为引领，把生态环境保护主动融入经济社会发展全过程，</w:t>
      </w:r>
      <w:r>
        <w:t>科学合理布局生产、生活和生态空间，</w:t>
      </w:r>
      <w:r>
        <w:rPr>
          <w:szCs w:val="32"/>
          <w:lang w:val="zh-CN"/>
        </w:rPr>
        <w:t>加快构建绿色低碳的产业体系、能源体系和综合交通体系，</w:t>
      </w:r>
      <w:r>
        <w:t>有效控制重点领域温室气体排放，</w:t>
      </w:r>
      <w:r>
        <w:rPr>
          <w:szCs w:val="32"/>
          <w:lang w:val="zh-CN"/>
        </w:rPr>
        <w:t>推动生产生活方式绿色低碳转型。</w:t>
      </w:r>
    </w:p>
    <w:p>
      <w:pPr>
        <w:spacing w:line="590" w:lineRule="exact"/>
        <w:ind w:firstLine="643" w:firstLineChars="200"/>
        <w:rPr>
          <w:szCs w:val="32"/>
          <w:lang w:val="zh-CN"/>
        </w:rPr>
      </w:pPr>
      <w:r>
        <w:rPr>
          <w:b/>
          <w:szCs w:val="32"/>
          <w:lang w:val="zh-CN"/>
        </w:rPr>
        <w:t>坚持安全为基、系统</w:t>
      </w:r>
      <w:r>
        <w:rPr>
          <w:b/>
          <w:szCs w:val="32"/>
        </w:rPr>
        <w:t>治理</w:t>
      </w:r>
      <w:r>
        <w:rPr>
          <w:b/>
          <w:szCs w:val="32"/>
          <w:lang w:val="zh-CN"/>
        </w:rPr>
        <w:t>。</w:t>
      </w:r>
      <w:r>
        <w:rPr>
          <w:szCs w:val="32"/>
        </w:rPr>
        <w:t>牢固树立底线思维，</w:t>
      </w:r>
      <w:r>
        <w:rPr>
          <w:szCs w:val="32"/>
          <w:lang w:val="zh-CN"/>
        </w:rPr>
        <w:t>坚持系统观念系统方法，以改善环境质量为核心，统筹山水林田湖草</w:t>
      </w:r>
      <w:r>
        <w:rPr>
          <w:szCs w:val="32"/>
        </w:rPr>
        <w:t>保护修复</w:t>
      </w:r>
      <w:r>
        <w:rPr>
          <w:szCs w:val="32"/>
          <w:lang w:val="zh-CN"/>
        </w:rPr>
        <w:t>，</w:t>
      </w:r>
      <w:r>
        <w:rPr>
          <w:szCs w:val="32"/>
        </w:rPr>
        <w:t>夯实全省生态安全基底，</w:t>
      </w:r>
      <w:r>
        <w:rPr>
          <w:szCs w:val="32"/>
          <w:lang w:val="zh-CN"/>
        </w:rPr>
        <w:t>注重减污降碳协同</w:t>
      </w:r>
      <w:r>
        <w:rPr>
          <w:szCs w:val="32"/>
        </w:rPr>
        <w:t>，</w:t>
      </w:r>
      <w:r>
        <w:rPr>
          <w:szCs w:val="32"/>
          <w:lang w:val="zh-CN"/>
        </w:rPr>
        <w:t>推进应对气候变化与环境治理、生态保护修复等协同增效</w:t>
      </w:r>
      <w:r>
        <w:rPr>
          <w:szCs w:val="32"/>
        </w:rPr>
        <w:t>。</w:t>
      </w:r>
    </w:p>
    <w:p>
      <w:pPr>
        <w:spacing w:line="590" w:lineRule="exact"/>
        <w:ind w:firstLine="643" w:firstLineChars="200"/>
        <w:rPr>
          <w:szCs w:val="32"/>
          <w:lang w:val="zh-CN"/>
        </w:rPr>
      </w:pPr>
      <w:r>
        <w:rPr>
          <w:b/>
          <w:szCs w:val="32"/>
          <w:lang w:val="zh-CN"/>
        </w:rPr>
        <w:t>坚持数字赋能、深化改革。</w:t>
      </w:r>
      <w:r>
        <w:rPr>
          <w:szCs w:val="32"/>
          <w:lang w:val="zh-CN"/>
        </w:rPr>
        <w:t>以数字化改革为牵引，坚持“整体智治、唯实惟先”，建立健全法治体系和市场化机制，强化科技创新和数字赋能，推进生态环境领域数字化转型，提升生态环境治理的科学化、智能化水平。</w:t>
      </w:r>
    </w:p>
    <w:p>
      <w:pPr>
        <w:spacing w:line="590" w:lineRule="exact"/>
        <w:ind w:firstLine="643" w:firstLineChars="200"/>
        <w:rPr>
          <w:kern w:val="0"/>
          <w:szCs w:val="32"/>
        </w:rPr>
      </w:pPr>
      <w:r>
        <w:rPr>
          <w:b/>
          <w:szCs w:val="32"/>
          <w:lang w:val="zh-CN"/>
        </w:rPr>
        <w:t>坚持开放协作、全民共治。</w:t>
      </w:r>
      <w:r>
        <w:rPr>
          <w:szCs w:val="32"/>
          <w:lang w:val="zh-CN"/>
        </w:rPr>
        <w:t>加强生态环境领域信息公开，以公开推动监督，以监督推动落实</w:t>
      </w:r>
      <w:r>
        <w:rPr>
          <w:szCs w:val="32"/>
        </w:rPr>
        <w:t>，</w:t>
      </w:r>
      <w:r>
        <w:rPr>
          <w:szCs w:val="32"/>
          <w:lang w:val="zh-CN"/>
        </w:rPr>
        <w:t>引导社会公众有序参与环境决策、环境治理和环境监督，倡导绿色生活生产方式，提升全民生态自觉，形成政府、企业、公众良性互动的环境共治体系。</w:t>
      </w:r>
    </w:p>
    <w:p>
      <w:pPr>
        <w:pStyle w:val="4"/>
        <w:spacing w:before="0" w:after="0" w:line="590" w:lineRule="exact"/>
        <w:ind w:firstLine="641" w:firstLineChars="200"/>
        <w:jc w:val="left"/>
        <w:outlineLvl w:val="1"/>
        <w:rPr>
          <w:rFonts w:ascii="Times New Roman" w:hAnsi="Times New Roman" w:eastAsia="楷体_GB2312"/>
        </w:rPr>
      </w:pPr>
      <w:bookmarkStart w:id="16" w:name="_Toc65248113"/>
      <w:r>
        <w:rPr>
          <w:rFonts w:ascii="Times New Roman" w:hAnsi="Times New Roman" w:eastAsia="楷体_GB2312"/>
        </w:rPr>
        <w:t>（三）规划目标</w:t>
      </w:r>
      <w:bookmarkEnd w:id="16"/>
    </w:p>
    <w:p>
      <w:pPr>
        <w:pStyle w:val="2"/>
        <w:spacing w:after="0" w:line="590" w:lineRule="exact"/>
        <w:ind w:left="0" w:leftChars="0" w:right="0" w:rightChars="0" w:firstLine="643" w:firstLineChars="200"/>
        <w:rPr>
          <w:b/>
          <w:lang w:val="zh-CN"/>
        </w:rPr>
      </w:pPr>
      <w:r>
        <w:rPr>
          <w:b/>
          <w:lang w:val="zh-CN"/>
        </w:rPr>
        <w:t>1. 总体目标</w:t>
      </w:r>
    </w:p>
    <w:p>
      <w:pPr>
        <w:spacing w:line="590" w:lineRule="exact"/>
        <w:ind w:firstLine="640" w:firstLineChars="200"/>
      </w:pPr>
      <w:r>
        <w:t>展望二</w:t>
      </w:r>
      <w:r>
        <w:rPr>
          <w:rFonts w:hint="eastAsia" w:ascii="仿宋_GB2312"/>
        </w:rPr>
        <w:t>○</w:t>
      </w:r>
      <w:r>
        <w:t>三五年，高质量建成美丽中国先行示范区，基本实现人与自然和谐共生的现代化。全省生产空间集约高效、生活空间宜居适度、生态空间山清水秀、生态文明高度发达的空间格局、产业结构、生产方式、生活方式全面形成，绿色低碳发展水平和生态环境质量达到国内领先、国际先进水平，碳排放达峰后稳中有降，生态环境治理体系和治理能力现代化全面实现，绿色成为浙江发展最动人的色彩。</w:t>
      </w:r>
    </w:p>
    <w:p>
      <w:pPr>
        <w:spacing w:line="590" w:lineRule="exact"/>
        <w:ind w:firstLine="640" w:firstLineChars="200"/>
        <w:rPr>
          <w:szCs w:val="32"/>
        </w:rPr>
      </w:pPr>
      <w:r>
        <w:t>锚定二</w:t>
      </w:r>
      <w:r>
        <w:rPr>
          <w:rFonts w:hint="eastAsia" w:ascii="仿宋_GB2312"/>
        </w:rPr>
        <w:t>○</w:t>
      </w:r>
      <w:r>
        <w:t>三五年远景目标，“十四五”时期，</w:t>
      </w:r>
      <w:r>
        <w:rPr>
          <w:szCs w:val="32"/>
        </w:rPr>
        <w:t>基本建成美丽中国先行示范区。绿色低碳发展水平显著提升，</w:t>
      </w:r>
      <w:r>
        <w:t>主要污染物排放总量持续减少，碳排放强度持续下降，生态环境质量高位持续改善，生态环境安全得到有力保障，现代环境治理体系基本建立，诗画浙江大花园基本建成</w:t>
      </w:r>
      <w:r>
        <w:rPr>
          <w:szCs w:val="32"/>
        </w:rPr>
        <w:t>。</w:t>
      </w:r>
    </w:p>
    <w:p>
      <w:pPr>
        <w:spacing w:line="590" w:lineRule="exact"/>
        <w:ind w:firstLine="643" w:firstLineChars="200"/>
        <w:rPr>
          <w:szCs w:val="32"/>
        </w:rPr>
      </w:pPr>
      <w:r>
        <w:rPr>
          <w:b/>
        </w:rPr>
        <w:t>——绿色协调发展格局总体形成。</w:t>
      </w:r>
      <w:r>
        <w:t>省域空间发展格局进一步优化，</w:t>
      </w:r>
      <w:r>
        <w:rPr>
          <w:szCs w:val="32"/>
        </w:rPr>
        <w:t>高质量打通绿水青山就是金山银山转化通道，生态产品价值实现路径进一步拓宽；</w:t>
      </w:r>
      <w:r>
        <w:t>碳排放强度持续降低，</w:t>
      </w:r>
      <w:r>
        <w:rPr>
          <w:szCs w:val="32"/>
        </w:rPr>
        <w:t>应对气候变化能力明显增强，全民生态自觉稳步提升。</w:t>
      </w:r>
    </w:p>
    <w:p>
      <w:pPr>
        <w:spacing w:line="560" w:lineRule="exact"/>
        <w:ind w:firstLine="643" w:firstLineChars="200"/>
      </w:pPr>
      <w:r>
        <w:rPr>
          <w:b/>
        </w:rPr>
        <w:t>——生态环境质量高位持续改善。</w:t>
      </w:r>
      <w:r>
        <w:t>环境空气质量持续改善，实现PM</w:t>
      </w:r>
      <w:r>
        <w:rPr>
          <w:vertAlign w:val="subscript"/>
        </w:rPr>
        <w:t>2.5</w:t>
      </w:r>
      <w:r>
        <w:t>和臭氧（O</w:t>
      </w:r>
      <w:r>
        <w:rPr>
          <w:vertAlign w:val="subscript"/>
        </w:rPr>
        <w:t>3</w:t>
      </w:r>
      <w:r>
        <w:t>）“双控双减”，全面消除重污染天气，基本消除中度污染天气；水环境质量全面改善，水生态功能初步恢复，地表水省控断面达到或优于III类水质比例达到95%以上，基本消除省控以上V类断面；海洋生态环境</w:t>
      </w:r>
      <w:r>
        <w:rPr>
          <w:lang w:bidi="ar"/>
        </w:rPr>
        <w:t>稳中向好</w:t>
      </w:r>
      <w:r>
        <w:t>；受污染耕地和污染地块得到安全利用；所有设区城市和60%的县（市、区）完成“无废城市”建设；全省天更蓝、地更净、水更清、空气更清新，生态环境公众满意度稳步提升。</w:t>
      </w:r>
    </w:p>
    <w:p>
      <w:pPr>
        <w:spacing w:line="560" w:lineRule="exact"/>
        <w:ind w:firstLine="643" w:firstLineChars="200"/>
      </w:pPr>
      <w:r>
        <w:rPr>
          <w:b/>
        </w:rPr>
        <w:t>——生态环境安全得到有力保障。</w:t>
      </w:r>
      <w:r>
        <w:rPr>
          <w:bCs/>
        </w:rPr>
        <w:t>山水林田湖草系统保护修复全面推进，</w:t>
      </w:r>
      <w:r>
        <w:t>生态系统质量和稳定性全面提升，生物多样性得到有效保护，</w:t>
      </w:r>
      <w:r>
        <w:rPr>
          <w:szCs w:val="32"/>
          <w:lang w:val="zh-CN"/>
        </w:rPr>
        <w:t>生态安全得到有效维护，</w:t>
      </w:r>
      <w:r>
        <w:t>生态环境风险防控有力，优质生态产品供给基本满足公众需求。</w:t>
      </w:r>
    </w:p>
    <w:p>
      <w:pPr>
        <w:spacing w:line="560" w:lineRule="exact"/>
        <w:ind w:firstLine="643" w:firstLineChars="200"/>
      </w:pPr>
      <w:r>
        <w:rPr>
          <w:b/>
        </w:rPr>
        <w:t>——现代环境治理体系基本建立。</w:t>
      </w:r>
      <w:r>
        <w:t>导向清晰、决策科学、执行有力、激励有效、多元参与的现代环境治理体系基本建立，政府治理、社会调节和企业自治实现良性互动，生态环境共保联治机制不断强化，</w:t>
      </w:r>
      <w:r>
        <w:rPr>
          <w:szCs w:val="32"/>
        </w:rPr>
        <w:t>生态环境监管数字化、智能化步伐加快，</w:t>
      </w:r>
      <w:r>
        <w:t>生态环境治理效能显著提升。</w:t>
      </w:r>
    </w:p>
    <w:p>
      <w:pPr>
        <w:pStyle w:val="2"/>
        <w:spacing w:after="0" w:line="560" w:lineRule="exact"/>
        <w:ind w:left="0" w:leftChars="0" w:right="0" w:rightChars="0" w:firstLine="643" w:firstLineChars="200"/>
        <w:jc w:val="left"/>
        <w:rPr>
          <w:b/>
          <w:lang w:val="zh-CN"/>
        </w:rPr>
      </w:pPr>
      <w:r>
        <w:rPr>
          <w:b/>
          <w:lang w:val="zh-CN"/>
        </w:rPr>
        <w:t>2. 主要指标</w:t>
      </w:r>
    </w:p>
    <w:p>
      <w:pPr>
        <w:pStyle w:val="2"/>
        <w:spacing w:after="0" w:line="560" w:lineRule="exact"/>
        <w:ind w:left="0" w:leftChars="0" w:right="0" w:rightChars="0" w:firstLine="640" w:firstLineChars="200"/>
      </w:pPr>
      <w:r>
        <w:t>“十四五”期间共设置生态环境保护主要指标18项，其中约束性指标7项，预期性指标11项，涵盖</w:t>
      </w:r>
      <w:r>
        <w:rPr>
          <w:szCs w:val="32"/>
        </w:rPr>
        <w:t>环境质量、污染减排、风险防控、生态保护、低碳发展五大领域</w:t>
      </w:r>
      <w:r>
        <w:t>。</w:t>
      </w:r>
    </w:p>
    <w:p>
      <w:pPr>
        <w:spacing w:before="240" w:beforeLines="100" w:after="240" w:afterLines="100" w:line="590" w:lineRule="exact"/>
        <w:jc w:val="center"/>
        <w:rPr>
          <w:rFonts w:eastAsia="黑体"/>
          <w:sz w:val="28"/>
          <w:szCs w:val="28"/>
          <w:lang w:bidi="ar"/>
        </w:rPr>
      </w:pPr>
      <w:r>
        <w:rPr>
          <w:rFonts w:eastAsia="黑体"/>
          <w:sz w:val="28"/>
          <w:szCs w:val="28"/>
          <w:lang w:bidi="ar"/>
        </w:rPr>
        <w:t>表2  浙江省“十四五”生态环境保护主要指标</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31"/>
        <w:gridCol w:w="518"/>
        <w:gridCol w:w="1938"/>
        <w:gridCol w:w="1845"/>
        <w:gridCol w:w="1522"/>
        <w:gridCol w:w="1512"/>
        <w:gridCol w:w="8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tblHeader/>
          <w:jc w:val="center"/>
        </w:trPr>
        <w:tc>
          <w:tcPr>
            <w:tcW w:w="631" w:type="dxa"/>
            <w:vAlign w:val="center"/>
          </w:tcPr>
          <w:p>
            <w:pPr>
              <w:widowControl/>
              <w:adjustRightInd w:val="0"/>
              <w:snapToGrid w:val="0"/>
              <w:spacing w:line="280" w:lineRule="exact"/>
              <w:jc w:val="center"/>
              <w:rPr>
                <w:rFonts w:eastAsia="黑体"/>
                <w:bCs/>
                <w:spacing w:val="-6"/>
                <w:kern w:val="0"/>
                <w:sz w:val="24"/>
              </w:rPr>
            </w:pPr>
            <w:r>
              <w:rPr>
                <w:rFonts w:eastAsia="黑体"/>
                <w:bCs/>
                <w:spacing w:val="-6"/>
                <w:kern w:val="0"/>
                <w:sz w:val="24"/>
              </w:rPr>
              <w:t>指标类别</w:t>
            </w:r>
          </w:p>
        </w:tc>
        <w:tc>
          <w:tcPr>
            <w:tcW w:w="518" w:type="dxa"/>
            <w:vAlign w:val="center"/>
          </w:tcPr>
          <w:p>
            <w:pPr>
              <w:widowControl/>
              <w:adjustRightInd w:val="0"/>
              <w:snapToGrid w:val="0"/>
              <w:spacing w:line="280" w:lineRule="exact"/>
              <w:jc w:val="center"/>
              <w:rPr>
                <w:rFonts w:eastAsia="黑体"/>
                <w:bCs/>
                <w:spacing w:val="-6"/>
                <w:kern w:val="0"/>
                <w:sz w:val="24"/>
              </w:rPr>
            </w:pPr>
            <w:r>
              <w:rPr>
                <w:rFonts w:eastAsia="黑体"/>
                <w:bCs/>
                <w:spacing w:val="-6"/>
                <w:kern w:val="0"/>
                <w:sz w:val="24"/>
              </w:rPr>
              <w:t>序号</w:t>
            </w:r>
          </w:p>
        </w:tc>
        <w:tc>
          <w:tcPr>
            <w:tcW w:w="3783" w:type="dxa"/>
            <w:gridSpan w:val="2"/>
            <w:vAlign w:val="center"/>
          </w:tcPr>
          <w:p>
            <w:pPr>
              <w:widowControl/>
              <w:adjustRightInd w:val="0"/>
              <w:snapToGrid w:val="0"/>
              <w:spacing w:line="280" w:lineRule="exact"/>
              <w:jc w:val="center"/>
              <w:rPr>
                <w:rFonts w:eastAsia="黑体"/>
                <w:bCs/>
                <w:spacing w:val="-6"/>
                <w:kern w:val="0"/>
                <w:sz w:val="24"/>
              </w:rPr>
            </w:pPr>
            <w:r>
              <w:rPr>
                <w:rFonts w:eastAsia="黑体"/>
                <w:bCs/>
                <w:spacing w:val="-6"/>
                <w:kern w:val="0"/>
                <w:sz w:val="24"/>
              </w:rPr>
              <w:t>指</w:t>
            </w:r>
            <w:r>
              <w:rPr>
                <w:rFonts w:hint="eastAsia" w:eastAsia="黑体"/>
                <w:bCs/>
                <w:spacing w:val="-6"/>
                <w:kern w:val="0"/>
                <w:sz w:val="24"/>
              </w:rPr>
              <w:t xml:space="preserve">  </w:t>
            </w:r>
            <w:r>
              <w:rPr>
                <w:rFonts w:eastAsia="黑体"/>
                <w:bCs/>
                <w:spacing w:val="-6"/>
                <w:kern w:val="0"/>
                <w:sz w:val="24"/>
              </w:rPr>
              <w:t>标</w:t>
            </w:r>
            <w:r>
              <w:rPr>
                <w:rFonts w:hint="eastAsia" w:eastAsia="黑体"/>
                <w:bCs/>
                <w:spacing w:val="-6"/>
                <w:kern w:val="0"/>
                <w:sz w:val="24"/>
              </w:rPr>
              <w:t xml:space="preserve">  </w:t>
            </w:r>
            <w:r>
              <w:rPr>
                <w:rFonts w:eastAsia="黑体"/>
                <w:bCs/>
                <w:spacing w:val="-6"/>
                <w:kern w:val="0"/>
                <w:sz w:val="24"/>
              </w:rPr>
              <w:t>名</w:t>
            </w:r>
            <w:r>
              <w:rPr>
                <w:rFonts w:hint="eastAsia" w:eastAsia="黑体"/>
                <w:bCs/>
                <w:spacing w:val="-6"/>
                <w:kern w:val="0"/>
                <w:sz w:val="24"/>
              </w:rPr>
              <w:t xml:space="preserve">  </w:t>
            </w:r>
            <w:r>
              <w:rPr>
                <w:rFonts w:eastAsia="黑体"/>
                <w:bCs/>
                <w:spacing w:val="-6"/>
                <w:kern w:val="0"/>
                <w:sz w:val="24"/>
              </w:rPr>
              <w:t>称</w:t>
            </w:r>
          </w:p>
        </w:tc>
        <w:tc>
          <w:tcPr>
            <w:tcW w:w="1522" w:type="dxa"/>
            <w:vAlign w:val="center"/>
          </w:tcPr>
          <w:p>
            <w:pPr>
              <w:widowControl/>
              <w:adjustRightInd w:val="0"/>
              <w:snapToGrid w:val="0"/>
              <w:spacing w:line="280" w:lineRule="exact"/>
              <w:jc w:val="center"/>
              <w:rPr>
                <w:rFonts w:eastAsia="黑体"/>
                <w:bCs/>
                <w:spacing w:val="-6"/>
                <w:kern w:val="0"/>
                <w:sz w:val="24"/>
              </w:rPr>
            </w:pPr>
            <w:r>
              <w:rPr>
                <w:rFonts w:eastAsia="黑体"/>
                <w:bCs/>
                <w:spacing w:val="-6"/>
                <w:kern w:val="0"/>
                <w:sz w:val="24"/>
              </w:rPr>
              <w:t>2020年</w:t>
            </w:r>
          </w:p>
        </w:tc>
        <w:tc>
          <w:tcPr>
            <w:tcW w:w="1512" w:type="dxa"/>
            <w:vAlign w:val="center"/>
          </w:tcPr>
          <w:p>
            <w:pPr>
              <w:widowControl/>
              <w:adjustRightInd w:val="0"/>
              <w:snapToGrid w:val="0"/>
              <w:spacing w:line="280" w:lineRule="exact"/>
              <w:jc w:val="center"/>
              <w:rPr>
                <w:rFonts w:eastAsia="黑体"/>
                <w:bCs/>
                <w:spacing w:val="-6"/>
                <w:kern w:val="0"/>
                <w:sz w:val="24"/>
              </w:rPr>
            </w:pPr>
            <w:r>
              <w:rPr>
                <w:rFonts w:eastAsia="黑体"/>
                <w:bCs/>
                <w:spacing w:val="-6"/>
                <w:kern w:val="0"/>
                <w:sz w:val="24"/>
              </w:rPr>
              <w:t>2025年目标</w:t>
            </w:r>
          </w:p>
        </w:tc>
        <w:tc>
          <w:tcPr>
            <w:tcW w:w="879" w:type="dxa"/>
            <w:vAlign w:val="center"/>
          </w:tcPr>
          <w:p>
            <w:pPr>
              <w:widowControl/>
              <w:adjustRightInd w:val="0"/>
              <w:snapToGrid w:val="0"/>
              <w:spacing w:line="280" w:lineRule="exact"/>
              <w:jc w:val="center"/>
              <w:rPr>
                <w:rFonts w:eastAsia="黑体"/>
                <w:bCs/>
                <w:spacing w:val="-6"/>
                <w:kern w:val="0"/>
                <w:sz w:val="24"/>
              </w:rPr>
            </w:pPr>
            <w:r>
              <w:rPr>
                <w:rFonts w:eastAsia="黑体"/>
                <w:bCs/>
                <w:spacing w:val="-6"/>
                <w:kern w:val="0"/>
                <w:sz w:val="24"/>
              </w:rPr>
              <w:t>指</w:t>
            </w:r>
            <w:r>
              <w:rPr>
                <w:rFonts w:hint="eastAsia" w:eastAsia="黑体"/>
                <w:bCs/>
                <w:spacing w:val="-6"/>
                <w:kern w:val="0"/>
                <w:sz w:val="24"/>
              </w:rPr>
              <w:t xml:space="preserve"> </w:t>
            </w:r>
            <w:r>
              <w:rPr>
                <w:rFonts w:eastAsia="黑体"/>
                <w:bCs/>
                <w:spacing w:val="-6"/>
                <w:kern w:val="0"/>
                <w:sz w:val="24"/>
              </w:rPr>
              <w:t>标</w:t>
            </w:r>
          </w:p>
          <w:p>
            <w:pPr>
              <w:widowControl/>
              <w:adjustRightInd w:val="0"/>
              <w:snapToGrid w:val="0"/>
              <w:spacing w:line="280" w:lineRule="exact"/>
              <w:jc w:val="center"/>
              <w:rPr>
                <w:rFonts w:eastAsia="黑体"/>
                <w:bCs/>
                <w:spacing w:val="-6"/>
                <w:kern w:val="0"/>
                <w:sz w:val="24"/>
              </w:rPr>
            </w:pPr>
            <w:r>
              <w:rPr>
                <w:rFonts w:eastAsia="黑体"/>
                <w:bCs/>
                <w:spacing w:val="-6"/>
                <w:kern w:val="0"/>
                <w:sz w:val="24"/>
              </w:rPr>
              <w:t>性</w:t>
            </w:r>
            <w:r>
              <w:rPr>
                <w:rFonts w:hint="eastAsia" w:eastAsia="黑体"/>
                <w:bCs/>
                <w:spacing w:val="-6"/>
                <w:kern w:val="0"/>
                <w:sz w:val="24"/>
              </w:rPr>
              <w:t xml:space="preserve"> </w:t>
            </w:r>
            <w:r>
              <w:rPr>
                <w:rFonts w:eastAsia="黑体"/>
                <w:bCs/>
                <w:spacing w:val="-6"/>
                <w:kern w:val="0"/>
                <w:sz w:val="24"/>
              </w:rPr>
              <w:t>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restart"/>
            <w:vAlign w:val="center"/>
          </w:tcPr>
          <w:p>
            <w:pPr>
              <w:widowControl/>
              <w:adjustRightInd w:val="0"/>
              <w:snapToGrid w:val="0"/>
              <w:spacing w:line="280" w:lineRule="exact"/>
              <w:jc w:val="center"/>
              <w:rPr>
                <w:bCs/>
                <w:spacing w:val="-6"/>
                <w:kern w:val="0"/>
                <w:sz w:val="24"/>
              </w:rPr>
            </w:pPr>
            <w:r>
              <w:rPr>
                <w:bCs/>
                <w:spacing w:val="-6"/>
                <w:kern w:val="0"/>
                <w:sz w:val="24"/>
              </w:rPr>
              <w:t>环境质量</w:t>
            </w: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1</w:t>
            </w:r>
          </w:p>
        </w:tc>
        <w:tc>
          <w:tcPr>
            <w:tcW w:w="3783" w:type="dxa"/>
            <w:gridSpan w:val="2"/>
            <w:vAlign w:val="center"/>
          </w:tcPr>
          <w:p>
            <w:pPr>
              <w:widowControl/>
              <w:adjustRightInd w:val="0"/>
              <w:snapToGrid w:val="0"/>
              <w:spacing w:line="280" w:lineRule="exact"/>
              <w:jc w:val="center"/>
              <w:rPr>
                <w:bCs/>
                <w:spacing w:val="-10"/>
                <w:kern w:val="0"/>
                <w:sz w:val="24"/>
              </w:rPr>
            </w:pPr>
            <w:r>
              <w:rPr>
                <w:bCs/>
                <w:spacing w:val="-10"/>
                <w:kern w:val="0"/>
                <w:sz w:val="24"/>
              </w:rPr>
              <w:t>设区城市空气质量优良天数比率（%）</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93.3</w:t>
            </w:r>
          </w:p>
        </w:tc>
        <w:tc>
          <w:tcPr>
            <w:tcW w:w="1512" w:type="dxa"/>
            <w:vAlign w:val="center"/>
          </w:tcPr>
          <w:p>
            <w:pPr>
              <w:widowControl/>
              <w:adjustRightInd w:val="0"/>
              <w:snapToGrid w:val="0"/>
              <w:spacing w:line="280" w:lineRule="exact"/>
              <w:jc w:val="center"/>
              <w:rPr>
                <w:bCs/>
                <w:spacing w:val="-6"/>
                <w:kern w:val="0"/>
                <w:sz w:val="24"/>
              </w:rPr>
            </w:pPr>
            <w:r>
              <w:rPr>
                <w:bCs/>
                <w:spacing w:val="-6"/>
                <w:kern w:val="0"/>
                <w:sz w:val="24"/>
              </w:rPr>
              <w:t>国家下达指标</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95"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2</w:t>
            </w:r>
          </w:p>
        </w:tc>
        <w:tc>
          <w:tcPr>
            <w:tcW w:w="3783" w:type="dxa"/>
            <w:gridSpan w:val="2"/>
            <w:vAlign w:val="center"/>
          </w:tcPr>
          <w:p>
            <w:pPr>
              <w:widowControl/>
              <w:adjustRightInd w:val="0"/>
              <w:snapToGrid w:val="0"/>
              <w:spacing w:line="280" w:lineRule="exact"/>
              <w:jc w:val="center"/>
              <w:rPr>
                <w:bCs/>
                <w:spacing w:val="-6"/>
                <w:kern w:val="0"/>
                <w:sz w:val="24"/>
              </w:rPr>
            </w:pPr>
            <w:r>
              <w:rPr>
                <w:bCs/>
                <w:spacing w:val="-6"/>
                <w:kern w:val="0"/>
                <w:sz w:val="24"/>
              </w:rPr>
              <w:t>设区城市细颗粒物（PM</w:t>
            </w:r>
            <w:r>
              <w:rPr>
                <w:bCs/>
                <w:spacing w:val="-6"/>
                <w:kern w:val="0"/>
                <w:sz w:val="24"/>
                <w:vertAlign w:val="subscript"/>
              </w:rPr>
              <w:t>2.5</w:t>
            </w:r>
            <w:r>
              <w:rPr>
                <w:bCs/>
                <w:spacing w:val="-6"/>
                <w:kern w:val="0"/>
                <w:sz w:val="24"/>
              </w:rPr>
              <w:t>）平均浓度（µg/m</w:t>
            </w:r>
            <w:r>
              <w:rPr>
                <w:bCs/>
                <w:spacing w:val="-6"/>
                <w:kern w:val="0"/>
                <w:sz w:val="24"/>
                <w:vertAlign w:val="superscript"/>
              </w:rPr>
              <w:t>3</w:t>
            </w:r>
            <w:r>
              <w:rPr>
                <w:bCs/>
                <w:spacing w:val="-6"/>
                <w:kern w:val="0"/>
                <w:sz w:val="24"/>
              </w:rPr>
              <w:t>）</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25</w:t>
            </w:r>
          </w:p>
        </w:tc>
        <w:tc>
          <w:tcPr>
            <w:tcW w:w="1512" w:type="dxa"/>
            <w:vAlign w:val="center"/>
          </w:tcPr>
          <w:p>
            <w:pPr>
              <w:widowControl/>
              <w:adjustRightInd w:val="0"/>
              <w:snapToGrid w:val="0"/>
              <w:spacing w:line="280" w:lineRule="exact"/>
              <w:jc w:val="center"/>
              <w:rPr>
                <w:bCs/>
                <w:spacing w:val="-6"/>
                <w:kern w:val="0"/>
                <w:sz w:val="24"/>
              </w:rPr>
            </w:pPr>
            <w:r>
              <w:rPr>
                <w:bCs/>
                <w:spacing w:val="-6"/>
                <w:kern w:val="0"/>
                <w:sz w:val="24"/>
              </w:rPr>
              <w:t>国家下达指标</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95"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3</w:t>
            </w:r>
          </w:p>
        </w:tc>
        <w:tc>
          <w:tcPr>
            <w:tcW w:w="3783" w:type="dxa"/>
            <w:gridSpan w:val="2"/>
            <w:vAlign w:val="center"/>
          </w:tcPr>
          <w:p>
            <w:pPr>
              <w:widowControl/>
              <w:adjustRightInd w:val="0"/>
              <w:snapToGrid w:val="0"/>
              <w:spacing w:line="280" w:lineRule="exact"/>
              <w:jc w:val="center"/>
              <w:rPr>
                <w:bCs/>
                <w:spacing w:val="-6"/>
                <w:kern w:val="0"/>
                <w:sz w:val="24"/>
              </w:rPr>
            </w:pPr>
            <w:r>
              <w:rPr>
                <w:bCs/>
                <w:spacing w:val="-6"/>
                <w:kern w:val="0"/>
                <w:sz w:val="24"/>
              </w:rPr>
              <w:t>地表水省控断面达到或优于Ⅲ类水质比例（%）*</w:t>
            </w:r>
          </w:p>
        </w:tc>
        <w:tc>
          <w:tcPr>
            <w:tcW w:w="1522" w:type="dxa"/>
            <w:vAlign w:val="center"/>
          </w:tcPr>
          <w:p>
            <w:pPr>
              <w:widowControl/>
              <w:adjustRightInd w:val="0"/>
              <w:snapToGrid w:val="0"/>
              <w:spacing w:line="280" w:lineRule="exact"/>
              <w:jc w:val="center"/>
              <w:rPr>
                <w:rFonts w:hint="eastAsia"/>
                <w:bCs/>
                <w:spacing w:val="-6"/>
                <w:kern w:val="0"/>
                <w:sz w:val="24"/>
              </w:rPr>
            </w:pPr>
            <w:r>
              <w:rPr>
                <w:bCs/>
                <w:spacing w:val="-6"/>
                <w:kern w:val="0"/>
                <w:sz w:val="24"/>
              </w:rPr>
              <w:t>93.9</w:t>
            </w:r>
          </w:p>
          <w:p>
            <w:pPr>
              <w:widowControl/>
              <w:adjustRightInd w:val="0"/>
              <w:snapToGrid w:val="0"/>
              <w:spacing w:line="280" w:lineRule="exact"/>
              <w:jc w:val="center"/>
              <w:rPr>
                <w:spacing w:val="-6"/>
                <w:sz w:val="24"/>
              </w:rPr>
            </w:pPr>
            <w:r>
              <w:rPr>
                <w:bCs/>
                <w:spacing w:val="-6"/>
                <w:kern w:val="0"/>
                <w:sz w:val="24"/>
              </w:rPr>
              <w:t>（296个</w:t>
            </w:r>
            <w:r>
              <w:rPr>
                <w:rFonts w:hint="eastAsia"/>
                <w:bCs/>
                <w:spacing w:val="-6"/>
                <w:kern w:val="0"/>
                <w:sz w:val="24"/>
              </w:rPr>
              <w:t>断面</w:t>
            </w:r>
            <w:r>
              <w:rPr>
                <w:bCs/>
                <w:spacing w:val="-6"/>
                <w:kern w:val="0"/>
                <w:sz w:val="24"/>
              </w:rPr>
              <w:t>）</w:t>
            </w:r>
          </w:p>
        </w:tc>
        <w:tc>
          <w:tcPr>
            <w:tcW w:w="1512" w:type="dxa"/>
            <w:vAlign w:val="center"/>
          </w:tcPr>
          <w:p>
            <w:pPr>
              <w:widowControl/>
              <w:adjustRightInd w:val="0"/>
              <w:snapToGrid w:val="0"/>
              <w:spacing w:line="280" w:lineRule="exact"/>
              <w:jc w:val="center"/>
              <w:rPr>
                <w:rFonts w:hint="eastAsia"/>
                <w:bCs/>
                <w:spacing w:val="-6"/>
                <w:kern w:val="0"/>
                <w:sz w:val="24"/>
              </w:rPr>
            </w:pPr>
            <w:r>
              <w:rPr>
                <w:bCs/>
                <w:spacing w:val="-6"/>
                <w:kern w:val="0"/>
                <w:sz w:val="24"/>
              </w:rPr>
              <w:t>95以上</w:t>
            </w:r>
          </w:p>
          <w:p>
            <w:pPr>
              <w:widowControl/>
              <w:adjustRightInd w:val="0"/>
              <w:snapToGrid w:val="0"/>
              <w:spacing w:line="280" w:lineRule="exact"/>
              <w:jc w:val="center"/>
              <w:rPr>
                <w:bCs/>
                <w:spacing w:val="-6"/>
                <w:kern w:val="0"/>
                <w:sz w:val="24"/>
              </w:rPr>
            </w:pPr>
            <w:r>
              <w:rPr>
                <w:bCs/>
                <w:spacing w:val="-6"/>
                <w:kern w:val="0"/>
                <w:sz w:val="24"/>
              </w:rPr>
              <w:t>（296个</w:t>
            </w:r>
            <w:r>
              <w:rPr>
                <w:rFonts w:hint="eastAsia"/>
                <w:bCs/>
                <w:spacing w:val="-6"/>
                <w:kern w:val="0"/>
                <w:sz w:val="24"/>
              </w:rPr>
              <w:t>断面</w:t>
            </w:r>
            <w:r>
              <w:rPr>
                <w:bCs/>
                <w:spacing w:val="-6"/>
                <w:kern w:val="0"/>
                <w:sz w:val="24"/>
              </w:rPr>
              <w:t>）</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95"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4</w:t>
            </w:r>
          </w:p>
        </w:tc>
        <w:tc>
          <w:tcPr>
            <w:tcW w:w="3783" w:type="dxa"/>
            <w:gridSpan w:val="2"/>
            <w:vAlign w:val="center"/>
          </w:tcPr>
          <w:p>
            <w:pPr>
              <w:widowControl/>
              <w:adjustRightInd w:val="0"/>
              <w:snapToGrid w:val="0"/>
              <w:spacing w:line="280" w:lineRule="exact"/>
              <w:jc w:val="center"/>
              <w:rPr>
                <w:bCs/>
                <w:spacing w:val="-6"/>
                <w:kern w:val="0"/>
                <w:sz w:val="24"/>
              </w:rPr>
            </w:pPr>
            <w:r>
              <w:rPr>
                <w:bCs/>
                <w:spacing w:val="-10"/>
                <w:kern w:val="0"/>
                <w:sz w:val="24"/>
              </w:rPr>
              <w:t>地表水省控断面V类水质比例（%）*</w:t>
            </w:r>
          </w:p>
        </w:tc>
        <w:tc>
          <w:tcPr>
            <w:tcW w:w="1522" w:type="dxa"/>
            <w:vAlign w:val="center"/>
          </w:tcPr>
          <w:p>
            <w:pPr>
              <w:widowControl/>
              <w:adjustRightInd w:val="0"/>
              <w:snapToGrid w:val="0"/>
              <w:spacing w:line="280" w:lineRule="exact"/>
              <w:jc w:val="center"/>
              <w:rPr>
                <w:rFonts w:hint="eastAsia"/>
                <w:bCs/>
                <w:spacing w:val="-6"/>
                <w:kern w:val="0"/>
                <w:sz w:val="24"/>
              </w:rPr>
            </w:pPr>
            <w:r>
              <w:rPr>
                <w:bCs/>
                <w:spacing w:val="-6"/>
                <w:kern w:val="0"/>
                <w:sz w:val="24"/>
              </w:rPr>
              <w:t>0.7</w:t>
            </w:r>
          </w:p>
          <w:p>
            <w:pPr>
              <w:widowControl/>
              <w:adjustRightInd w:val="0"/>
              <w:snapToGrid w:val="0"/>
              <w:spacing w:line="280" w:lineRule="exact"/>
              <w:jc w:val="center"/>
              <w:rPr>
                <w:bCs/>
                <w:spacing w:val="-6"/>
                <w:kern w:val="0"/>
                <w:sz w:val="24"/>
              </w:rPr>
            </w:pPr>
            <w:r>
              <w:rPr>
                <w:bCs/>
                <w:spacing w:val="-6"/>
                <w:kern w:val="0"/>
                <w:sz w:val="24"/>
              </w:rPr>
              <w:t>（296个</w:t>
            </w:r>
            <w:r>
              <w:rPr>
                <w:rFonts w:hint="eastAsia"/>
                <w:bCs/>
                <w:spacing w:val="-6"/>
                <w:kern w:val="0"/>
                <w:sz w:val="24"/>
              </w:rPr>
              <w:t>断面</w:t>
            </w:r>
            <w:r>
              <w:rPr>
                <w:bCs/>
                <w:spacing w:val="-6"/>
                <w:kern w:val="0"/>
                <w:sz w:val="24"/>
              </w:rPr>
              <w:t>）</w:t>
            </w:r>
          </w:p>
        </w:tc>
        <w:tc>
          <w:tcPr>
            <w:tcW w:w="1512" w:type="dxa"/>
            <w:vAlign w:val="center"/>
          </w:tcPr>
          <w:p>
            <w:pPr>
              <w:widowControl/>
              <w:adjustRightInd w:val="0"/>
              <w:snapToGrid w:val="0"/>
              <w:spacing w:line="280" w:lineRule="exact"/>
              <w:jc w:val="center"/>
              <w:rPr>
                <w:bCs/>
                <w:spacing w:val="-6"/>
                <w:kern w:val="0"/>
                <w:sz w:val="24"/>
              </w:rPr>
            </w:pPr>
            <w:r>
              <w:rPr>
                <w:bCs/>
                <w:spacing w:val="-6"/>
                <w:kern w:val="0"/>
                <w:sz w:val="24"/>
              </w:rPr>
              <w:t>0</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95"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5</w:t>
            </w:r>
          </w:p>
        </w:tc>
        <w:tc>
          <w:tcPr>
            <w:tcW w:w="3783" w:type="dxa"/>
            <w:gridSpan w:val="2"/>
            <w:vAlign w:val="center"/>
          </w:tcPr>
          <w:p>
            <w:pPr>
              <w:widowControl/>
              <w:adjustRightInd w:val="0"/>
              <w:snapToGrid w:val="0"/>
              <w:spacing w:line="280" w:lineRule="exact"/>
              <w:jc w:val="center"/>
              <w:rPr>
                <w:bCs/>
                <w:spacing w:val="-6"/>
                <w:kern w:val="0"/>
                <w:sz w:val="24"/>
              </w:rPr>
            </w:pPr>
            <w:r>
              <w:rPr>
                <w:bCs/>
                <w:spacing w:val="-6"/>
                <w:kern w:val="0"/>
                <w:sz w:val="24"/>
              </w:rPr>
              <w:t>近岸海域水质优良（一、二类）比例（%</w:t>
            </w:r>
            <w:r>
              <w:rPr>
                <w:rFonts w:hint="eastAsia"/>
                <w:bCs/>
                <w:spacing w:val="-6"/>
                <w:kern w:val="0"/>
                <w:sz w:val="24"/>
              </w:rPr>
              <w:t>，</w:t>
            </w:r>
            <w:r>
              <w:rPr>
                <w:bCs/>
                <w:spacing w:val="-6"/>
                <w:kern w:val="0"/>
                <w:sz w:val="24"/>
              </w:rPr>
              <w:t>按面积）*</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43.3</w:t>
            </w:r>
          </w:p>
        </w:tc>
        <w:tc>
          <w:tcPr>
            <w:tcW w:w="1512" w:type="dxa"/>
            <w:vAlign w:val="center"/>
          </w:tcPr>
          <w:p>
            <w:pPr>
              <w:widowControl/>
              <w:adjustRightInd w:val="0"/>
              <w:snapToGrid w:val="0"/>
              <w:spacing w:line="280" w:lineRule="exact"/>
              <w:jc w:val="center"/>
              <w:rPr>
                <w:bCs/>
                <w:spacing w:val="-6"/>
                <w:kern w:val="0"/>
                <w:sz w:val="24"/>
              </w:rPr>
            </w:pPr>
            <w:r>
              <w:rPr>
                <w:bCs/>
                <w:spacing w:val="-6"/>
                <w:kern w:val="0"/>
                <w:sz w:val="24"/>
              </w:rPr>
              <w:t>国家下达指标</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6</w:t>
            </w:r>
          </w:p>
        </w:tc>
        <w:tc>
          <w:tcPr>
            <w:tcW w:w="3783" w:type="dxa"/>
            <w:gridSpan w:val="2"/>
            <w:vAlign w:val="center"/>
          </w:tcPr>
          <w:p>
            <w:pPr>
              <w:widowControl/>
              <w:adjustRightInd w:val="0"/>
              <w:snapToGrid w:val="0"/>
              <w:spacing w:line="280" w:lineRule="exact"/>
              <w:jc w:val="center"/>
              <w:rPr>
                <w:bCs/>
                <w:spacing w:val="-6"/>
                <w:kern w:val="0"/>
                <w:sz w:val="24"/>
              </w:rPr>
            </w:pPr>
            <w:r>
              <w:rPr>
                <w:bCs/>
                <w:spacing w:val="-6"/>
                <w:kern w:val="0"/>
                <w:sz w:val="24"/>
              </w:rPr>
              <w:t>地下水质量Ⅴ类水比例（%）</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33.3</w:t>
            </w:r>
          </w:p>
        </w:tc>
        <w:tc>
          <w:tcPr>
            <w:tcW w:w="1512" w:type="dxa"/>
            <w:vAlign w:val="center"/>
          </w:tcPr>
          <w:p>
            <w:pPr>
              <w:widowControl/>
              <w:adjustRightInd w:val="0"/>
              <w:snapToGrid w:val="0"/>
              <w:spacing w:line="280" w:lineRule="exact"/>
              <w:jc w:val="center"/>
              <w:rPr>
                <w:bCs/>
                <w:spacing w:val="-6"/>
                <w:kern w:val="0"/>
                <w:sz w:val="24"/>
              </w:rPr>
            </w:pPr>
            <w:r>
              <w:rPr>
                <w:bCs/>
                <w:spacing w:val="-6"/>
                <w:kern w:val="0"/>
                <w:sz w:val="24"/>
              </w:rPr>
              <w:t>国家下达指标</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restart"/>
            <w:vAlign w:val="center"/>
          </w:tcPr>
          <w:p>
            <w:pPr>
              <w:widowControl/>
              <w:adjustRightInd w:val="0"/>
              <w:snapToGrid w:val="0"/>
              <w:spacing w:line="280" w:lineRule="exact"/>
              <w:jc w:val="center"/>
              <w:rPr>
                <w:bCs/>
                <w:spacing w:val="-6"/>
                <w:kern w:val="0"/>
                <w:sz w:val="24"/>
              </w:rPr>
            </w:pPr>
            <w:r>
              <w:rPr>
                <w:bCs/>
                <w:spacing w:val="-6"/>
                <w:kern w:val="0"/>
                <w:sz w:val="24"/>
              </w:rPr>
              <w:t>污染减排</w:t>
            </w:r>
          </w:p>
        </w:tc>
        <w:tc>
          <w:tcPr>
            <w:tcW w:w="518" w:type="dxa"/>
            <w:vMerge w:val="restart"/>
            <w:vAlign w:val="center"/>
          </w:tcPr>
          <w:p>
            <w:pPr>
              <w:widowControl/>
              <w:adjustRightInd w:val="0"/>
              <w:snapToGrid w:val="0"/>
              <w:spacing w:line="280" w:lineRule="exact"/>
              <w:jc w:val="center"/>
              <w:rPr>
                <w:bCs/>
                <w:spacing w:val="-6"/>
                <w:kern w:val="0"/>
                <w:sz w:val="24"/>
              </w:rPr>
            </w:pPr>
            <w:r>
              <w:rPr>
                <w:bCs/>
                <w:spacing w:val="-6"/>
                <w:kern w:val="0"/>
                <w:sz w:val="24"/>
              </w:rPr>
              <w:t>7</w:t>
            </w:r>
          </w:p>
        </w:tc>
        <w:tc>
          <w:tcPr>
            <w:tcW w:w="1938" w:type="dxa"/>
            <w:vMerge w:val="restart"/>
            <w:vAlign w:val="center"/>
          </w:tcPr>
          <w:p>
            <w:pPr>
              <w:widowControl/>
              <w:adjustRightInd w:val="0"/>
              <w:snapToGrid w:val="0"/>
              <w:spacing w:line="280" w:lineRule="exact"/>
              <w:jc w:val="center"/>
              <w:rPr>
                <w:bCs/>
                <w:spacing w:val="-6"/>
                <w:kern w:val="0"/>
                <w:sz w:val="24"/>
              </w:rPr>
            </w:pPr>
            <w:r>
              <w:rPr>
                <w:bCs/>
                <w:spacing w:val="-6"/>
                <w:kern w:val="0"/>
                <w:sz w:val="24"/>
              </w:rPr>
              <w:t>主要污染物排放量减少（%）</w:t>
            </w:r>
          </w:p>
        </w:tc>
        <w:tc>
          <w:tcPr>
            <w:tcW w:w="1845" w:type="dxa"/>
            <w:vAlign w:val="center"/>
          </w:tcPr>
          <w:p>
            <w:pPr>
              <w:widowControl/>
              <w:adjustRightInd w:val="0"/>
              <w:snapToGrid w:val="0"/>
              <w:spacing w:line="280" w:lineRule="exact"/>
              <w:jc w:val="center"/>
              <w:rPr>
                <w:bCs/>
                <w:spacing w:val="-6"/>
                <w:kern w:val="0"/>
                <w:sz w:val="24"/>
              </w:rPr>
            </w:pPr>
            <w:r>
              <w:rPr>
                <w:bCs/>
                <w:spacing w:val="-6"/>
                <w:kern w:val="0"/>
                <w:sz w:val="24"/>
              </w:rPr>
              <w:t>化学需氧量</w:t>
            </w:r>
          </w:p>
        </w:tc>
        <w:tc>
          <w:tcPr>
            <w:tcW w:w="1522" w:type="dxa"/>
            <w:vMerge w:val="restart"/>
            <w:vAlign w:val="center"/>
          </w:tcPr>
          <w:p>
            <w:pPr>
              <w:adjustRightInd w:val="0"/>
              <w:snapToGrid w:val="0"/>
              <w:spacing w:line="280" w:lineRule="exact"/>
              <w:jc w:val="center"/>
              <w:rPr>
                <w:bCs/>
                <w:spacing w:val="-6"/>
                <w:kern w:val="0"/>
                <w:sz w:val="24"/>
              </w:rPr>
            </w:pPr>
            <w:r>
              <w:rPr>
                <w:bCs/>
                <w:spacing w:val="-6"/>
                <w:kern w:val="0"/>
                <w:sz w:val="24"/>
              </w:rPr>
              <w:t>—</w:t>
            </w:r>
          </w:p>
        </w:tc>
        <w:tc>
          <w:tcPr>
            <w:tcW w:w="1512" w:type="dxa"/>
            <w:vMerge w:val="restart"/>
            <w:vAlign w:val="center"/>
          </w:tcPr>
          <w:p>
            <w:pPr>
              <w:widowControl/>
              <w:adjustRightInd w:val="0"/>
              <w:snapToGrid w:val="0"/>
              <w:spacing w:line="280" w:lineRule="exact"/>
              <w:jc w:val="center"/>
              <w:rPr>
                <w:bCs/>
                <w:spacing w:val="-6"/>
                <w:kern w:val="0"/>
                <w:sz w:val="24"/>
              </w:rPr>
            </w:pPr>
            <w:r>
              <w:rPr>
                <w:bCs/>
                <w:spacing w:val="-6"/>
                <w:kern w:val="0"/>
                <w:sz w:val="24"/>
              </w:rPr>
              <w:t>国家下达指标</w:t>
            </w:r>
          </w:p>
        </w:tc>
        <w:tc>
          <w:tcPr>
            <w:tcW w:w="879" w:type="dxa"/>
            <w:vMerge w:val="restart"/>
            <w:vAlign w:val="center"/>
          </w:tcPr>
          <w:p>
            <w:pPr>
              <w:widowControl/>
              <w:adjustRightInd w:val="0"/>
              <w:snapToGrid w:val="0"/>
              <w:spacing w:line="280" w:lineRule="exact"/>
              <w:jc w:val="center"/>
              <w:rPr>
                <w:bCs/>
                <w:spacing w:val="-6"/>
                <w:kern w:val="0"/>
                <w:sz w:val="24"/>
              </w:rPr>
            </w:pPr>
            <w:r>
              <w:rPr>
                <w:bCs/>
                <w:spacing w:val="-6"/>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Merge w:val="continue"/>
            <w:vAlign w:val="center"/>
          </w:tcPr>
          <w:p>
            <w:pPr>
              <w:adjustRightInd w:val="0"/>
              <w:snapToGrid w:val="0"/>
              <w:spacing w:line="280" w:lineRule="exact"/>
              <w:jc w:val="center"/>
              <w:rPr>
                <w:bCs/>
                <w:spacing w:val="-6"/>
                <w:kern w:val="0"/>
                <w:sz w:val="24"/>
              </w:rPr>
            </w:pPr>
          </w:p>
        </w:tc>
        <w:tc>
          <w:tcPr>
            <w:tcW w:w="1938" w:type="dxa"/>
            <w:vMerge w:val="continue"/>
            <w:vAlign w:val="center"/>
          </w:tcPr>
          <w:p>
            <w:pPr>
              <w:adjustRightInd w:val="0"/>
              <w:snapToGrid w:val="0"/>
              <w:spacing w:line="280" w:lineRule="exact"/>
              <w:jc w:val="center"/>
              <w:rPr>
                <w:bCs/>
                <w:spacing w:val="-6"/>
                <w:kern w:val="0"/>
                <w:sz w:val="24"/>
              </w:rPr>
            </w:pPr>
          </w:p>
        </w:tc>
        <w:tc>
          <w:tcPr>
            <w:tcW w:w="1845" w:type="dxa"/>
            <w:vAlign w:val="center"/>
          </w:tcPr>
          <w:p>
            <w:pPr>
              <w:widowControl/>
              <w:adjustRightInd w:val="0"/>
              <w:snapToGrid w:val="0"/>
              <w:spacing w:line="280" w:lineRule="exact"/>
              <w:jc w:val="center"/>
              <w:rPr>
                <w:bCs/>
                <w:spacing w:val="-6"/>
                <w:kern w:val="0"/>
                <w:sz w:val="24"/>
              </w:rPr>
            </w:pPr>
            <w:r>
              <w:rPr>
                <w:bCs/>
                <w:spacing w:val="-6"/>
                <w:kern w:val="0"/>
                <w:sz w:val="24"/>
              </w:rPr>
              <w:t>氨氮</w:t>
            </w:r>
          </w:p>
        </w:tc>
        <w:tc>
          <w:tcPr>
            <w:tcW w:w="1522" w:type="dxa"/>
            <w:vMerge w:val="continue"/>
            <w:vAlign w:val="center"/>
          </w:tcPr>
          <w:p>
            <w:pPr>
              <w:adjustRightInd w:val="0"/>
              <w:snapToGrid w:val="0"/>
              <w:spacing w:line="280" w:lineRule="exact"/>
              <w:jc w:val="center"/>
              <w:rPr>
                <w:bCs/>
                <w:spacing w:val="-6"/>
                <w:kern w:val="0"/>
                <w:sz w:val="24"/>
              </w:rPr>
            </w:pPr>
          </w:p>
        </w:tc>
        <w:tc>
          <w:tcPr>
            <w:tcW w:w="1512" w:type="dxa"/>
            <w:vMerge w:val="continue"/>
            <w:vAlign w:val="center"/>
          </w:tcPr>
          <w:p>
            <w:pPr>
              <w:adjustRightInd w:val="0"/>
              <w:snapToGrid w:val="0"/>
              <w:spacing w:line="280" w:lineRule="exact"/>
              <w:jc w:val="center"/>
              <w:rPr>
                <w:bCs/>
                <w:spacing w:val="-6"/>
                <w:kern w:val="0"/>
                <w:sz w:val="24"/>
              </w:rPr>
            </w:pPr>
          </w:p>
        </w:tc>
        <w:tc>
          <w:tcPr>
            <w:tcW w:w="879" w:type="dxa"/>
            <w:vMerge w:val="continue"/>
            <w:vAlign w:val="center"/>
          </w:tcPr>
          <w:p>
            <w:pPr>
              <w:adjustRightInd w:val="0"/>
              <w:snapToGrid w:val="0"/>
              <w:spacing w:line="280" w:lineRule="exact"/>
              <w:jc w:val="center"/>
              <w:rPr>
                <w:bCs/>
                <w:spacing w:val="-6"/>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Merge w:val="continue"/>
            <w:vAlign w:val="center"/>
          </w:tcPr>
          <w:p>
            <w:pPr>
              <w:adjustRightInd w:val="0"/>
              <w:snapToGrid w:val="0"/>
              <w:spacing w:line="280" w:lineRule="exact"/>
              <w:jc w:val="center"/>
              <w:rPr>
                <w:bCs/>
                <w:spacing w:val="-6"/>
                <w:kern w:val="0"/>
                <w:sz w:val="24"/>
              </w:rPr>
            </w:pPr>
          </w:p>
        </w:tc>
        <w:tc>
          <w:tcPr>
            <w:tcW w:w="1938" w:type="dxa"/>
            <w:vMerge w:val="continue"/>
            <w:vAlign w:val="center"/>
          </w:tcPr>
          <w:p>
            <w:pPr>
              <w:adjustRightInd w:val="0"/>
              <w:snapToGrid w:val="0"/>
              <w:spacing w:line="280" w:lineRule="exact"/>
              <w:jc w:val="center"/>
              <w:rPr>
                <w:bCs/>
                <w:spacing w:val="-6"/>
                <w:kern w:val="0"/>
                <w:sz w:val="24"/>
              </w:rPr>
            </w:pPr>
          </w:p>
        </w:tc>
        <w:tc>
          <w:tcPr>
            <w:tcW w:w="1845" w:type="dxa"/>
            <w:vAlign w:val="center"/>
          </w:tcPr>
          <w:p>
            <w:pPr>
              <w:widowControl/>
              <w:adjustRightInd w:val="0"/>
              <w:snapToGrid w:val="0"/>
              <w:spacing w:line="280" w:lineRule="exact"/>
              <w:jc w:val="center"/>
              <w:rPr>
                <w:bCs/>
                <w:spacing w:val="-6"/>
                <w:kern w:val="0"/>
                <w:sz w:val="24"/>
              </w:rPr>
            </w:pPr>
            <w:r>
              <w:rPr>
                <w:bCs/>
                <w:spacing w:val="-6"/>
                <w:kern w:val="0"/>
                <w:sz w:val="24"/>
              </w:rPr>
              <w:t>氮氧化物</w:t>
            </w:r>
          </w:p>
        </w:tc>
        <w:tc>
          <w:tcPr>
            <w:tcW w:w="1522" w:type="dxa"/>
            <w:vMerge w:val="continue"/>
            <w:vAlign w:val="center"/>
          </w:tcPr>
          <w:p>
            <w:pPr>
              <w:adjustRightInd w:val="0"/>
              <w:snapToGrid w:val="0"/>
              <w:spacing w:line="280" w:lineRule="exact"/>
              <w:jc w:val="center"/>
              <w:rPr>
                <w:bCs/>
                <w:spacing w:val="-6"/>
                <w:kern w:val="0"/>
                <w:sz w:val="24"/>
              </w:rPr>
            </w:pPr>
          </w:p>
        </w:tc>
        <w:tc>
          <w:tcPr>
            <w:tcW w:w="1512" w:type="dxa"/>
            <w:vMerge w:val="continue"/>
            <w:vAlign w:val="center"/>
          </w:tcPr>
          <w:p>
            <w:pPr>
              <w:adjustRightInd w:val="0"/>
              <w:snapToGrid w:val="0"/>
              <w:spacing w:line="280" w:lineRule="exact"/>
              <w:jc w:val="center"/>
              <w:rPr>
                <w:bCs/>
                <w:spacing w:val="-6"/>
                <w:kern w:val="0"/>
                <w:sz w:val="24"/>
              </w:rPr>
            </w:pPr>
          </w:p>
        </w:tc>
        <w:tc>
          <w:tcPr>
            <w:tcW w:w="879" w:type="dxa"/>
            <w:vMerge w:val="continue"/>
            <w:vAlign w:val="center"/>
          </w:tcPr>
          <w:p>
            <w:pPr>
              <w:adjustRightInd w:val="0"/>
              <w:snapToGrid w:val="0"/>
              <w:spacing w:line="280" w:lineRule="exact"/>
              <w:jc w:val="center"/>
              <w:rPr>
                <w:bCs/>
                <w:spacing w:val="-6"/>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Merge w:val="continue"/>
            <w:vAlign w:val="center"/>
          </w:tcPr>
          <w:p>
            <w:pPr>
              <w:widowControl/>
              <w:adjustRightInd w:val="0"/>
              <w:snapToGrid w:val="0"/>
              <w:spacing w:line="280" w:lineRule="exact"/>
              <w:jc w:val="center"/>
              <w:rPr>
                <w:bCs/>
                <w:spacing w:val="-6"/>
                <w:kern w:val="0"/>
                <w:sz w:val="24"/>
              </w:rPr>
            </w:pPr>
          </w:p>
        </w:tc>
        <w:tc>
          <w:tcPr>
            <w:tcW w:w="1938" w:type="dxa"/>
            <w:vMerge w:val="continue"/>
            <w:vAlign w:val="center"/>
          </w:tcPr>
          <w:p>
            <w:pPr>
              <w:widowControl/>
              <w:adjustRightInd w:val="0"/>
              <w:snapToGrid w:val="0"/>
              <w:spacing w:line="280" w:lineRule="exact"/>
              <w:jc w:val="center"/>
              <w:rPr>
                <w:bCs/>
                <w:spacing w:val="-6"/>
                <w:kern w:val="0"/>
                <w:sz w:val="24"/>
              </w:rPr>
            </w:pPr>
          </w:p>
        </w:tc>
        <w:tc>
          <w:tcPr>
            <w:tcW w:w="1845" w:type="dxa"/>
            <w:vAlign w:val="center"/>
          </w:tcPr>
          <w:p>
            <w:pPr>
              <w:widowControl/>
              <w:adjustRightInd w:val="0"/>
              <w:snapToGrid w:val="0"/>
              <w:spacing w:line="280" w:lineRule="exact"/>
              <w:jc w:val="center"/>
              <w:rPr>
                <w:bCs/>
                <w:spacing w:val="-6"/>
                <w:kern w:val="0"/>
                <w:sz w:val="24"/>
              </w:rPr>
            </w:pPr>
            <w:r>
              <w:rPr>
                <w:bCs/>
                <w:spacing w:val="-6"/>
                <w:kern w:val="0"/>
                <w:sz w:val="24"/>
              </w:rPr>
              <w:t>挥发性有机物</w:t>
            </w:r>
          </w:p>
        </w:tc>
        <w:tc>
          <w:tcPr>
            <w:tcW w:w="1522" w:type="dxa"/>
            <w:vMerge w:val="continue"/>
            <w:vAlign w:val="center"/>
          </w:tcPr>
          <w:p>
            <w:pPr>
              <w:widowControl/>
              <w:adjustRightInd w:val="0"/>
              <w:snapToGrid w:val="0"/>
              <w:spacing w:line="280" w:lineRule="exact"/>
              <w:jc w:val="center"/>
              <w:rPr>
                <w:bCs/>
                <w:spacing w:val="-6"/>
                <w:kern w:val="0"/>
                <w:sz w:val="24"/>
              </w:rPr>
            </w:pPr>
          </w:p>
        </w:tc>
        <w:tc>
          <w:tcPr>
            <w:tcW w:w="1512" w:type="dxa"/>
            <w:vMerge w:val="continue"/>
            <w:vAlign w:val="center"/>
          </w:tcPr>
          <w:p>
            <w:pPr>
              <w:widowControl/>
              <w:adjustRightInd w:val="0"/>
              <w:snapToGrid w:val="0"/>
              <w:spacing w:line="280" w:lineRule="exact"/>
              <w:jc w:val="center"/>
              <w:rPr>
                <w:bCs/>
                <w:spacing w:val="-6"/>
                <w:kern w:val="0"/>
                <w:sz w:val="24"/>
              </w:rPr>
            </w:pPr>
          </w:p>
        </w:tc>
        <w:tc>
          <w:tcPr>
            <w:tcW w:w="879" w:type="dxa"/>
            <w:vMerge w:val="continue"/>
            <w:vAlign w:val="center"/>
          </w:tcPr>
          <w:p>
            <w:pPr>
              <w:widowControl/>
              <w:adjustRightInd w:val="0"/>
              <w:snapToGrid w:val="0"/>
              <w:spacing w:line="280" w:lineRule="exact"/>
              <w:jc w:val="center"/>
              <w:rPr>
                <w:bCs/>
                <w:spacing w:val="-6"/>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restart"/>
            <w:vAlign w:val="center"/>
          </w:tcPr>
          <w:p>
            <w:pPr>
              <w:widowControl/>
              <w:adjustRightInd w:val="0"/>
              <w:snapToGrid w:val="0"/>
              <w:spacing w:line="280" w:lineRule="exact"/>
              <w:jc w:val="center"/>
              <w:rPr>
                <w:bCs/>
                <w:spacing w:val="-6"/>
                <w:kern w:val="0"/>
                <w:sz w:val="24"/>
              </w:rPr>
            </w:pPr>
            <w:r>
              <w:rPr>
                <w:bCs/>
                <w:spacing w:val="-6"/>
                <w:kern w:val="0"/>
                <w:sz w:val="24"/>
              </w:rPr>
              <w:t>风险防控</w:t>
            </w: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8</w:t>
            </w:r>
          </w:p>
        </w:tc>
        <w:tc>
          <w:tcPr>
            <w:tcW w:w="3783" w:type="dxa"/>
            <w:gridSpan w:val="2"/>
            <w:vAlign w:val="center"/>
          </w:tcPr>
          <w:p>
            <w:pPr>
              <w:widowControl/>
              <w:adjustRightInd w:val="0"/>
              <w:snapToGrid w:val="0"/>
              <w:spacing w:line="280" w:lineRule="exact"/>
              <w:jc w:val="center"/>
              <w:rPr>
                <w:bCs/>
                <w:spacing w:val="-6"/>
                <w:kern w:val="0"/>
                <w:sz w:val="24"/>
              </w:rPr>
            </w:pPr>
            <w:r>
              <w:rPr>
                <w:bCs/>
                <w:spacing w:val="-6"/>
                <w:kern w:val="0"/>
                <w:sz w:val="24"/>
              </w:rPr>
              <w:t>受污染耕地安全利用率（%）</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91.34</w:t>
            </w:r>
          </w:p>
        </w:tc>
        <w:tc>
          <w:tcPr>
            <w:tcW w:w="1512" w:type="dxa"/>
            <w:vAlign w:val="center"/>
          </w:tcPr>
          <w:p>
            <w:pPr>
              <w:widowControl/>
              <w:adjustRightInd w:val="0"/>
              <w:snapToGrid w:val="0"/>
              <w:spacing w:line="280" w:lineRule="exact"/>
              <w:jc w:val="center"/>
              <w:rPr>
                <w:bCs/>
                <w:spacing w:val="-6"/>
                <w:kern w:val="0"/>
                <w:sz w:val="24"/>
              </w:rPr>
            </w:pPr>
            <w:r>
              <w:rPr>
                <w:bCs/>
                <w:spacing w:val="-6"/>
                <w:kern w:val="0"/>
                <w:sz w:val="24"/>
              </w:rPr>
              <w:t>国家下达指标</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9</w:t>
            </w:r>
          </w:p>
        </w:tc>
        <w:tc>
          <w:tcPr>
            <w:tcW w:w="3783" w:type="dxa"/>
            <w:gridSpan w:val="2"/>
            <w:vAlign w:val="center"/>
          </w:tcPr>
          <w:p>
            <w:pPr>
              <w:widowControl/>
              <w:adjustRightInd w:val="0"/>
              <w:snapToGrid w:val="0"/>
              <w:spacing w:line="280" w:lineRule="exact"/>
              <w:jc w:val="center"/>
              <w:rPr>
                <w:bCs/>
                <w:spacing w:val="-6"/>
                <w:kern w:val="0"/>
                <w:sz w:val="24"/>
              </w:rPr>
            </w:pPr>
            <w:r>
              <w:rPr>
                <w:bCs/>
                <w:spacing w:val="-6"/>
                <w:kern w:val="0"/>
                <w:sz w:val="24"/>
              </w:rPr>
              <w:t>污染地块安全利用率（%）*</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w:t>
            </w:r>
          </w:p>
        </w:tc>
        <w:tc>
          <w:tcPr>
            <w:tcW w:w="1512" w:type="dxa"/>
            <w:vAlign w:val="center"/>
          </w:tcPr>
          <w:p>
            <w:pPr>
              <w:widowControl/>
              <w:adjustRightInd w:val="0"/>
              <w:snapToGrid w:val="0"/>
              <w:spacing w:line="280" w:lineRule="exact"/>
              <w:jc w:val="center"/>
              <w:rPr>
                <w:bCs/>
                <w:spacing w:val="-6"/>
                <w:kern w:val="0"/>
                <w:sz w:val="24"/>
              </w:rPr>
            </w:pPr>
            <w:r>
              <w:rPr>
                <w:bCs/>
                <w:spacing w:val="-6"/>
                <w:kern w:val="0"/>
                <w:sz w:val="24"/>
              </w:rPr>
              <w:t>国家下达指标</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10</w:t>
            </w:r>
          </w:p>
        </w:tc>
        <w:tc>
          <w:tcPr>
            <w:tcW w:w="3783" w:type="dxa"/>
            <w:gridSpan w:val="2"/>
            <w:vAlign w:val="center"/>
          </w:tcPr>
          <w:p>
            <w:pPr>
              <w:widowControl/>
              <w:adjustRightInd w:val="0"/>
              <w:snapToGrid w:val="0"/>
              <w:spacing w:line="280" w:lineRule="exact"/>
              <w:jc w:val="center"/>
              <w:rPr>
                <w:bCs/>
                <w:spacing w:val="-6"/>
                <w:kern w:val="0"/>
                <w:sz w:val="24"/>
                <w:highlight w:val="yellow"/>
              </w:rPr>
            </w:pPr>
            <w:r>
              <w:rPr>
                <w:bCs/>
                <w:spacing w:val="-6"/>
                <w:kern w:val="0"/>
                <w:sz w:val="24"/>
              </w:rPr>
              <w:t>5年期突发环境事件下降比例（%）</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60起（“十三五”期间总数）</w:t>
            </w:r>
          </w:p>
        </w:tc>
        <w:tc>
          <w:tcPr>
            <w:tcW w:w="1512" w:type="dxa"/>
            <w:vAlign w:val="center"/>
          </w:tcPr>
          <w:p>
            <w:pPr>
              <w:widowControl/>
              <w:adjustRightInd w:val="0"/>
              <w:snapToGrid w:val="0"/>
              <w:spacing w:line="280" w:lineRule="exact"/>
              <w:jc w:val="center"/>
              <w:rPr>
                <w:bCs/>
                <w:spacing w:val="-6"/>
                <w:kern w:val="0"/>
                <w:sz w:val="24"/>
              </w:rPr>
            </w:pPr>
            <w:r>
              <w:rPr>
                <w:bCs/>
                <w:spacing w:val="-6"/>
                <w:kern w:val="0"/>
                <w:sz w:val="24"/>
              </w:rPr>
              <w:t>“十四五”期间比“十三五”总数下降5%</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restart"/>
            <w:vAlign w:val="center"/>
          </w:tcPr>
          <w:p>
            <w:pPr>
              <w:adjustRightInd w:val="0"/>
              <w:snapToGrid w:val="0"/>
              <w:spacing w:line="280" w:lineRule="exact"/>
              <w:jc w:val="center"/>
              <w:rPr>
                <w:bCs/>
                <w:spacing w:val="-6"/>
                <w:kern w:val="0"/>
                <w:sz w:val="24"/>
              </w:rPr>
            </w:pPr>
            <w:bookmarkStart w:id="17" w:name="_Toc55906096"/>
            <w:r>
              <w:rPr>
                <w:bCs/>
                <w:spacing w:val="-6"/>
                <w:kern w:val="0"/>
                <w:sz w:val="24"/>
              </w:rPr>
              <w:t>生态保护</w:t>
            </w: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11</w:t>
            </w:r>
          </w:p>
        </w:tc>
        <w:tc>
          <w:tcPr>
            <w:tcW w:w="3783" w:type="dxa"/>
            <w:gridSpan w:val="2"/>
            <w:vAlign w:val="center"/>
          </w:tcPr>
          <w:p>
            <w:pPr>
              <w:widowControl/>
              <w:adjustRightInd w:val="0"/>
              <w:snapToGrid w:val="0"/>
              <w:spacing w:line="280" w:lineRule="exact"/>
              <w:jc w:val="center"/>
              <w:rPr>
                <w:bCs/>
                <w:spacing w:val="-6"/>
                <w:kern w:val="0"/>
                <w:sz w:val="24"/>
              </w:rPr>
            </w:pPr>
            <w:r>
              <w:rPr>
                <w:bCs/>
                <w:spacing w:val="-6"/>
                <w:kern w:val="0"/>
                <w:sz w:val="24"/>
              </w:rPr>
              <w:t>生态</w:t>
            </w:r>
            <w:bookmarkEnd w:id="17"/>
            <w:r>
              <w:rPr>
                <w:bCs/>
                <w:spacing w:val="-6"/>
                <w:kern w:val="0"/>
                <w:sz w:val="24"/>
              </w:rPr>
              <w:t>质量指数（新EI）*</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w:t>
            </w:r>
          </w:p>
        </w:tc>
        <w:tc>
          <w:tcPr>
            <w:tcW w:w="1512" w:type="dxa"/>
            <w:vAlign w:val="center"/>
          </w:tcPr>
          <w:p>
            <w:pPr>
              <w:widowControl/>
              <w:adjustRightInd w:val="0"/>
              <w:snapToGrid w:val="0"/>
              <w:spacing w:line="280" w:lineRule="exact"/>
              <w:jc w:val="center"/>
              <w:rPr>
                <w:bCs/>
                <w:spacing w:val="-6"/>
                <w:kern w:val="0"/>
                <w:sz w:val="24"/>
              </w:rPr>
            </w:pPr>
            <w:r>
              <w:rPr>
                <w:bCs/>
                <w:spacing w:val="-6"/>
                <w:kern w:val="0"/>
                <w:sz w:val="24"/>
              </w:rPr>
              <w:t>国家下达指标</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continue"/>
            <w:vAlign w:val="center"/>
          </w:tcPr>
          <w:p>
            <w:pPr>
              <w:adjustRightInd w:val="0"/>
              <w:snapToGrid w:val="0"/>
              <w:spacing w:line="280" w:lineRule="exact"/>
              <w:jc w:val="center"/>
              <w:rPr>
                <w:bCs/>
                <w:spacing w:val="-6"/>
                <w:kern w:val="0"/>
                <w:sz w:val="24"/>
              </w:rPr>
            </w:pP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12</w:t>
            </w:r>
          </w:p>
        </w:tc>
        <w:tc>
          <w:tcPr>
            <w:tcW w:w="3783" w:type="dxa"/>
            <w:gridSpan w:val="2"/>
            <w:vAlign w:val="center"/>
          </w:tcPr>
          <w:p>
            <w:pPr>
              <w:widowControl/>
              <w:adjustRightInd w:val="0"/>
              <w:snapToGrid w:val="0"/>
              <w:spacing w:line="280" w:lineRule="exact"/>
              <w:jc w:val="center"/>
              <w:rPr>
                <w:bCs/>
                <w:spacing w:val="-6"/>
                <w:kern w:val="0"/>
                <w:sz w:val="24"/>
              </w:rPr>
            </w:pPr>
            <w:r>
              <w:rPr>
                <w:bCs/>
                <w:spacing w:val="-6"/>
                <w:kern w:val="0"/>
                <w:sz w:val="24"/>
              </w:rPr>
              <w:t>森林覆盖率（%）</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61.2</w:t>
            </w:r>
          </w:p>
        </w:tc>
        <w:tc>
          <w:tcPr>
            <w:tcW w:w="1512" w:type="dxa"/>
            <w:vAlign w:val="center"/>
          </w:tcPr>
          <w:p>
            <w:pPr>
              <w:adjustRightInd w:val="0"/>
              <w:snapToGrid w:val="0"/>
              <w:spacing w:line="280" w:lineRule="exact"/>
              <w:jc w:val="center"/>
              <w:rPr>
                <w:bCs/>
                <w:spacing w:val="-6"/>
                <w:kern w:val="0"/>
                <w:sz w:val="24"/>
              </w:rPr>
            </w:pPr>
            <w:r>
              <w:rPr>
                <w:spacing w:val="-6"/>
                <w:kern w:val="0"/>
                <w:sz w:val="24"/>
                <w:lang w:bidi="ar"/>
              </w:rPr>
              <w:t>61.5</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13</w:t>
            </w:r>
          </w:p>
        </w:tc>
        <w:tc>
          <w:tcPr>
            <w:tcW w:w="3783" w:type="dxa"/>
            <w:gridSpan w:val="2"/>
            <w:vAlign w:val="center"/>
          </w:tcPr>
          <w:p>
            <w:pPr>
              <w:widowControl/>
              <w:adjustRightInd w:val="0"/>
              <w:snapToGrid w:val="0"/>
              <w:spacing w:line="280" w:lineRule="exact"/>
              <w:jc w:val="center"/>
              <w:rPr>
                <w:bCs/>
                <w:spacing w:val="-6"/>
                <w:kern w:val="0"/>
                <w:sz w:val="24"/>
              </w:rPr>
            </w:pPr>
            <w:r>
              <w:rPr>
                <w:bCs/>
                <w:spacing w:val="-6"/>
                <w:kern w:val="0"/>
                <w:sz w:val="24"/>
              </w:rPr>
              <w:t>生态保护红线占国土面积比例（%）</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w:t>
            </w:r>
          </w:p>
        </w:tc>
        <w:tc>
          <w:tcPr>
            <w:tcW w:w="1512" w:type="dxa"/>
            <w:vAlign w:val="center"/>
          </w:tcPr>
          <w:p>
            <w:pPr>
              <w:widowControl/>
              <w:adjustRightInd w:val="0"/>
              <w:snapToGrid w:val="0"/>
              <w:spacing w:line="280" w:lineRule="exact"/>
              <w:jc w:val="center"/>
              <w:rPr>
                <w:bCs/>
                <w:spacing w:val="-6"/>
                <w:kern w:val="0"/>
                <w:sz w:val="24"/>
              </w:rPr>
            </w:pPr>
            <w:r>
              <w:rPr>
                <w:spacing w:val="-6"/>
                <w:kern w:val="0"/>
                <w:sz w:val="24"/>
                <w:lang w:bidi="ar"/>
              </w:rPr>
              <w:t>国家下达指标</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14</w:t>
            </w:r>
          </w:p>
        </w:tc>
        <w:tc>
          <w:tcPr>
            <w:tcW w:w="3783" w:type="dxa"/>
            <w:gridSpan w:val="2"/>
            <w:vAlign w:val="center"/>
          </w:tcPr>
          <w:p>
            <w:pPr>
              <w:widowControl/>
              <w:adjustRightInd w:val="0"/>
              <w:snapToGrid w:val="0"/>
              <w:spacing w:line="280" w:lineRule="exact"/>
              <w:jc w:val="center"/>
              <w:rPr>
                <w:bCs/>
                <w:spacing w:val="-6"/>
                <w:kern w:val="0"/>
                <w:sz w:val="24"/>
              </w:rPr>
            </w:pPr>
            <w:r>
              <w:rPr>
                <w:bCs/>
                <w:spacing w:val="-6"/>
                <w:kern w:val="0"/>
                <w:sz w:val="24"/>
              </w:rPr>
              <w:t>大陆自然岸线保有率（%）</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35</w:t>
            </w:r>
          </w:p>
        </w:tc>
        <w:tc>
          <w:tcPr>
            <w:tcW w:w="1512" w:type="dxa"/>
            <w:vAlign w:val="center"/>
          </w:tcPr>
          <w:p>
            <w:pPr>
              <w:widowControl/>
              <w:adjustRightInd w:val="0"/>
              <w:snapToGrid w:val="0"/>
              <w:spacing w:line="280" w:lineRule="exact"/>
              <w:jc w:val="center"/>
              <w:rPr>
                <w:spacing w:val="-6"/>
                <w:kern w:val="0"/>
                <w:sz w:val="24"/>
                <w:lang w:bidi="ar"/>
              </w:rPr>
            </w:pPr>
            <w:r>
              <w:rPr>
                <w:spacing w:val="-6"/>
                <w:kern w:val="0"/>
                <w:sz w:val="24"/>
                <w:lang w:bidi="ar"/>
              </w:rPr>
              <w:t>国家下达指标</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restart"/>
            <w:vAlign w:val="center"/>
          </w:tcPr>
          <w:p>
            <w:pPr>
              <w:widowControl/>
              <w:adjustRightInd w:val="0"/>
              <w:snapToGrid w:val="0"/>
              <w:spacing w:line="280" w:lineRule="exact"/>
              <w:jc w:val="center"/>
              <w:rPr>
                <w:bCs/>
                <w:spacing w:val="-6"/>
                <w:kern w:val="0"/>
                <w:sz w:val="24"/>
              </w:rPr>
            </w:pPr>
            <w:r>
              <w:rPr>
                <w:bCs/>
                <w:spacing w:val="-6"/>
                <w:kern w:val="0"/>
                <w:sz w:val="24"/>
              </w:rPr>
              <w:t>低碳发展</w:t>
            </w: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15</w:t>
            </w:r>
          </w:p>
        </w:tc>
        <w:tc>
          <w:tcPr>
            <w:tcW w:w="3783" w:type="dxa"/>
            <w:gridSpan w:val="2"/>
            <w:vAlign w:val="center"/>
          </w:tcPr>
          <w:p>
            <w:pPr>
              <w:widowControl/>
              <w:adjustRightInd w:val="0"/>
              <w:snapToGrid w:val="0"/>
              <w:spacing w:line="280" w:lineRule="exact"/>
              <w:jc w:val="center"/>
              <w:rPr>
                <w:bCs/>
                <w:spacing w:val="-6"/>
                <w:kern w:val="0"/>
                <w:sz w:val="24"/>
              </w:rPr>
            </w:pPr>
            <w:r>
              <w:rPr>
                <w:bCs/>
                <w:spacing w:val="-6"/>
                <w:kern w:val="0"/>
                <w:sz w:val="24"/>
              </w:rPr>
              <w:t>单位GDP二氧化碳排放降低（%）</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w:t>
            </w:r>
          </w:p>
        </w:tc>
        <w:tc>
          <w:tcPr>
            <w:tcW w:w="1512" w:type="dxa"/>
            <w:vAlign w:val="center"/>
          </w:tcPr>
          <w:p>
            <w:pPr>
              <w:widowControl/>
              <w:adjustRightInd w:val="0"/>
              <w:snapToGrid w:val="0"/>
              <w:spacing w:line="280" w:lineRule="exact"/>
              <w:jc w:val="center"/>
              <w:rPr>
                <w:bCs/>
                <w:spacing w:val="-6"/>
                <w:kern w:val="0"/>
                <w:sz w:val="24"/>
              </w:rPr>
            </w:pPr>
            <w:r>
              <w:rPr>
                <w:bCs/>
                <w:spacing w:val="-6"/>
                <w:kern w:val="0"/>
                <w:sz w:val="24"/>
              </w:rPr>
              <w:t>国家下达指标</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16</w:t>
            </w:r>
          </w:p>
        </w:tc>
        <w:tc>
          <w:tcPr>
            <w:tcW w:w="3783" w:type="dxa"/>
            <w:gridSpan w:val="2"/>
            <w:vAlign w:val="center"/>
          </w:tcPr>
          <w:p>
            <w:pPr>
              <w:widowControl/>
              <w:adjustRightInd w:val="0"/>
              <w:snapToGrid w:val="0"/>
              <w:spacing w:line="280" w:lineRule="exact"/>
              <w:jc w:val="center"/>
              <w:rPr>
                <w:bCs/>
                <w:spacing w:val="-6"/>
                <w:kern w:val="0"/>
                <w:sz w:val="24"/>
              </w:rPr>
            </w:pPr>
            <w:r>
              <w:rPr>
                <w:bCs/>
                <w:spacing w:val="-6"/>
                <w:kern w:val="0"/>
                <w:sz w:val="24"/>
              </w:rPr>
              <w:t>单位GDP能源消耗降低（%）</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w:t>
            </w:r>
          </w:p>
        </w:tc>
        <w:tc>
          <w:tcPr>
            <w:tcW w:w="1512" w:type="dxa"/>
            <w:vAlign w:val="center"/>
          </w:tcPr>
          <w:p>
            <w:pPr>
              <w:widowControl/>
              <w:adjustRightInd w:val="0"/>
              <w:snapToGrid w:val="0"/>
              <w:spacing w:line="280" w:lineRule="exact"/>
              <w:jc w:val="center"/>
              <w:rPr>
                <w:bCs/>
                <w:spacing w:val="-6"/>
                <w:kern w:val="0"/>
                <w:sz w:val="24"/>
              </w:rPr>
            </w:pPr>
            <w:r>
              <w:rPr>
                <w:bCs/>
                <w:spacing w:val="-6"/>
                <w:kern w:val="0"/>
                <w:sz w:val="24"/>
              </w:rPr>
              <w:t>国家下达指标</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17</w:t>
            </w:r>
          </w:p>
        </w:tc>
        <w:tc>
          <w:tcPr>
            <w:tcW w:w="3783" w:type="dxa"/>
            <w:gridSpan w:val="2"/>
            <w:vAlign w:val="center"/>
          </w:tcPr>
          <w:p>
            <w:pPr>
              <w:widowControl/>
              <w:adjustRightInd w:val="0"/>
              <w:snapToGrid w:val="0"/>
              <w:spacing w:line="280" w:lineRule="exact"/>
              <w:jc w:val="center"/>
              <w:rPr>
                <w:bCs/>
                <w:spacing w:val="-6"/>
                <w:kern w:val="0"/>
                <w:sz w:val="24"/>
              </w:rPr>
            </w:pPr>
            <w:r>
              <w:rPr>
                <w:bCs/>
                <w:spacing w:val="-6"/>
                <w:kern w:val="0"/>
                <w:sz w:val="24"/>
              </w:rPr>
              <w:t>煤炭消费比重（%）</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39</w:t>
            </w:r>
          </w:p>
        </w:tc>
        <w:tc>
          <w:tcPr>
            <w:tcW w:w="1512" w:type="dxa"/>
            <w:vAlign w:val="center"/>
          </w:tcPr>
          <w:p>
            <w:pPr>
              <w:widowControl/>
              <w:adjustRightInd w:val="0"/>
              <w:snapToGrid w:val="0"/>
              <w:spacing w:line="280" w:lineRule="exact"/>
              <w:jc w:val="center"/>
              <w:rPr>
                <w:bCs/>
                <w:spacing w:val="-6"/>
                <w:kern w:val="0"/>
                <w:sz w:val="24"/>
              </w:rPr>
            </w:pPr>
            <w:r>
              <w:rPr>
                <w:bCs/>
                <w:spacing w:val="-6"/>
                <w:kern w:val="0"/>
                <w:sz w:val="24"/>
              </w:rPr>
              <w:t>33.5</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1" w:type="dxa"/>
            <w:vMerge w:val="continue"/>
            <w:vAlign w:val="center"/>
          </w:tcPr>
          <w:p>
            <w:pPr>
              <w:widowControl/>
              <w:adjustRightInd w:val="0"/>
              <w:snapToGrid w:val="0"/>
              <w:spacing w:line="280" w:lineRule="exact"/>
              <w:jc w:val="center"/>
              <w:rPr>
                <w:bCs/>
                <w:spacing w:val="-6"/>
                <w:kern w:val="0"/>
                <w:sz w:val="24"/>
              </w:rPr>
            </w:pPr>
          </w:p>
        </w:tc>
        <w:tc>
          <w:tcPr>
            <w:tcW w:w="518" w:type="dxa"/>
            <w:vAlign w:val="center"/>
          </w:tcPr>
          <w:p>
            <w:pPr>
              <w:widowControl/>
              <w:adjustRightInd w:val="0"/>
              <w:snapToGrid w:val="0"/>
              <w:spacing w:line="280" w:lineRule="exact"/>
              <w:jc w:val="center"/>
              <w:rPr>
                <w:bCs/>
                <w:spacing w:val="-6"/>
                <w:kern w:val="0"/>
                <w:sz w:val="24"/>
              </w:rPr>
            </w:pPr>
            <w:r>
              <w:rPr>
                <w:bCs/>
                <w:spacing w:val="-6"/>
                <w:kern w:val="0"/>
                <w:sz w:val="24"/>
              </w:rPr>
              <w:t>18</w:t>
            </w:r>
          </w:p>
        </w:tc>
        <w:tc>
          <w:tcPr>
            <w:tcW w:w="3783" w:type="dxa"/>
            <w:gridSpan w:val="2"/>
            <w:vAlign w:val="center"/>
          </w:tcPr>
          <w:p>
            <w:pPr>
              <w:widowControl/>
              <w:adjustRightInd w:val="0"/>
              <w:snapToGrid w:val="0"/>
              <w:spacing w:line="280" w:lineRule="exact"/>
              <w:jc w:val="center"/>
              <w:rPr>
                <w:bCs/>
                <w:spacing w:val="-6"/>
                <w:kern w:val="0"/>
                <w:sz w:val="24"/>
              </w:rPr>
            </w:pPr>
            <w:r>
              <w:rPr>
                <w:bCs/>
                <w:spacing w:val="-10"/>
                <w:kern w:val="0"/>
                <w:sz w:val="24"/>
              </w:rPr>
              <w:t>非化石能源占一次能源消费比例（%）</w:t>
            </w:r>
          </w:p>
        </w:tc>
        <w:tc>
          <w:tcPr>
            <w:tcW w:w="1522" w:type="dxa"/>
            <w:vAlign w:val="center"/>
          </w:tcPr>
          <w:p>
            <w:pPr>
              <w:widowControl/>
              <w:adjustRightInd w:val="0"/>
              <w:snapToGrid w:val="0"/>
              <w:spacing w:line="280" w:lineRule="exact"/>
              <w:jc w:val="center"/>
              <w:rPr>
                <w:bCs/>
                <w:spacing w:val="-6"/>
                <w:kern w:val="0"/>
                <w:sz w:val="24"/>
              </w:rPr>
            </w:pPr>
            <w:r>
              <w:rPr>
                <w:bCs/>
                <w:spacing w:val="-6"/>
                <w:kern w:val="0"/>
                <w:sz w:val="24"/>
              </w:rPr>
              <w:t>19.8</w:t>
            </w:r>
          </w:p>
        </w:tc>
        <w:tc>
          <w:tcPr>
            <w:tcW w:w="1512" w:type="dxa"/>
            <w:vAlign w:val="center"/>
          </w:tcPr>
          <w:p>
            <w:pPr>
              <w:widowControl/>
              <w:adjustRightInd w:val="0"/>
              <w:snapToGrid w:val="0"/>
              <w:spacing w:line="280" w:lineRule="exact"/>
              <w:jc w:val="center"/>
              <w:rPr>
                <w:bCs/>
                <w:spacing w:val="-6"/>
                <w:kern w:val="0"/>
                <w:sz w:val="24"/>
              </w:rPr>
            </w:pPr>
            <w:r>
              <w:rPr>
                <w:bCs/>
                <w:spacing w:val="-6"/>
                <w:kern w:val="0"/>
                <w:sz w:val="24"/>
              </w:rPr>
              <w:t>24</w:t>
            </w:r>
          </w:p>
        </w:tc>
        <w:tc>
          <w:tcPr>
            <w:tcW w:w="879" w:type="dxa"/>
            <w:vAlign w:val="center"/>
          </w:tcPr>
          <w:p>
            <w:pPr>
              <w:widowControl/>
              <w:adjustRightInd w:val="0"/>
              <w:snapToGrid w:val="0"/>
              <w:spacing w:line="280" w:lineRule="exact"/>
              <w:jc w:val="center"/>
              <w:rPr>
                <w:bCs/>
                <w:spacing w:val="-6"/>
                <w:kern w:val="0"/>
                <w:sz w:val="24"/>
              </w:rPr>
            </w:pPr>
            <w:r>
              <w:rPr>
                <w:bCs/>
                <w:spacing w:val="-6"/>
                <w:kern w:val="0"/>
                <w:sz w:val="24"/>
              </w:rPr>
              <w:t>预期性</w:t>
            </w:r>
          </w:p>
        </w:tc>
      </w:tr>
    </w:tbl>
    <w:p>
      <w:pPr>
        <w:spacing w:before="60" w:beforeLines="25"/>
        <w:rPr>
          <w:rFonts w:eastAsia="楷体_GB2312"/>
          <w:sz w:val="24"/>
          <w:lang w:bidi="ar"/>
        </w:rPr>
      </w:pPr>
      <w:r>
        <w:rPr>
          <w:rFonts w:eastAsia="楷体_GB2312"/>
          <w:sz w:val="24"/>
          <w:lang w:bidi="ar"/>
        </w:rPr>
        <w:t>注：带*的指标“十四五”统计口径较“十三五”有调整。</w:t>
      </w:r>
    </w:p>
    <w:p>
      <w:pPr>
        <w:pStyle w:val="4"/>
        <w:spacing w:before="0" w:after="0" w:line="590" w:lineRule="exact"/>
        <w:ind w:firstLine="640" w:firstLineChars="200"/>
        <w:jc w:val="left"/>
        <w:rPr>
          <w:rFonts w:ascii="Times New Roman" w:hAnsi="Times New Roman" w:eastAsia="黑体"/>
          <w:b w:val="0"/>
        </w:rPr>
      </w:pPr>
      <w:bookmarkStart w:id="18" w:name="_Toc65248114"/>
      <w:r>
        <w:rPr>
          <w:rFonts w:ascii="Times New Roman" w:hAnsi="Times New Roman" w:eastAsia="黑体"/>
          <w:b w:val="0"/>
        </w:rPr>
        <w:t>三、重点任务</w:t>
      </w:r>
      <w:bookmarkEnd w:id="18"/>
    </w:p>
    <w:p>
      <w:pPr>
        <w:pStyle w:val="4"/>
        <w:spacing w:before="0" w:after="0" w:line="590" w:lineRule="exact"/>
        <w:ind w:firstLine="641" w:firstLineChars="200"/>
        <w:jc w:val="left"/>
        <w:outlineLvl w:val="1"/>
        <w:rPr>
          <w:rFonts w:ascii="Times New Roman" w:hAnsi="Times New Roman" w:eastAsia="楷体_GB2312"/>
        </w:rPr>
      </w:pPr>
      <w:bookmarkStart w:id="19" w:name="_Toc65248115"/>
      <w:r>
        <w:rPr>
          <w:rFonts w:ascii="Times New Roman" w:hAnsi="Times New Roman" w:eastAsia="楷体_GB2312"/>
        </w:rPr>
        <w:t>（一）严格源头治理，全面推</w:t>
      </w:r>
      <w:r>
        <w:rPr>
          <w:rFonts w:ascii="Times New Roman" w:hAnsi="Times New Roman" w:eastAsia="楷体_GB2312"/>
          <w:lang w:val="en-US"/>
        </w:rPr>
        <w:t>进</w:t>
      </w:r>
      <w:r>
        <w:rPr>
          <w:rFonts w:ascii="Times New Roman" w:hAnsi="Times New Roman" w:eastAsia="楷体_GB2312"/>
        </w:rPr>
        <w:t>绿色发展</w:t>
      </w:r>
      <w:bookmarkEnd w:id="19"/>
    </w:p>
    <w:p>
      <w:pPr>
        <w:pStyle w:val="2"/>
        <w:spacing w:after="0" w:line="590" w:lineRule="exact"/>
        <w:ind w:left="0" w:leftChars="0" w:right="0" w:rightChars="0" w:firstLine="624" w:firstLineChars="200"/>
        <w:rPr>
          <w:spacing w:val="-4"/>
          <w:lang w:val="zh-CN"/>
        </w:rPr>
      </w:pPr>
      <w:r>
        <w:rPr>
          <w:spacing w:val="-4"/>
          <w:lang w:val="zh-CN"/>
        </w:rPr>
        <w:t>坚持绿色发展导向，持续推动产业结构、能源结构、</w:t>
      </w:r>
      <w:r>
        <w:rPr>
          <w:spacing w:val="-4"/>
        </w:rPr>
        <w:t>交通</w:t>
      </w:r>
      <w:r>
        <w:rPr>
          <w:spacing w:val="-4"/>
          <w:lang w:val="zh-CN"/>
        </w:rPr>
        <w:t>运输结构和农业投入结构调整，倡导绿色低碳生活方式，促进经济社会发展全面绿色转型，不断增强生态环境质量改善的内生动力。</w:t>
      </w:r>
    </w:p>
    <w:p>
      <w:pPr>
        <w:pStyle w:val="2"/>
        <w:spacing w:after="0" w:line="590" w:lineRule="exact"/>
        <w:ind w:left="0" w:leftChars="0" w:right="0" w:rightChars="0" w:firstLine="643" w:firstLineChars="200"/>
        <w:rPr>
          <w:b/>
        </w:rPr>
      </w:pPr>
      <w:r>
        <w:rPr>
          <w:b/>
        </w:rPr>
        <w:t>优化调整产业结构</w:t>
      </w:r>
      <w:r>
        <w:rPr>
          <w:b/>
          <w:lang w:val="zh-CN"/>
        </w:rPr>
        <w:t>。</w:t>
      </w:r>
      <w:r>
        <w:rPr>
          <w:lang w:val="zh-CN"/>
        </w:rPr>
        <w:t>全面实施以“三线一单”为核心的生态环境分区管控体系，开展重点区域、重点流域、重点行业和产业布局的规划环评，充分发挥生态环境功能定位在产业布局结构中的基础性约束作用。深化</w:t>
      </w:r>
      <w:r>
        <w:t>“亩均论英雄”改革，加快城市建成区重污染企业搬迁改造、兼并重组，</w:t>
      </w:r>
      <w:r>
        <w:rPr>
          <w:lang w:val="zh-CN"/>
        </w:rPr>
        <w:t>引导石化、化工、钢铁、建材、有色金属等重点行业合理布局，禁止新增化工园区</w:t>
      </w:r>
      <w:r>
        <w:t>。严格执行质量、环保、能耗、安全等法规标准，</w:t>
      </w:r>
      <w:r>
        <w:rPr>
          <w:lang w:val="zh-CN"/>
        </w:rPr>
        <w:t>严格落实钢铁、水泥、平板玻璃、铸造等行业产能置换要求</w:t>
      </w:r>
      <w:r>
        <w:t>，</w:t>
      </w:r>
      <w:r>
        <w:rPr>
          <w:lang w:val="zh-CN"/>
        </w:rPr>
        <w:t>持续压减淘汰落后和过剩产能。禁止建设生产VOCs含量限值不符合国家标准的涂料、油墨、胶粘剂、清洗剂等项目。加快实施纺织、化纤、医药化工、金属制品等传统行业绿色化技术改造。大力推进绿色工厂建设，鼓励企业开展绿色设计，推广绿色生产技术装备，</w:t>
      </w:r>
      <w:r>
        <w:t>建立绿色供应链管理体系。</w:t>
      </w:r>
      <w:r>
        <w:rPr>
          <w:lang w:val="zh-CN"/>
        </w:rPr>
        <w:t>实施“一园一策”“一行一策”，推进绿色低碳工业园区建设，全面提升工业园区和企业集群环保治理和绿色发展水平。实施循环经济“991”行动计划升级版，全面推广循环型生产方式，加快构建资源循环利用体系。</w:t>
      </w:r>
    </w:p>
    <w:p>
      <w:pPr>
        <w:pStyle w:val="2"/>
        <w:spacing w:after="0" w:line="590" w:lineRule="exact"/>
        <w:ind w:left="0" w:leftChars="0" w:right="0" w:rightChars="0" w:firstLine="643" w:firstLineChars="200"/>
      </w:pPr>
      <w:r>
        <w:rPr>
          <w:b/>
          <w:lang w:val="zh-CN"/>
        </w:rPr>
        <w:t>优化调整能源结构。</w:t>
      </w:r>
      <w:r>
        <w:rPr>
          <w:lang w:val="zh-CN"/>
        </w:rPr>
        <w:t>深入推进国家清洁能源示范省</w:t>
      </w:r>
      <w:r>
        <w:t>建设</w:t>
      </w:r>
      <w:r>
        <w:rPr>
          <w:lang w:val="zh-CN"/>
        </w:rPr>
        <w:t>，</w:t>
      </w:r>
      <w:r>
        <w:t>落实</w:t>
      </w:r>
      <w:r>
        <w:rPr>
          <w:lang w:val="zh-CN"/>
        </w:rPr>
        <w:t>能源消费总量和强度</w:t>
      </w:r>
      <w:r>
        <w:t>“</w:t>
      </w:r>
      <w:r>
        <w:rPr>
          <w:lang w:val="zh-CN"/>
        </w:rPr>
        <w:t>双控</w:t>
      </w:r>
      <w:r>
        <w:t>”政策</w:t>
      </w:r>
      <w:r>
        <w:rPr>
          <w:lang w:val="zh-CN"/>
        </w:rPr>
        <w:t>，到2025年，万元地区生产总值能耗持续下降</w:t>
      </w:r>
      <w:r>
        <w:t>。</w:t>
      </w:r>
      <w:r>
        <w:rPr>
          <w:lang w:val="zh-CN"/>
        </w:rPr>
        <w:t>完善区域能评+产业能效技术标准机制，严格控制高耗能项目新增规模，严格执行高耗能行业产能和能耗等量减量替代制度。严格控制新建耗煤项目，实施煤炭减量替代。持续推进煤炭清洁高效利用，重点削减非电力用煤，</w:t>
      </w:r>
      <w:r>
        <w:t>禁止建设企业自备燃煤设施</w:t>
      </w:r>
      <w:r>
        <w:rPr>
          <w:lang w:val="zh-CN"/>
        </w:rPr>
        <w:t>。持续实施煤改气工程，有序推进天然气分布式发展，提高天然气覆盖率和气化率。</w:t>
      </w:r>
      <w:r>
        <w:t>加强清洁能源开发利用，安全高效</w:t>
      </w:r>
      <w:r>
        <w:rPr>
          <w:lang w:val="zh-CN"/>
        </w:rPr>
        <w:t>发展核电，大力推进可再生能源开发利用。加快构建结构多元、供应稳定的现代绿色能源产业体系，建立健全可再生能源电力消纳保障机制。</w:t>
      </w:r>
    </w:p>
    <w:p>
      <w:pPr>
        <w:pStyle w:val="2"/>
        <w:spacing w:after="0" w:line="590" w:lineRule="exact"/>
        <w:ind w:left="0" w:leftChars="0" w:right="0" w:rightChars="0" w:firstLine="643" w:firstLineChars="200"/>
        <w:rPr>
          <w:rFonts w:hint="eastAsia"/>
        </w:rPr>
      </w:pPr>
      <w:r>
        <w:rPr>
          <w:b/>
          <w:lang w:val="zh-CN"/>
        </w:rPr>
        <w:t>优化调整</w:t>
      </w:r>
      <w:r>
        <w:rPr>
          <w:b/>
        </w:rPr>
        <w:t>交通运输</w:t>
      </w:r>
      <w:r>
        <w:rPr>
          <w:b/>
          <w:lang w:val="zh-CN"/>
        </w:rPr>
        <w:t>结构。</w:t>
      </w:r>
      <w:r>
        <w:t>结合大通道建设，加强铁路和水路基础设施建设，提升铁、水运能。推进港口集疏运铁路、物流园区及大型工矿企业铁路专用线等“公转铁”线路建设，加快京杭运河（浙江段）、浙北高等级航道网集装箱运输通道等内河航道项目建设，推动大宗货物及中长距离货物运输向铁路和水路有序转移。提升海铁联运能力，拓展“沿江班列”新通道，提高宁波—舟山港等沿海港口集装箱海铁联运辐射范围。建设城市绿色物流体系，支持利用城市现有铁路货场物流货场转型升级为城市配送中心。大力淘汰老旧车辆、船舶，推广使用新能源和清洁能源车船</w:t>
      </w:r>
      <w:r>
        <w:rPr>
          <w:bCs/>
        </w:rPr>
        <w:t>。</w:t>
      </w:r>
      <w:r>
        <w:rPr>
          <w:bCs/>
          <w:kern w:val="0"/>
          <w:szCs w:val="32"/>
        </w:rPr>
        <w:t>积极建设绿色低碳综合交通网络，</w:t>
      </w:r>
      <w:r>
        <w:t>推进构建“车—油—路”一体的绿色交通体系。到2025年，基本淘汰国三及以下标准营运柴油货车，加快淘汰国四及以下标准营运柴油货车，实现全省城市公交车90%使用清洁能源或新能源。</w:t>
      </w:r>
    </w:p>
    <w:p>
      <w:pPr>
        <w:pStyle w:val="2"/>
        <w:spacing w:after="0" w:line="590" w:lineRule="exact"/>
        <w:ind w:left="0" w:leftChars="0" w:right="0" w:rightChars="0" w:firstLine="643" w:firstLineChars="200"/>
        <w:rPr>
          <w:b/>
        </w:rPr>
      </w:pPr>
      <w:r>
        <w:rPr>
          <w:b/>
          <w:lang w:val="zh-CN"/>
        </w:rPr>
        <w:t>优化调整农业投入结构。</w:t>
      </w:r>
      <w:r>
        <w:rPr>
          <w:bCs/>
        </w:rPr>
        <w:t>推进</w:t>
      </w:r>
      <w:r>
        <w:t>种养</w:t>
      </w:r>
      <w:r>
        <w:rPr>
          <w:lang w:val="zh-CN"/>
        </w:rPr>
        <w:t>模式生态化，推行种养结合、粮经轮作等模式，</w:t>
      </w:r>
      <w:r>
        <w:t>推广稻渔综合种养、多品种混养等水产养殖生态循环模式。深入推进化肥农药等农业投入品实名制购买、定额制施用“肥药两制”改革，持续实施化肥农药减量增效，推广应用有机环保农药替代、测土配方施肥、新型肥料应用等化肥农药减量技术与模式。</w:t>
      </w:r>
      <w:r>
        <w:rPr>
          <w:szCs w:val="32"/>
        </w:rPr>
        <w:t>进一步优化调整养殖业布局，严格落实禁养区各项规定，合理控制养殖规模，鼓励引导新垦地等宜养区以地定畜。</w:t>
      </w:r>
      <w:r>
        <w:t>规范兽药、饲料添加剂的使用</w:t>
      </w:r>
      <w:r>
        <w:rPr>
          <w:szCs w:val="32"/>
        </w:rPr>
        <w:t>，</w:t>
      </w:r>
      <w:r>
        <w:t>推进养殖业减量用药，</w:t>
      </w:r>
      <w:r>
        <w:rPr>
          <w:szCs w:val="32"/>
        </w:rPr>
        <w:t>推进养殖过程清洁化。</w:t>
      </w:r>
    </w:p>
    <w:p>
      <w:pPr>
        <w:pStyle w:val="2"/>
        <w:spacing w:after="0" w:line="590" w:lineRule="exact"/>
        <w:ind w:left="0" w:leftChars="0" w:right="0" w:rightChars="0" w:firstLine="643" w:firstLineChars="200"/>
        <w:rPr>
          <w:bCs/>
          <w:kern w:val="0"/>
          <w:szCs w:val="32"/>
        </w:rPr>
      </w:pPr>
      <w:r>
        <w:rPr>
          <w:b/>
        </w:rPr>
        <w:t>倡导绿色低碳生活方式。</w:t>
      </w:r>
      <w:r>
        <w:rPr>
          <w:bCs/>
        </w:rPr>
        <w:t>加强生态环境保护宣传教育，广泛开展主题宣传，充分发挥全媒体绿色价值观宣教功能，传播绿色知识和行为规范，营造全社会崇尚、践行绿色发展理念的良好氛围，弘扬新时代生态文化。</w:t>
      </w:r>
      <w:r>
        <w:t>推动建立绿色产品</w:t>
      </w:r>
      <w:r>
        <w:rPr>
          <w:bCs/>
          <w:kern w:val="0"/>
          <w:szCs w:val="32"/>
        </w:rPr>
        <w:t>标准、认证、标识体系，推进企业开展节能低碳产品认证和标识，提高衣、食、住、行、用、游等重点领域绿色低碳产品的有效供给。推行《公民生态环境行为规范（试行）》，全面开展绿色生活创建行动。倡导绿色装修，优先选用成型装饰材料，建筑装饰、室内装修优先使用水性装饰板涂料和胶粘剂。倡导低碳生活，推进城市社区基础设施绿色化，推广普及节能家电、高效照明产品、节水器具，强化阶梯水价、阶梯电价、阶梯气价的运用，引导居民自觉减少能源和资源浪费。推行绿色包装，限制商品过度包装。实施塑料污染治理三年行动计划，减少一次性塑料制品的使用。倡导绿色低碳出行，大力发展城市公共交通、自行车等绿色出行方式，提高绿色出行比例。</w:t>
      </w:r>
    </w:p>
    <w:p>
      <w:pPr>
        <w:pStyle w:val="4"/>
        <w:spacing w:before="0" w:after="0" w:line="590" w:lineRule="exact"/>
        <w:ind w:firstLine="641" w:firstLineChars="200"/>
        <w:jc w:val="left"/>
        <w:outlineLvl w:val="1"/>
        <w:rPr>
          <w:rFonts w:ascii="Times New Roman" w:hAnsi="Times New Roman" w:eastAsia="楷体_GB2312"/>
        </w:rPr>
      </w:pPr>
      <w:bookmarkStart w:id="20" w:name="_Toc65248116"/>
      <w:r>
        <w:rPr>
          <w:rFonts w:ascii="Times New Roman" w:hAnsi="Times New Roman" w:eastAsia="楷体_GB2312"/>
        </w:rPr>
        <w:t>（二）控排温室气体，积极应对气候变化</w:t>
      </w:r>
      <w:bookmarkEnd w:id="20"/>
    </w:p>
    <w:p>
      <w:pPr>
        <w:spacing w:line="590" w:lineRule="exact"/>
        <w:ind w:firstLine="627" w:firstLineChars="196"/>
        <w:rPr>
          <w:kern w:val="0"/>
          <w:szCs w:val="32"/>
        </w:rPr>
      </w:pPr>
      <w:r>
        <w:rPr>
          <w:kern w:val="0"/>
          <w:szCs w:val="32"/>
        </w:rPr>
        <w:t>坚持减缓和适应并重，推动实施二氧化碳排放达峰行动，有效控制温室气体排放，深化多层级低碳试点示范，</w:t>
      </w:r>
      <w:r>
        <w:rPr>
          <w:szCs w:val="32"/>
          <w:lang w:val="zh-CN"/>
        </w:rPr>
        <w:t>推进应对气候变化与环境治理、生态保护修复协同增效，</w:t>
      </w:r>
      <w:r>
        <w:rPr>
          <w:kern w:val="0"/>
          <w:szCs w:val="32"/>
        </w:rPr>
        <w:t>持续降低碳排放强度，显著增强应对气候变化能力。</w:t>
      </w:r>
    </w:p>
    <w:p>
      <w:pPr>
        <w:spacing w:line="590" w:lineRule="exact"/>
        <w:ind w:firstLine="630" w:firstLineChars="196"/>
        <w:rPr>
          <w:kern w:val="0"/>
          <w:szCs w:val="32"/>
        </w:rPr>
      </w:pPr>
      <w:r>
        <w:rPr>
          <w:b/>
          <w:bCs/>
          <w:kern w:val="0"/>
          <w:szCs w:val="32"/>
        </w:rPr>
        <w:t>推动制定二氧化碳排放达峰行动方案</w:t>
      </w:r>
      <w:r>
        <w:rPr>
          <w:kern w:val="0"/>
          <w:szCs w:val="32"/>
        </w:rPr>
        <w:t>。围绕碳达峰目标和碳中和愿景，推动制定浙江省二氧化碳排放达峰行动方案，推进能源、工业、交通、建筑、农业、生活和科技创新“6+1”领域和11个设区市达峰方案编制，明确达峰目标、路线图和配套措施，强化达峰目标责任落实。推动煤炭消费和工业领域率先实现二氧化碳排放达峰，鼓励国家低碳试点城市、国家生态文明建设示范市县等率先达峰。鼓励大型企业，特别是大型国有企业制定二氧化碳达峰行动方案。</w:t>
      </w:r>
    </w:p>
    <w:p>
      <w:pPr>
        <w:spacing w:line="590" w:lineRule="exact"/>
        <w:ind w:firstLine="630" w:firstLineChars="196"/>
        <w:rPr>
          <w:b/>
          <w:bCs/>
        </w:rPr>
      </w:pPr>
      <w:r>
        <w:rPr>
          <w:b/>
          <w:bCs/>
          <w:kern w:val="0"/>
          <w:szCs w:val="32"/>
        </w:rPr>
        <w:t>强化温室气体排放控制</w:t>
      </w:r>
      <w:r>
        <w:rPr>
          <w:b/>
          <w:kern w:val="0"/>
          <w:szCs w:val="32"/>
        </w:rPr>
        <w:t>。</w:t>
      </w:r>
      <w:r>
        <w:rPr>
          <w:kern w:val="0"/>
          <w:szCs w:val="32"/>
        </w:rPr>
        <w:t>加快推动能源结构和产业结构绿色低碳转型，有效控制能源、工业、建筑、交通等重点领域温室气体排放。探索建立碳排放总量和强度“双控”制度。加强氢氟碳化物等非二氧化碳温室气体排放管理。根据全国碳排放权交易市场建设统一部署，落实碳排放权交易制度，推动企业积极参与碳排放权交易。对发电行业实行总量和单位产品碳排放控制约束，控制行业碳增量指标。增加林业、海洋、湿地等生态系统碳汇。到2025年，非化石能源占一次能源消费比重达到24%，工业领域碳排放总量趋于稳定，城镇新建建筑中绿色建筑实现全覆盖，交通运输结构和交通能源结构进一步优化。</w:t>
      </w:r>
    </w:p>
    <w:p>
      <w:pPr>
        <w:spacing w:line="590" w:lineRule="exact"/>
        <w:ind w:firstLine="630" w:firstLineChars="196"/>
        <w:rPr>
          <w:kern w:val="0"/>
          <w:szCs w:val="32"/>
        </w:rPr>
      </w:pPr>
      <w:r>
        <w:rPr>
          <w:b/>
          <w:bCs/>
          <w:kern w:val="0"/>
          <w:szCs w:val="32"/>
        </w:rPr>
        <w:t>主动适应气候变化</w:t>
      </w:r>
      <w:r>
        <w:rPr>
          <w:b/>
          <w:kern w:val="0"/>
          <w:szCs w:val="32"/>
        </w:rPr>
        <w:t>。</w:t>
      </w:r>
      <w:r>
        <w:rPr>
          <w:kern w:val="0"/>
          <w:szCs w:val="32"/>
        </w:rPr>
        <w:t>加强气候变化影响及风险评估，强化市政、水利、交通、能源等基础设施气候韧性，提高农业、林业、海洋等重点领域气候适应水平，加大生态系统保护修复力度，提升气候敏感区、生态脆弱区气候适应能力。全面推进海绵城市建设，构建海绵型绿地系统。建立健全气候防灾减灾体系，加强气候灾害的监测评估和预测预警，完善气候灾害应急预案体系和响应工作机制。</w:t>
      </w:r>
    </w:p>
    <w:p>
      <w:pPr>
        <w:spacing w:line="590" w:lineRule="exact"/>
        <w:ind w:firstLine="630" w:firstLineChars="196"/>
        <w:rPr>
          <w:kern w:val="0"/>
          <w:szCs w:val="32"/>
        </w:rPr>
      </w:pPr>
      <w:r>
        <w:rPr>
          <w:b/>
          <w:kern w:val="0"/>
          <w:szCs w:val="32"/>
        </w:rPr>
        <w:t>提高应对气候变化治理能力</w:t>
      </w:r>
      <w:r>
        <w:rPr>
          <w:kern w:val="0"/>
          <w:szCs w:val="32"/>
        </w:rPr>
        <w:t>。构建现代化气候治理体系，统筹加强应对气候变化和生态环境保护相关工作，创新应对气候变化体制机制。推动应对气候变化立法，开展低碳试点相关标准研究。建立碳排放评价制度，探索开展大气污染物与温室气体排放协同控制，推动减污降碳协同增效。开展气候投融资试点，推动气候投融资制度创新。探索建立企业碳账户核算体系，</w:t>
      </w:r>
      <w:r>
        <w:t>实现一企一档、精准管理。</w:t>
      </w:r>
      <w:r>
        <w:rPr>
          <w:kern w:val="0"/>
          <w:szCs w:val="32"/>
        </w:rPr>
        <w:t>开展重点领域低碳技术科技攻关和推广应用，推进碳捕集利用和封存技术示范工程，加快气候治理数字化转型，强化气候领域人才队伍建设。</w:t>
      </w:r>
    </w:p>
    <w:p>
      <w:pPr>
        <w:spacing w:line="590" w:lineRule="exact"/>
        <w:ind w:firstLine="630" w:firstLineChars="196"/>
      </w:pPr>
      <w:r>
        <w:rPr>
          <w:b/>
          <w:kern w:val="0"/>
          <w:szCs w:val="32"/>
        </w:rPr>
        <w:t>打造多层级应对气候变化试点体系。</w:t>
      </w:r>
      <w:r>
        <w:rPr>
          <w:kern w:val="0"/>
          <w:szCs w:val="32"/>
        </w:rPr>
        <w:t>打造低碳试点升级版，开展多层级“零碳”体系建设。到2025年，</w:t>
      </w:r>
      <w:r>
        <w:t>乡镇以上“零碳”党政机关等公共机构建设数量达到300个，建成绿色低碳园区50个，建成10个“零碳”示范县（市、区）、100个“零碳”示范乡镇（街道）、1000个“零碳”示范村（社区）。实施生态系统碳汇试点建设。积极实践碳中和，规范碳中和机制，探索建设碳中和示范区。鼓励推广应用“碳标签”。</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57" w:type="dxa"/>
          <w:left w:w="85" w:type="dxa"/>
          <w:bottom w:w="57" w:type="dxa"/>
          <w:right w:w="85"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567"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  应对气候变化领域重大项目和重大政策</w:t>
            </w:r>
          </w:p>
          <w:p>
            <w:pPr>
              <w:spacing w:line="355" w:lineRule="exact"/>
              <w:ind w:firstLine="480" w:firstLineChars="200"/>
              <w:rPr>
                <w:kern w:val="0"/>
                <w:sz w:val="24"/>
              </w:rPr>
            </w:pPr>
            <w:r>
              <w:rPr>
                <w:rFonts w:eastAsia="楷体_GB2312"/>
                <w:kern w:val="0"/>
                <w:sz w:val="24"/>
              </w:rPr>
              <w:t>1. 温室气体与大气污染物协同减排试点。</w:t>
            </w:r>
            <w:r>
              <w:rPr>
                <w:kern w:val="0"/>
                <w:sz w:val="24"/>
              </w:rPr>
              <w:t>选择一批煤电、钢铁、水泥等重点排放行业企业，以及一批排放源相对集中、排放监测基础较好、排放管理体系较为完善的若干高能耗高污染高排放园区开展协同减排试点。</w:t>
            </w:r>
          </w:p>
          <w:p>
            <w:pPr>
              <w:spacing w:line="355" w:lineRule="exact"/>
              <w:ind w:firstLine="480" w:firstLineChars="200"/>
              <w:rPr>
                <w:kern w:val="0"/>
                <w:sz w:val="24"/>
              </w:rPr>
            </w:pPr>
            <w:r>
              <w:rPr>
                <w:rFonts w:eastAsia="楷体_GB2312"/>
                <w:kern w:val="0"/>
                <w:sz w:val="24"/>
              </w:rPr>
              <w:t>2.</w:t>
            </w:r>
            <w:r>
              <w:rPr>
                <w:rFonts w:hint="eastAsia" w:eastAsia="楷体_GB2312"/>
                <w:kern w:val="0"/>
                <w:sz w:val="24"/>
              </w:rPr>
              <w:t xml:space="preserve"> </w:t>
            </w:r>
            <w:r>
              <w:rPr>
                <w:rFonts w:eastAsia="楷体_GB2312"/>
                <w:kern w:val="0"/>
                <w:sz w:val="24"/>
              </w:rPr>
              <w:t>“零碳”城镇试点建设。</w:t>
            </w:r>
            <w:r>
              <w:rPr>
                <w:kern w:val="0"/>
                <w:sz w:val="24"/>
              </w:rPr>
              <w:t>以市、县（市、区）、镇（乡、街道）为主体，实施能源、工业、交通、建筑、农业和居民生活领域的节能减碳措施，积极发展森林碳汇，实现城镇边界内的碳排放量为零。</w:t>
            </w:r>
          </w:p>
          <w:p>
            <w:pPr>
              <w:spacing w:line="355" w:lineRule="exact"/>
              <w:ind w:firstLine="480" w:firstLineChars="200"/>
              <w:rPr>
                <w:kern w:val="0"/>
                <w:sz w:val="24"/>
              </w:rPr>
            </w:pPr>
            <w:r>
              <w:rPr>
                <w:rFonts w:eastAsia="楷体_GB2312"/>
                <w:kern w:val="0"/>
                <w:sz w:val="24"/>
              </w:rPr>
              <w:t>3.</w:t>
            </w:r>
            <w:r>
              <w:rPr>
                <w:rFonts w:hint="eastAsia" w:eastAsia="楷体_GB2312"/>
                <w:kern w:val="0"/>
                <w:sz w:val="24"/>
              </w:rPr>
              <w:t xml:space="preserve"> </w:t>
            </w:r>
            <w:r>
              <w:rPr>
                <w:rFonts w:eastAsia="楷体_GB2312"/>
                <w:kern w:val="0"/>
                <w:sz w:val="24"/>
              </w:rPr>
              <w:t>低碳数字智治。</w:t>
            </w:r>
            <w:r>
              <w:rPr>
                <w:kern w:val="0"/>
                <w:sz w:val="24"/>
              </w:rPr>
              <w:t>根据政府数字化转型要求和新形势下应对气候变化工作需要，着力打造浙江省低碳发展综合管理系统、企业碳账户系统等低碳数字化工程，深化数据分析挖掘，实现全省应对气候变化工作全流程、信息化、智能化在线管理。</w:t>
            </w:r>
          </w:p>
          <w:p>
            <w:pPr>
              <w:spacing w:line="355" w:lineRule="exact"/>
              <w:ind w:firstLine="480" w:firstLineChars="200"/>
              <w:rPr>
                <w:kern w:val="0"/>
                <w:sz w:val="24"/>
              </w:rPr>
            </w:pPr>
            <w:r>
              <w:rPr>
                <w:rFonts w:eastAsia="楷体_GB2312"/>
                <w:kern w:val="0"/>
                <w:sz w:val="24"/>
              </w:rPr>
              <w:t>4.</w:t>
            </w:r>
            <w:r>
              <w:rPr>
                <w:rFonts w:hint="eastAsia" w:eastAsia="楷体_GB2312"/>
                <w:kern w:val="0"/>
                <w:sz w:val="24"/>
              </w:rPr>
              <w:t xml:space="preserve"> </w:t>
            </w:r>
            <w:r>
              <w:rPr>
                <w:rFonts w:eastAsia="楷体_GB2312"/>
                <w:kern w:val="0"/>
                <w:sz w:val="24"/>
              </w:rPr>
              <w:t>碳捕集利用与封存（CCUS）技术示范。</w:t>
            </w:r>
            <w:r>
              <w:rPr>
                <w:kern w:val="0"/>
                <w:sz w:val="24"/>
              </w:rPr>
              <w:t>开展CCUS技术战略性研究，有序推动规模化、全链条CCUS技术的引进、研发、产业化和应用推广，选择有条件的区域和行业推进CCUS试点示范。</w:t>
            </w:r>
          </w:p>
          <w:p>
            <w:pPr>
              <w:spacing w:line="355" w:lineRule="exact"/>
              <w:ind w:firstLine="480" w:firstLineChars="200"/>
              <w:rPr>
                <w:sz w:val="24"/>
              </w:rPr>
            </w:pPr>
            <w:r>
              <w:rPr>
                <w:rFonts w:eastAsia="楷体_GB2312"/>
                <w:kern w:val="0"/>
                <w:sz w:val="24"/>
              </w:rPr>
              <w:t>5.</w:t>
            </w:r>
            <w:r>
              <w:rPr>
                <w:rFonts w:hint="eastAsia" w:eastAsia="楷体_GB2312"/>
                <w:kern w:val="0"/>
                <w:sz w:val="24"/>
              </w:rPr>
              <w:t xml:space="preserve"> </w:t>
            </w:r>
            <w:r>
              <w:rPr>
                <w:rFonts w:eastAsia="楷体_GB2312"/>
                <w:kern w:val="0"/>
                <w:sz w:val="24"/>
              </w:rPr>
              <w:t>碳排放评价。</w:t>
            </w:r>
            <w:r>
              <w:rPr>
                <w:sz w:val="24"/>
              </w:rPr>
              <w:t>探索将碳排放评价纳入环境影响评价，选择在重点行业新建、改建、扩建项目环评中开展碳排放评价，研究提出减排措施，切实发挥减污降碳协同效应。</w:t>
            </w:r>
          </w:p>
          <w:p>
            <w:pPr>
              <w:spacing w:line="355" w:lineRule="exact"/>
              <w:ind w:firstLine="480" w:firstLineChars="200"/>
              <w:rPr>
                <w:sz w:val="24"/>
              </w:rPr>
            </w:pPr>
            <w:r>
              <w:rPr>
                <w:rFonts w:eastAsia="楷体_GB2312"/>
                <w:kern w:val="0"/>
                <w:sz w:val="24"/>
              </w:rPr>
              <w:t>6.</w:t>
            </w:r>
            <w:r>
              <w:rPr>
                <w:rFonts w:hint="eastAsia" w:eastAsia="楷体_GB2312"/>
                <w:kern w:val="0"/>
                <w:sz w:val="24"/>
              </w:rPr>
              <w:t xml:space="preserve"> </w:t>
            </w:r>
            <w:r>
              <w:rPr>
                <w:rFonts w:eastAsia="楷体_GB2312"/>
                <w:kern w:val="0"/>
                <w:sz w:val="24"/>
              </w:rPr>
              <w:t>生态系统碳汇交易。</w:t>
            </w:r>
            <w:r>
              <w:rPr>
                <w:sz w:val="24"/>
              </w:rPr>
              <w:t>完善碳汇项目交易管理制度，争取优先将林业CCER纳入我省碳市场交易体系；积极开发林业、海洋、湿地等碳汇产品，探索建立符合本省实际的碳汇建设和交易体系。</w:t>
            </w:r>
          </w:p>
          <w:p>
            <w:pPr>
              <w:spacing w:line="355" w:lineRule="exact"/>
              <w:ind w:firstLine="480" w:firstLineChars="200"/>
              <w:rPr>
                <w:rFonts w:eastAsia="黑体"/>
                <w:sz w:val="28"/>
                <w:szCs w:val="28"/>
              </w:rPr>
            </w:pPr>
            <w:r>
              <w:rPr>
                <w:rFonts w:eastAsia="楷体_GB2312"/>
                <w:kern w:val="0"/>
                <w:sz w:val="24"/>
              </w:rPr>
              <w:t>7.</w:t>
            </w:r>
            <w:r>
              <w:rPr>
                <w:rFonts w:hint="eastAsia" w:eastAsia="楷体_GB2312"/>
                <w:kern w:val="0"/>
                <w:sz w:val="24"/>
              </w:rPr>
              <w:t xml:space="preserve"> </w:t>
            </w:r>
            <w:r>
              <w:rPr>
                <w:rFonts w:eastAsia="楷体_GB2312"/>
                <w:kern w:val="0"/>
                <w:sz w:val="24"/>
              </w:rPr>
              <w:t>气候投融资试点。</w:t>
            </w:r>
            <w:r>
              <w:rPr>
                <w:kern w:val="0"/>
                <w:sz w:val="24"/>
              </w:rPr>
              <w:t>加快构建气候投融资政策和标准体系，鼓励和引导民间投资与外资进入气候投融资领域。选择实施意愿强、基础条件较优、具有带动作用和典型性的地方，开展以投资政策指导、强化金融支持为重点的气候投融资试点。支持争创国家气候投融资试点。</w:t>
            </w:r>
          </w:p>
        </w:tc>
      </w:tr>
    </w:tbl>
    <w:p>
      <w:pPr>
        <w:pStyle w:val="4"/>
        <w:spacing w:before="120" w:beforeLines="50" w:after="0" w:line="590" w:lineRule="exact"/>
        <w:ind w:firstLine="641" w:firstLineChars="200"/>
        <w:jc w:val="left"/>
        <w:outlineLvl w:val="1"/>
        <w:rPr>
          <w:rFonts w:ascii="Times New Roman" w:hAnsi="Times New Roman" w:eastAsia="楷体_GB2312"/>
        </w:rPr>
      </w:pPr>
      <w:bookmarkStart w:id="21" w:name="_Toc65248117"/>
      <w:r>
        <w:rPr>
          <w:rFonts w:ascii="Times New Roman" w:hAnsi="Times New Roman" w:eastAsia="楷体_GB2312"/>
        </w:rPr>
        <w:t>（三）加强协同治理，改善环境空气质量</w:t>
      </w:r>
      <w:bookmarkEnd w:id="21"/>
    </w:p>
    <w:p>
      <w:pPr>
        <w:pStyle w:val="2"/>
        <w:spacing w:after="0" w:line="590" w:lineRule="exact"/>
        <w:ind w:left="0" w:leftChars="0" w:right="0" w:rightChars="0" w:firstLine="640" w:firstLineChars="200"/>
        <w:rPr>
          <w:rFonts w:hint="eastAsia"/>
          <w:szCs w:val="32"/>
        </w:rPr>
      </w:pPr>
      <w:r>
        <w:rPr>
          <w:szCs w:val="32"/>
        </w:rPr>
        <w:t>坚持综合治理和重点突破，强化多污染物协同控制和区域协同治理，以“清新空气示范区”建设为载体，深化固定源、移动源、面源治理，实施氮氧化物（NO</w:t>
      </w:r>
      <w:r>
        <w:rPr>
          <w:szCs w:val="32"/>
          <w:vertAlign w:val="subscript"/>
        </w:rPr>
        <w:t>X</w:t>
      </w:r>
      <w:r>
        <w:rPr>
          <w:szCs w:val="32"/>
        </w:rPr>
        <w:t>）与挥发性有机物（VOCs）协同减排，实现PM</w:t>
      </w:r>
      <w:r>
        <w:rPr>
          <w:szCs w:val="32"/>
          <w:vertAlign w:val="subscript"/>
        </w:rPr>
        <w:t>2.5</w:t>
      </w:r>
      <w:r>
        <w:rPr>
          <w:szCs w:val="32"/>
        </w:rPr>
        <w:t>和O</w:t>
      </w:r>
      <w:r>
        <w:rPr>
          <w:szCs w:val="32"/>
          <w:vertAlign w:val="subscript"/>
        </w:rPr>
        <w:t>3</w:t>
      </w:r>
      <w:r>
        <w:rPr>
          <w:szCs w:val="32"/>
        </w:rPr>
        <w:t>“双控双减”，全面消除重污染天气，基本消除中度污染天气，巩固提升城市空气质量达标成果。</w:t>
      </w:r>
    </w:p>
    <w:p>
      <w:pPr>
        <w:pStyle w:val="2"/>
        <w:spacing w:after="0" w:line="590" w:lineRule="exact"/>
        <w:ind w:left="0" w:leftChars="0" w:right="0" w:rightChars="0" w:firstLine="643" w:firstLineChars="200"/>
        <w:rPr>
          <w:bCs/>
        </w:rPr>
      </w:pPr>
      <w:r>
        <w:rPr>
          <w:b/>
          <w:bCs/>
          <w:lang w:val="zh-CN"/>
        </w:rPr>
        <w:t>加强大气环境综合管理</w:t>
      </w:r>
      <w:r>
        <w:rPr>
          <w:lang w:val="zh-CN"/>
        </w:rPr>
        <w:t>。</w:t>
      </w:r>
      <w:r>
        <w:t>以环境空气质量持续改善为核心，推进“清新空气示范区”建设，深入推进VOCs、工业炉窑、柴油货车、城乡面源四大专项治理。协同开展</w:t>
      </w:r>
      <w:r>
        <w:rPr>
          <w:bCs/>
        </w:rPr>
        <w:t>PM</w:t>
      </w:r>
      <w:r>
        <w:rPr>
          <w:bCs/>
          <w:vertAlign w:val="subscript"/>
        </w:rPr>
        <w:t>2.5</w:t>
      </w:r>
      <w:r>
        <w:t>和</w:t>
      </w:r>
      <w:r>
        <w:rPr>
          <w:bCs/>
        </w:rPr>
        <w:t>O</w:t>
      </w:r>
      <w:r>
        <w:rPr>
          <w:bCs/>
          <w:vertAlign w:val="subscript"/>
        </w:rPr>
        <w:t>3</w:t>
      </w:r>
      <w:r>
        <w:t>污染防治，开展</w:t>
      </w:r>
      <w:r>
        <w:rPr>
          <w:bCs/>
        </w:rPr>
        <w:t>O</w:t>
      </w:r>
      <w:r>
        <w:rPr>
          <w:bCs/>
          <w:vertAlign w:val="subscript"/>
        </w:rPr>
        <w:t>3</w:t>
      </w:r>
      <w:r>
        <w:t>形成机理研究，</w:t>
      </w:r>
      <w:r>
        <w:rPr>
          <w:bCs/>
        </w:rPr>
        <w:t>推动城市PM</w:t>
      </w:r>
      <w:r>
        <w:rPr>
          <w:bCs/>
          <w:vertAlign w:val="subscript"/>
        </w:rPr>
        <w:t>2.5</w:t>
      </w:r>
      <w:r>
        <w:rPr>
          <w:bCs/>
        </w:rPr>
        <w:t>和O</w:t>
      </w:r>
      <w:r>
        <w:rPr>
          <w:bCs/>
          <w:vertAlign w:val="subscript"/>
        </w:rPr>
        <w:t>3</w:t>
      </w:r>
      <w:r>
        <w:rPr>
          <w:bCs/>
        </w:rPr>
        <w:t>浓度稳中有降</w:t>
      </w:r>
      <w:r>
        <w:t>。完善重污染天气预警应急的启动、响应、解除机制，提升环境空气质量预测预报能力，实现城市7-10天预报</w:t>
      </w:r>
      <w:r>
        <w:rPr>
          <w:rFonts w:hint="eastAsia"/>
        </w:rPr>
        <w:t>、</w:t>
      </w:r>
      <w:r>
        <w:rPr>
          <w:bCs/>
        </w:rPr>
        <w:t>PM</w:t>
      </w:r>
      <w:r>
        <w:rPr>
          <w:bCs/>
          <w:vertAlign w:val="subscript"/>
        </w:rPr>
        <w:t>2.5</w:t>
      </w:r>
      <w:r>
        <w:t>和</w:t>
      </w:r>
      <w:r>
        <w:rPr>
          <w:bCs/>
        </w:rPr>
        <w:t>O</w:t>
      </w:r>
      <w:r>
        <w:rPr>
          <w:bCs/>
          <w:vertAlign w:val="subscript"/>
        </w:rPr>
        <w:t>3</w:t>
      </w:r>
      <w:r>
        <w:t>预报准确率进一步提升。逐步扩大重污染天气重点行业绩效分级和应急减排的实施范围，完善差异化管控机制。组织开展污染天气应对，常态化开展大气污染源清单工作。强化杭州亚运会、世界互联网大会等重大活动空气质量保障。到2025年，85%的县级以上城市建成“清新空气示范区”。</w:t>
      </w:r>
    </w:p>
    <w:p>
      <w:pPr>
        <w:pStyle w:val="2"/>
        <w:spacing w:after="0" w:line="590" w:lineRule="exact"/>
        <w:ind w:left="0" w:leftChars="0" w:right="0" w:rightChars="0" w:firstLine="630" w:firstLineChars="196"/>
        <w:rPr>
          <w:lang w:val="zh-CN"/>
        </w:rPr>
      </w:pPr>
      <w:r>
        <w:rPr>
          <w:b/>
          <w:bCs/>
          <w:lang w:val="zh-CN"/>
        </w:rPr>
        <w:t>加强</w:t>
      </w:r>
      <w:r>
        <w:rPr>
          <w:b/>
          <w:bCs/>
        </w:rPr>
        <w:t>固定源</w:t>
      </w:r>
      <w:r>
        <w:rPr>
          <w:b/>
          <w:bCs/>
          <w:lang w:val="zh-CN"/>
        </w:rPr>
        <w:t>污染综合治理。</w:t>
      </w:r>
      <w:r>
        <w:rPr>
          <w:lang w:val="zh-CN"/>
        </w:rPr>
        <w:t>深入开展锅炉综合整治，全面淘汰35蒸吨/小时以下燃煤锅炉，继续开展燃气锅炉低氮改造和建成区生物质锅炉超低排放改造或淘汰。进一步深化工业炉窑大气污染综合治理，基本完成使用高污染燃料的燃料类工业炉窑清洁能源替代，完成钢铁、水泥行业超低排放改造，深化实施玻璃、陶瓷、砖瓦、耐火材料、铸造、有色金属冶炼等行业治理，严格控制物料储存、输送及生产工艺过程无组织排放。以石化、化工、工业涂装、包装印刷、油品储运销为重点，深化VOCs治理。出台低VOCs含量产品目录，大力推进重点行业低VOCs原辅材料源头替代，加强VOCs无组织排放控制，推进建设适宜高效的末端治理设施。推进工业园区、企业集群因地制宜推广建设涉VOCs“绿岛”项目，统筹规划建设一批集中涂装中心、活性炭集中处理中心、溶剂回收中心等，实现VOCs集中高效处理。推动涉气排放企业取消非必要的废气排放系统旁路。开展清新园区建设，进一步提升工业园区大气环境管理水平，到2025年，60%的省级以上开发区（园区）建成清新园区。</w:t>
      </w:r>
    </w:p>
    <w:p>
      <w:pPr>
        <w:pStyle w:val="2"/>
        <w:spacing w:after="0" w:line="590" w:lineRule="exact"/>
        <w:ind w:left="0" w:leftChars="0" w:right="0" w:rightChars="0" w:firstLine="630" w:firstLineChars="196"/>
      </w:pPr>
      <w:r>
        <w:rPr>
          <w:b/>
          <w:bCs/>
        </w:rPr>
        <w:t>推进移动源污染防治。</w:t>
      </w:r>
      <w:r>
        <w:rPr>
          <w:lang w:val="zh-CN"/>
        </w:rPr>
        <w:t>严格新生产、销售机动车和非道路移动机械环保达标监管，对新注册登记柴油车开展排放检验，主要车（机）型系族年度抽检率达到80%以上，</w:t>
      </w:r>
      <w:r>
        <w:t>强化</w:t>
      </w:r>
      <w:r>
        <w:rPr>
          <w:lang w:val="zh-CN"/>
        </w:rPr>
        <w:t>源头管控，确保新车、新机械环保达标。推进重型柴油车远程排放在线监管，基本消除柴油货车和工程机械冒黑烟现象，全面完成施工工地、港口、机场等非道路移动机械编码登记和上牌，</w:t>
      </w:r>
      <w:r>
        <w:t>推广使用新能源和清洁能源非道路移动机械</w:t>
      </w:r>
      <w:r>
        <w:rPr>
          <w:bCs/>
        </w:rPr>
        <w:t>。</w:t>
      </w:r>
      <w:r>
        <w:rPr>
          <w:lang w:val="zh-CN"/>
        </w:rPr>
        <w:t>县级及以上城市建成区划定禁止使用高排放非道路移动机械区域。加强船舶污染治理，推进内河船型标准化，推动船舶尾气处理，推进落实船舶排放控制区措施，限制高排放船舶使用。推动港口码头岸电设施建设和改造，</w:t>
      </w:r>
      <w:r>
        <w:t>提高岸电使用率</w:t>
      </w:r>
      <w:r>
        <w:rPr>
          <w:lang w:val="zh-CN"/>
        </w:rPr>
        <w:t>。严格执行油品质量标准，加强车用油品、车用尿素、船用燃料油的监管。</w:t>
      </w:r>
      <w:r>
        <w:t>2025年底前，年销售汽油量大于5000吨的加油站，安装油气回收自动监控设备并与生态环境部门联网。</w:t>
      </w:r>
      <w:r>
        <w:rPr>
          <w:lang w:val="zh-CN"/>
        </w:rPr>
        <w:t>严厉打击黑加油站</w:t>
      </w:r>
      <w:r>
        <w:t>和非法流动加油车</w:t>
      </w:r>
      <w:r>
        <w:rPr>
          <w:lang w:val="zh-CN"/>
        </w:rPr>
        <w:t>。</w:t>
      </w:r>
    </w:p>
    <w:p>
      <w:pPr>
        <w:pStyle w:val="2"/>
        <w:spacing w:after="0" w:line="590" w:lineRule="exact"/>
        <w:ind w:left="0" w:leftChars="0" w:right="0" w:rightChars="0" w:firstLine="630" w:firstLineChars="196"/>
        <w:rPr>
          <w:b/>
          <w:bCs/>
        </w:rPr>
      </w:pPr>
      <w:r>
        <w:rPr>
          <w:b/>
          <w:bCs/>
        </w:rPr>
        <w:t>强化面源污染治理。</w:t>
      </w:r>
      <w:r>
        <w:rPr>
          <w:kern w:val="0"/>
          <w:szCs w:val="30"/>
        </w:rPr>
        <w:t>加强施工扬尘综合治理，严格落实“七个百分之百”扬尘防控长效机制，督促建设单位和施工单位落实施工工地扬尘管控责任，将施工工地扬尘治理与施工企业资质评价、信用评价等挂钩，</w:t>
      </w:r>
      <w:r>
        <w:rPr>
          <w:bCs/>
        </w:rPr>
        <w:t>构建过程全覆盖、管理全方位、责任全链条的建筑施工扬尘治理体系，提高建筑施工标准化水平。鼓励道路、水务等线性工程进行分段施工。</w:t>
      </w:r>
      <w:r>
        <w:rPr>
          <w:kern w:val="0"/>
          <w:szCs w:val="30"/>
        </w:rPr>
        <w:t>强化道路扬尘监控与治理，加强道路洒水、雾炮等抑尘作业，提高道路机械化清扫率，</w:t>
      </w:r>
      <w:r>
        <w:rPr>
          <w:bCs/>
        </w:rPr>
        <w:t>城市出入口、城乡结合部及城市周边重要干线公路路段全部实现机械化清扫</w:t>
      </w:r>
      <w:r>
        <w:rPr>
          <w:kern w:val="0"/>
          <w:szCs w:val="30"/>
        </w:rPr>
        <w:t>。</w:t>
      </w:r>
      <w:r>
        <w:t>深化堆场扬尘治理，按照</w:t>
      </w:r>
      <w:r>
        <w:rPr>
          <w:bCs/>
        </w:rPr>
        <w:t>“空中防扬散、地面防流失、底下防渗漏”的标准控制工业企业堆场料场扬尘污染。</w:t>
      </w:r>
      <w:r>
        <w:rPr>
          <w:kern w:val="0"/>
          <w:szCs w:val="30"/>
        </w:rPr>
        <w:t>加强露天矿山扬尘综合整治，开展绿色矿山建设</w:t>
      </w:r>
      <w:r>
        <w:rPr>
          <w:bCs/>
        </w:rPr>
        <w:t>质量再提升行动。强化露天焚烧卫星遥感和高空</w:t>
      </w:r>
      <w:r>
        <w:rPr>
          <w:rFonts w:eastAsia="宋体"/>
          <w:bCs/>
        </w:rPr>
        <w:t>瞭</w:t>
      </w:r>
      <w:r>
        <w:rPr>
          <w:bCs/>
        </w:rPr>
        <w:t>望，依法严禁秸秆、垃圾等露天焚烧。探索建立大气氨规范化排放清单，摸清重点排放源，推进养殖业、种植业大气氨减排。</w:t>
      </w:r>
    </w:p>
    <w:p>
      <w:pPr>
        <w:pStyle w:val="2"/>
        <w:spacing w:afterLines="50" w:line="590" w:lineRule="exact"/>
        <w:ind w:left="0" w:leftChars="0" w:right="0" w:rightChars="0" w:firstLine="630" w:firstLineChars="196"/>
        <w:rPr>
          <w:rFonts w:hint="eastAsia"/>
        </w:rPr>
      </w:pPr>
      <w:r>
        <w:rPr>
          <w:b/>
          <w:bCs/>
        </w:rPr>
        <w:t>加强其他污染治理。</w:t>
      </w:r>
      <w:r>
        <w:rPr>
          <w:bCs/>
        </w:rPr>
        <w:t>积极开展消耗臭氧层物质（ODS）管理工作。加强恶臭、有毒有害大气污染物防控，加强工业臭气异味治理，推进垃圾处理、污水处理各环节和</w:t>
      </w:r>
      <w:r>
        <w:t>畜禽养殖场臭气</w:t>
      </w:r>
      <w:r>
        <w:rPr>
          <w:bCs/>
        </w:rPr>
        <w:t>异味控制，提升恶臭治理水平。</w:t>
      </w:r>
      <w:r>
        <w:t>严格控制餐饮油烟，加大超标排放处罚力度。强化声环境功能区管理，地级及以上城市在声环境功能区安装噪声自动监测系统。加强城市噪声敏感建筑物等重点领域噪声管控。完善高架路、快速路、城市轨道等</w:t>
      </w:r>
      <w:bookmarkStart w:id="22" w:name="_Toc55906098"/>
      <w:r>
        <w:t>交通干线隔声屏障等降噪设施。强化夜间施</w:t>
      </w:r>
      <w:bookmarkEnd w:id="22"/>
      <w:r>
        <w:t>工管理，采取有效措施降低投诉热点领域噪声污染。按照国家有关规定，加强城市照明规划、设计、建设、运营的全过程管控，落实光污染防控要求。</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28" w:type="dxa"/>
          <w:left w:w="85" w:type="dxa"/>
          <w:bottom w:w="28" w:type="dxa"/>
          <w:right w:w="85"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3840"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专栏2  治气领域重大工程</w:t>
            </w:r>
          </w:p>
          <w:p>
            <w:pPr>
              <w:spacing w:line="360" w:lineRule="exact"/>
              <w:ind w:firstLine="480" w:firstLineChars="200"/>
              <w:rPr>
                <w:kern w:val="0"/>
                <w:sz w:val="24"/>
              </w:rPr>
            </w:pPr>
            <w:r>
              <w:rPr>
                <w:rFonts w:eastAsia="楷体_GB2312"/>
                <w:kern w:val="0"/>
                <w:sz w:val="24"/>
              </w:rPr>
              <w:t>1.</w:t>
            </w:r>
            <w:r>
              <w:rPr>
                <w:rFonts w:hint="eastAsia" w:eastAsia="楷体_GB2312"/>
                <w:kern w:val="0"/>
                <w:sz w:val="24"/>
              </w:rPr>
              <w:t xml:space="preserve"> </w:t>
            </w:r>
            <w:r>
              <w:rPr>
                <w:rFonts w:eastAsia="楷体_GB2312"/>
                <w:kern w:val="0"/>
                <w:sz w:val="24"/>
              </w:rPr>
              <w:t>低VOCs原辅材料源头替代工程。</w:t>
            </w:r>
            <w:r>
              <w:rPr>
                <w:kern w:val="0"/>
                <w:sz w:val="24"/>
              </w:rPr>
              <w:t>推进工业涂装、包装印刷等重点行业实施VOCs源头替代。</w:t>
            </w:r>
          </w:p>
          <w:p>
            <w:pPr>
              <w:spacing w:line="360" w:lineRule="exact"/>
              <w:ind w:firstLine="480" w:firstLineChars="200"/>
              <w:rPr>
                <w:kern w:val="0"/>
                <w:sz w:val="24"/>
              </w:rPr>
            </w:pPr>
            <w:r>
              <w:rPr>
                <w:rFonts w:eastAsia="楷体_GB2312"/>
                <w:kern w:val="0"/>
                <w:sz w:val="24"/>
              </w:rPr>
              <w:t>2.</w:t>
            </w:r>
            <w:r>
              <w:rPr>
                <w:rFonts w:hint="eastAsia" w:eastAsia="楷体_GB2312"/>
                <w:kern w:val="0"/>
                <w:sz w:val="24"/>
              </w:rPr>
              <w:t xml:space="preserve"> </w:t>
            </w:r>
            <w:r>
              <w:rPr>
                <w:rFonts w:eastAsia="楷体_GB2312"/>
                <w:kern w:val="0"/>
                <w:sz w:val="24"/>
              </w:rPr>
              <w:t>VOCs“绿岛”工程。</w:t>
            </w:r>
            <w:r>
              <w:rPr>
                <w:kern w:val="0"/>
                <w:sz w:val="24"/>
              </w:rPr>
              <w:t>工业园区、企业集群因地制宜统筹规划建设一批集中涂装中心、活性炭集中处理中心、溶剂回收中心等，实现VOCs集中高效处理。</w:t>
            </w:r>
          </w:p>
          <w:p>
            <w:pPr>
              <w:spacing w:line="360" w:lineRule="exact"/>
              <w:ind w:firstLine="480" w:firstLineChars="200"/>
              <w:rPr>
                <w:kern w:val="0"/>
                <w:sz w:val="24"/>
              </w:rPr>
            </w:pPr>
            <w:r>
              <w:rPr>
                <w:rFonts w:eastAsia="楷体_GB2312"/>
                <w:kern w:val="0"/>
                <w:sz w:val="24"/>
              </w:rPr>
              <w:t>3.</w:t>
            </w:r>
            <w:r>
              <w:rPr>
                <w:rFonts w:hint="eastAsia" w:eastAsia="楷体_GB2312"/>
                <w:kern w:val="0"/>
                <w:sz w:val="24"/>
              </w:rPr>
              <w:t xml:space="preserve"> </w:t>
            </w:r>
            <w:r>
              <w:rPr>
                <w:rFonts w:eastAsia="楷体_GB2312"/>
                <w:kern w:val="0"/>
                <w:sz w:val="24"/>
              </w:rPr>
              <w:t>工业炉窑深度治理。</w:t>
            </w:r>
            <w:r>
              <w:rPr>
                <w:kern w:val="0"/>
                <w:sz w:val="24"/>
              </w:rPr>
              <w:t>推进高污染燃料工业炉窑清洁替代，在钢铁、水泥等行业开展超低排放改造。对玻璃、陶瓷、铸造、有色金属冶炼等行业实施深度治理。</w:t>
            </w:r>
          </w:p>
          <w:p>
            <w:pPr>
              <w:spacing w:line="360" w:lineRule="exact"/>
              <w:ind w:firstLine="480" w:firstLineChars="200"/>
              <w:rPr>
                <w:rFonts w:eastAsia="黑体"/>
                <w:sz w:val="28"/>
                <w:szCs w:val="28"/>
              </w:rPr>
            </w:pPr>
            <w:r>
              <w:rPr>
                <w:rFonts w:eastAsia="楷体_GB2312"/>
                <w:kern w:val="0"/>
                <w:sz w:val="24"/>
              </w:rPr>
              <w:t>4.</w:t>
            </w:r>
            <w:r>
              <w:rPr>
                <w:rFonts w:hint="eastAsia" w:eastAsia="楷体_GB2312"/>
                <w:kern w:val="0"/>
                <w:sz w:val="24"/>
              </w:rPr>
              <w:t xml:space="preserve"> </w:t>
            </w:r>
            <w:r>
              <w:rPr>
                <w:rFonts w:eastAsia="楷体_GB2312"/>
                <w:kern w:val="0"/>
                <w:sz w:val="24"/>
              </w:rPr>
              <w:t>车船结构升级改造。</w:t>
            </w:r>
            <w:r>
              <w:rPr>
                <w:kern w:val="0"/>
                <w:sz w:val="24"/>
              </w:rPr>
              <w:t>淘汰老旧机动车、船舶和非道路移动机械；推广使用清洁能源车辆、船舶和非道路移动机械。实施港口码头岸电设施建设和改造。</w:t>
            </w:r>
          </w:p>
        </w:tc>
      </w:tr>
    </w:tbl>
    <w:p>
      <w:pPr>
        <w:pStyle w:val="4"/>
        <w:spacing w:before="120" w:beforeLines="50" w:after="0" w:line="590" w:lineRule="exact"/>
        <w:ind w:firstLine="641" w:firstLineChars="200"/>
        <w:jc w:val="left"/>
        <w:outlineLvl w:val="1"/>
        <w:rPr>
          <w:rFonts w:ascii="Times New Roman" w:hAnsi="Times New Roman" w:eastAsia="楷体_GB2312"/>
        </w:rPr>
      </w:pPr>
      <w:bookmarkStart w:id="23" w:name="_Toc65248118"/>
      <w:r>
        <w:rPr>
          <w:rFonts w:ascii="Times New Roman" w:hAnsi="Times New Roman" w:eastAsia="楷体_GB2312"/>
        </w:rPr>
        <w:t>（四）深化五水共治，提升水生态环境质量</w:t>
      </w:r>
      <w:bookmarkEnd w:id="23"/>
    </w:p>
    <w:p>
      <w:pPr>
        <w:pStyle w:val="2"/>
        <w:spacing w:after="0" w:line="590" w:lineRule="exact"/>
        <w:ind w:left="0" w:leftChars="0" w:right="0" w:rightChars="0" w:firstLine="645"/>
      </w:pPr>
      <w:r>
        <w:t>坚持控源、扩容两手发力，以“美丽河湖”“污水零直排区”建设为载体，深化“五水共治”碧水行动，统筹水环境治理、水生态保护、水资源利用，全方位保障饮用水安全，推动水环境质量全面改善，水生态健康逐步恢复，基本消除省控以上Ⅴ类断面。</w:t>
      </w:r>
    </w:p>
    <w:p>
      <w:pPr>
        <w:pStyle w:val="2"/>
        <w:spacing w:after="0" w:line="590" w:lineRule="exact"/>
        <w:ind w:left="0" w:leftChars="0" w:right="0" w:rightChars="0" w:firstLine="645"/>
        <w:rPr>
          <w:bCs/>
          <w:kern w:val="0"/>
          <w:szCs w:val="32"/>
        </w:rPr>
      </w:pPr>
      <w:r>
        <w:rPr>
          <w:b/>
          <w:bCs/>
        </w:rPr>
        <w:t>持续深化水环境治理。</w:t>
      </w:r>
      <w:r>
        <w:t>持续推进“污水零直排区”建设，加快城市排水管网、工业园区排水管网的改造、修复和完善，推进排水管网雨污分流，实现</w:t>
      </w:r>
      <w:r>
        <w:rPr>
          <w:szCs w:val="32"/>
          <w:lang w:bidi="ar"/>
        </w:rPr>
        <w:t>城镇建成区雨污分流全面覆盖。</w:t>
      </w:r>
      <w:r>
        <w:t>到2025年，</w:t>
      </w:r>
      <w:r>
        <w:rPr>
          <w:rFonts w:hint="eastAsia"/>
        </w:rPr>
        <w:t>所有</w:t>
      </w:r>
      <w:r>
        <w:t>县（市、区）完成城镇“污水零直排区”建设。强化</w:t>
      </w:r>
      <w:r>
        <w:rPr>
          <w:bCs/>
        </w:rPr>
        <w:t>工业污染长效监管，</w:t>
      </w:r>
      <w:r>
        <w:rPr>
          <w:bCs/>
          <w:kern w:val="0"/>
          <w:szCs w:val="32"/>
        </w:rPr>
        <w:t>建立完善印染、造纸、化工等重点行业废水长效监管机制，加强工业集聚区污水集中处理设施运行维护管理。强化城镇生活污水治理，推进</w:t>
      </w:r>
      <w:r>
        <w:t>城镇生活污水处理厂清洁化改造，加快提升生活污水处理能力和城镇污水处理厂效能。到2025年，完成城镇生活污水处理厂清洁排放技术改造400万吨/日，新增城镇污水处理能力300万吨/日，污水管网4000公里。推广污泥集中焚烧无害化处理，污泥无害化处置率超过90%。加强农村生活污水处理设施建设改造和标准化运维，到2025年，处理设施行政村覆盖率达到95%，力争出水达标率达到95%，实现既有处理设施标准化运维全覆盖。</w:t>
      </w:r>
      <w:r>
        <w:rPr>
          <w:bCs/>
          <w:kern w:val="0"/>
          <w:szCs w:val="32"/>
        </w:rPr>
        <w:t>强化农业源污染控制，</w:t>
      </w:r>
      <w:r>
        <w:t>推进畜禽养殖业排泄物生态消纳或工业化处理达标排放，加强农田尾水生态化循环利用、农田氮磷生态拦截沟渠系统建设，补齐农业面源污染治理设施短板。推进水产绿色健康养殖，提高水产养殖尾水循环利用率，强化养殖尾水治理设施建设和运维管理。加强内河港口、船舶污染控制，完善内河港口船舶污染物接收转运处置设施，协同推进内河货船生活污水污染防治。到2025年，实现船舶含油污水、生活污水和垃圾等污染物来源可溯、去向可寻，基本形成衔接顺畅的船舶港口污染治理体系。深化流域分区管理体系，优化水功能区划与监督管理。推进钱塘江、大运河、太湖等重点河湖水环境治理，加强重点湖库蓝藻水华防控。</w:t>
      </w:r>
    </w:p>
    <w:p>
      <w:pPr>
        <w:pStyle w:val="2"/>
        <w:spacing w:after="0" w:line="590" w:lineRule="exact"/>
        <w:ind w:left="0" w:leftChars="0" w:right="0" w:rightChars="0" w:firstLine="630" w:firstLineChars="196"/>
      </w:pPr>
      <w:r>
        <w:rPr>
          <w:b/>
          <w:bCs/>
        </w:rPr>
        <w:t>着力提升水生态健康</w:t>
      </w:r>
      <w:r>
        <w:rPr>
          <w:lang w:val="zh-CN"/>
        </w:rPr>
        <w:t>。</w:t>
      </w:r>
      <w:r>
        <w:t>按照“守、退、补”原则，针对性开展生态缓冲带建设、湿地恢复与建设、生物多样性保护等工作，推进“美丽河湖”保护与建设，到2025年，新增“美丽河湖”500条（3500公里）。全面开展八大水系</w:t>
      </w:r>
      <w:r>
        <w:rPr>
          <w:bCs/>
          <w:kern w:val="0"/>
          <w:szCs w:val="32"/>
        </w:rPr>
        <w:t>水生态健康评价和生态修复，</w:t>
      </w:r>
      <w:r>
        <w:t>推进水生态环境示范试点县建设。</w:t>
      </w:r>
      <w:r>
        <w:rPr>
          <w:bCs/>
          <w:kern w:val="0"/>
          <w:szCs w:val="32"/>
        </w:rPr>
        <w:t>严格落实生态保护红线及河湖岸线管控要求，</w:t>
      </w:r>
      <w:r>
        <w:t>加强河湖水系连通，提高水体流动性和自净能力。以县级以上饮用水水源地、省控以上断面所在水体为重点开展生态缓冲带建设，推进入库入河支流、入湖口、污水处理厂等重要节点生态湿地建设。到2025年，建成河湖生态缓冲带1000公里。开展城市河道水生态修复，构建水下“森林”生态系统，实现“有河有水、有鱼有草”。加强水生生物多样性保护，实施全省八大水系统一的禁渔期制度，科学引导和规范管理水生生物增殖放流。到2025年，土著鱼类逐步恢复，水生生物多样性提高，水生态系统稳定性明显增强。</w:t>
      </w:r>
    </w:p>
    <w:p>
      <w:pPr>
        <w:pStyle w:val="2"/>
        <w:spacing w:after="0" w:line="590" w:lineRule="exact"/>
        <w:ind w:left="0" w:leftChars="0" w:right="0" w:rightChars="0" w:firstLine="630" w:firstLineChars="196"/>
        <w:rPr>
          <w:szCs w:val="32"/>
        </w:rPr>
      </w:pPr>
      <w:r>
        <w:rPr>
          <w:b/>
          <w:bCs/>
        </w:rPr>
        <w:t>强化水资源刚性约束</w:t>
      </w:r>
      <w:r>
        <w:rPr>
          <w:lang w:val="zh-CN"/>
        </w:rPr>
        <w:t>。</w:t>
      </w:r>
      <w:r>
        <w:t>深入落实最严格水资源管理制度，贯彻实施浙江省节水行动，健全省市县三级用水总量和强度控制指标体系，实施水资源“双控行动”。</w:t>
      </w:r>
      <w:r>
        <w:rPr>
          <w:szCs w:val="32"/>
        </w:rPr>
        <w:t>深入推进节水型社会建设，推动节水“六大工程”，实施工业节水减排，落实城镇节水降损，促进农业节水增效。到2025年，全省用水总量控制在196亿立方米以内，全省万元GDP用水量较2020年下降16%以上。</w:t>
      </w:r>
      <w:r>
        <w:rPr>
          <w:rFonts w:eastAsia="仿宋"/>
          <w:szCs w:val="32"/>
        </w:rPr>
        <w:t>加强非常规水利用，</w:t>
      </w:r>
      <w:r>
        <w:rPr>
          <w:szCs w:val="32"/>
        </w:rPr>
        <w:t>因地制宜推进区域再生水循环利用，以高耗水工业技术改造、工业绿色发展、清洁生产为重点，促进废水循环利用和综合利用，到2025年，创建节水型企业1000家以上。加强重点河湖生态流量监测和预警，落实生态流量保障目标，到2025年，重点河湖基本生态流量达标率达到95%。</w:t>
      </w:r>
    </w:p>
    <w:p>
      <w:pPr>
        <w:pStyle w:val="2"/>
        <w:spacing w:afterLines="50" w:line="590" w:lineRule="exact"/>
        <w:ind w:left="0" w:leftChars="0" w:right="0" w:rightChars="0" w:firstLine="630" w:firstLineChars="196"/>
      </w:pPr>
      <w:r>
        <w:rPr>
          <w:b/>
          <w:bCs/>
        </w:rPr>
        <w:t>全方位保障饮用水安全</w:t>
      </w:r>
      <w:r>
        <w:rPr>
          <w:b/>
          <w:bCs/>
          <w:lang w:val="zh-CN"/>
        </w:rPr>
        <w:t>。</w:t>
      </w:r>
      <w:r>
        <w:t>立足</w:t>
      </w:r>
      <w:r>
        <w:rPr>
          <w:lang w:val="zh-CN"/>
        </w:rPr>
        <w:t>城乡供水一体化，优化饮用水取水格局，积极推进城市应急备用饮用水水源地建设，</w:t>
      </w:r>
      <w:r>
        <w:t>研究建立跨区域应急水源一网调度体系。</w:t>
      </w:r>
      <w:r>
        <w:rPr>
          <w:szCs w:val="32"/>
        </w:rPr>
        <w:t>开展县级及以上饮用水水源地有机特征污染物分析，建立健全水源环境管理档案</w:t>
      </w:r>
      <w:r>
        <w:rPr>
          <w:lang w:val="zh-CN"/>
        </w:rPr>
        <w:t>和饮用水源保护区矢量数据库</w:t>
      </w:r>
      <w:r>
        <w:rPr>
          <w:szCs w:val="32"/>
        </w:rPr>
        <w:t>，摸清污染来源及风险点位，</w:t>
      </w:r>
      <w:r>
        <w:rPr>
          <w:lang w:val="zh-CN"/>
        </w:rPr>
        <w:t>完善饮用水水源长效管护机制。</w:t>
      </w:r>
      <w:r>
        <w:t>完成乡镇级集中式饮用水源保护区划定与勘界立标，</w:t>
      </w:r>
      <w:r>
        <w:rPr>
          <w:lang w:val="zh-CN"/>
        </w:rPr>
        <w:t>逐步推进“千吨万人”及其他乡镇级饮用水源地监测和水质提升工作，加强供水安全保障。</w:t>
      </w:r>
      <w:r>
        <w:t>到2025年，全省县级以上集中式饮用水水源水质达标率达到100%，“千吨万人”饮用水水源水质达标率达到95%</w:t>
      </w:r>
      <w:r>
        <w:rPr>
          <w:lang w:val="zh-CN"/>
        </w:rPr>
        <w:t>。</w:t>
      </w:r>
      <w:r>
        <w:rPr>
          <w:szCs w:val="32"/>
        </w:rPr>
        <w:t>加强饮用水水源风险防控体系建设，完善饮用水水源预警监测自动站建设和运行管理，严格饮用水水源周边有毒有害物质全过程监管，</w:t>
      </w:r>
      <w:bookmarkStart w:id="24" w:name="_Toc55906099"/>
      <w:r>
        <w:t>组织开展突发环境</w:t>
      </w:r>
      <w:bookmarkEnd w:id="24"/>
      <w:r>
        <w:t>事件应急演练。</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28" w:type="dxa"/>
          <w:left w:w="85" w:type="dxa"/>
          <w:bottom w:w="28" w:type="dxa"/>
          <w:right w:w="85"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4412"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专栏3  治水领域重大工程</w:t>
            </w:r>
          </w:p>
          <w:p>
            <w:pPr>
              <w:spacing w:line="350" w:lineRule="exact"/>
              <w:ind w:firstLine="480" w:firstLineChars="200"/>
              <w:rPr>
                <w:kern w:val="0"/>
                <w:sz w:val="24"/>
              </w:rPr>
            </w:pPr>
            <w:r>
              <w:rPr>
                <w:rFonts w:eastAsia="楷体_GB2312"/>
                <w:kern w:val="0"/>
                <w:sz w:val="24"/>
              </w:rPr>
              <w:t>1. 水污染物减排。</w:t>
            </w:r>
            <w:r>
              <w:rPr>
                <w:kern w:val="0"/>
                <w:sz w:val="24"/>
              </w:rPr>
              <w:t>推进城镇污水处理设施建设与改造、配套管网建设、污泥处理处置设施建设与改造、初期雨水收集与处理、再生水利用工程等。加强工业集聚区污水集中处理设施建设与改造、配套管网建设，工业企业达标</w:t>
            </w:r>
            <w:bookmarkStart w:id="25" w:name="_Toc36128786"/>
            <w:r>
              <w:rPr>
                <w:kern w:val="0"/>
                <w:sz w:val="24"/>
              </w:rPr>
              <w:t>整治、清洁化改造等。推</w:t>
            </w:r>
            <w:bookmarkEnd w:id="25"/>
            <w:r>
              <w:rPr>
                <w:kern w:val="0"/>
                <w:sz w:val="24"/>
              </w:rPr>
              <w:t>进规模化畜禽养殖场污水和废弃物处理工程、农田尾水和地表径流净化工程、农村污水收集处理及标准化运维工程、农村环境综合整治等建设。加强排污口规范化建设、入河排污口综合整治等。</w:t>
            </w:r>
          </w:p>
          <w:p>
            <w:pPr>
              <w:spacing w:line="350" w:lineRule="exact"/>
              <w:ind w:firstLine="480" w:firstLineChars="200"/>
              <w:rPr>
                <w:kern w:val="0"/>
                <w:sz w:val="24"/>
              </w:rPr>
            </w:pPr>
            <w:r>
              <w:rPr>
                <w:rFonts w:eastAsia="楷体_GB2312"/>
                <w:kern w:val="0"/>
                <w:sz w:val="24"/>
              </w:rPr>
              <w:t>2.</w:t>
            </w:r>
            <w:r>
              <w:rPr>
                <w:rFonts w:hint="eastAsia" w:eastAsia="楷体_GB2312"/>
                <w:kern w:val="0"/>
                <w:sz w:val="24"/>
              </w:rPr>
              <w:t xml:space="preserve"> </w:t>
            </w:r>
            <w:r>
              <w:rPr>
                <w:rFonts w:eastAsia="楷体_GB2312"/>
                <w:kern w:val="0"/>
                <w:sz w:val="24"/>
              </w:rPr>
              <w:t>水生态保护修复。</w:t>
            </w:r>
            <w:r>
              <w:rPr>
                <w:kern w:val="0"/>
                <w:sz w:val="24"/>
              </w:rPr>
              <w:t>以钱塘江流域为重点，全面开展八大水系生态修复。开展河湖生态缓冲带建设。加强水生植被恢复、自然湿地恢复、水体及岸边的污染源整治、沿岸截污、疏浚清淤、垃圾清理等。</w:t>
            </w:r>
          </w:p>
          <w:p>
            <w:pPr>
              <w:spacing w:line="360" w:lineRule="exact"/>
              <w:ind w:firstLine="480" w:firstLineChars="200"/>
              <w:rPr>
                <w:rFonts w:eastAsia="黑体"/>
                <w:sz w:val="28"/>
                <w:szCs w:val="28"/>
              </w:rPr>
            </w:pPr>
            <w:r>
              <w:rPr>
                <w:rFonts w:eastAsia="楷体_GB2312"/>
                <w:kern w:val="0"/>
                <w:sz w:val="24"/>
              </w:rPr>
              <w:t>3.</w:t>
            </w:r>
            <w:r>
              <w:rPr>
                <w:rFonts w:hint="eastAsia" w:eastAsia="楷体_GB2312"/>
                <w:kern w:val="0"/>
                <w:sz w:val="24"/>
              </w:rPr>
              <w:t xml:space="preserve"> </w:t>
            </w:r>
            <w:r>
              <w:rPr>
                <w:rFonts w:eastAsia="楷体_GB2312"/>
                <w:kern w:val="0"/>
                <w:sz w:val="24"/>
              </w:rPr>
              <w:t>饮用水水源保护。</w:t>
            </w:r>
            <w:r>
              <w:rPr>
                <w:kern w:val="0"/>
                <w:sz w:val="24"/>
              </w:rPr>
              <w:t>推进饮用水水源地规范化建设、不达标水源地达标治理等。</w:t>
            </w:r>
          </w:p>
        </w:tc>
      </w:tr>
    </w:tbl>
    <w:p>
      <w:pPr>
        <w:pStyle w:val="4"/>
        <w:spacing w:before="120" w:beforeLines="50" w:after="0" w:line="590" w:lineRule="exact"/>
        <w:ind w:firstLine="641" w:firstLineChars="200"/>
        <w:jc w:val="left"/>
        <w:outlineLvl w:val="1"/>
        <w:rPr>
          <w:rFonts w:ascii="Times New Roman" w:hAnsi="Times New Roman" w:eastAsia="楷体_GB2312"/>
        </w:rPr>
      </w:pPr>
      <w:bookmarkStart w:id="26" w:name="_Toc65248119"/>
      <w:r>
        <w:rPr>
          <w:rFonts w:ascii="Times New Roman" w:hAnsi="Times New Roman" w:eastAsia="楷体_GB2312"/>
        </w:rPr>
        <w:t>（五）推</w:t>
      </w:r>
      <w:r>
        <w:rPr>
          <w:rFonts w:ascii="Times New Roman" w:hAnsi="Times New Roman" w:eastAsia="楷体_GB2312"/>
          <w:lang w:val="en-US"/>
        </w:rPr>
        <w:t>动</w:t>
      </w:r>
      <w:r>
        <w:rPr>
          <w:rFonts w:ascii="Times New Roman" w:hAnsi="Times New Roman" w:eastAsia="楷体_GB2312"/>
        </w:rPr>
        <w:t>陆海统筹，着力建设美丽海湾</w:t>
      </w:r>
      <w:bookmarkEnd w:id="26"/>
    </w:p>
    <w:p>
      <w:pPr>
        <w:autoSpaceDE w:val="0"/>
        <w:autoSpaceDN w:val="0"/>
        <w:adjustRightInd w:val="0"/>
        <w:spacing w:line="590" w:lineRule="exact"/>
        <w:ind w:firstLine="640" w:firstLineChars="200"/>
        <w:rPr>
          <w:szCs w:val="32"/>
        </w:rPr>
      </w:pPr>
      <w:r>
        <w:rPr>
          <w:szCs w:val="32"/>
        </w:rPr>
        <w:t xml:space="preserve">坚持陆海统筹、河海联动，加快推进陆海污染协同治理、海洋生态保护修复、亲海环境品质提升等工作，建设“水清滩净、鱼鸥翔集、人海和谐”的美丽海湾，推动全省海洋生态环境稳中向好。 </w:t>
      </w:r>
    </w:p>
    <w:p>
      <w:pPr>
        <w:autoSpaceDE w:val="0"/>
        <w:autoSpaceDN w:val="0"/>
        <w:adjustRightInd w:val="0"/>
        <w:spacing w:line="590" w:lineRule="exact"/>
        <w:ind w:firstLine="643" w:firstLineChars="200"/>
        <w:rPr>
          <w:szCs w:val="32"/>
        </w:rPr>
      </w:pPr>
      <w:r>
        <w:rPr>
          <w:b/>
          <w:szCs w:val="32"/>
          <w:lang w:bidi="ar"/>
        </w:rPr>
        <w:t>加强陆海污染协同治理</w:t>
      </w:r>
      <w:r>
        <w:rPr>
          <w:szCs w:val="32"/>
        </w:rPr>
        <w:t>。实施入海河流氮磷减排，建立入海河流（溪闸）总氮、总</w:t>
      </w:r>
      <w:bookmarkStart w:id="27" w:name="_Toc36128788"/>
      <w:r>
        <w:rPr>
          <w:szCs w:val="32"/>
        </w:rPr>
        <w:t>磷监控体系。到20</w:t>
      </w:r>
      <w:bookmarkEnd w:id="27"/>
      <w:r>
        <w:rPr>
          <w:szCs w:val="32"/>
        </w:rPr>
        <w:t>25年，全省主要入海河流（溪闸）总氮、总磷浓度得到有效控制。</w:t>
      </w:r>
      <w:r>
        <w:rPr>
          <w:lang w:bidi="ar"/>
        </w:rPr>
        <w:t>依据沿岸入海污染源专项排查成果，继续推进“排查、监测、溯源、整治”工作体系</w:t>
      </w:r>
      <w:r>
        <w:rPr>
          <w:szCs w:val="32"/>
        </w:rPr>
        <w:t>，做到科学监测、分类治理。</w:t>
      </w:r>
      <w:r>
        <w:rPr>
          <w:szCs w:val="32"/>
          <w:lang w:bidi="ar"/>
        </w:rPr>
        <w:t>全面清理整治非法排污口，“一口一策”建立工业直排海污染源管理档案。</w:t>
      </w:r>
      <w:r>
        <w:rPr>
          <w:szCs w:val="32"/>
        </w:rPr>
        <w:t>2022年起，全省排海污染源实现总氮、总磷排放零增长。到2025年，全面形成设置科学、管理规范、运行有序、监督完善的入海排污监管体系。</w:t>
      </w:r>
      <w:r>
        <w:rPr>
          <w:szCs w:val="32"/>
          <w:lang w:bidi="ar"/>
        </w:rPr>
        <w:t>优化海水养殖布</w:t>
      </w:r>
      <w:r>
        <w:rPr>
          <w:spacing w:val="2"/>
          <w:szCs w:val="32"/>
          <w:lang w:bidi="ar"/>
        </w:rPr>
        <w:t>局，</w:t>
      </w:r>
      <w:r>
        <w:rPr>
          <w:spacing w:val="2"/>
          <w:szCs w:val="32"/>
        </w:rPr>
        <w:t>对禁养区内养殖行为进行清理整顿，严格规范限养区内养殖行为。规范网箱养殖，加快海水养殖绿色转型，鼓励各地因地制宜推进养殖尾水生态化治理。</w:t>
      </w:r>
      <w:r>
        <w:rPr>
          <w:spacing w:val="2"/>
          <w:szCs w:val="32"/>
          <w:lang w:bidi="ar"/>
        </w:rPr>
        <w:t>提升大型沿海港口环境治理水平，</w:t>
      </w:r>
      <w:r>
        <w:rPr>
          <w:spacing w:val="2"/>
          <w:szCs w:val="32"/>
        </w:rPr>
        <w:t>建立健全港口、船舶含油污水、生活污水和垃圾接收、转运和处理体系，有效控制船舶港口污染。到2022年，全省沿海二级以上渔港全面建成（配齐）污染防治设施设备。探索建立“蓝海”指数，全面实施湾（滩）长制。</w:t>
      </w:r>
      <w:r>
        <w:rPr>
          <w:spacing w:val="2"/>
          <w:szCs w:val="22"/>
          <w:lang w:val="zh-CN" w:bidi="ar"/>
        </w:rPr>
        <w:t>按照“一湾一策”要求，</w:t>
      </w:r>
      <w:r>
        <w:rPr>
          <w:spacing w:val="2"/>
          <w:szCs w:val="32"/>
        </w:rPr>
        <w:t>持续加强杭州湾、象山港、三门湾、乐清湾等重要海湾生态环境整治。</w:t>
      </w:r>
    </w:p>
    <w:p>
      <w:pPr>
        <w:tabs>
          <w:tab w:val="right" w:leader="dot" w:pos="8296"/>
        </w:tabs>
        <w:spacing w:line="590" w:lineRule="exact"/>
        <w:ind w:firstLine="630"/>
        <w:rPr>
          <w:bCs/>
          <w:szCs w:val="32"/>
          <w:lang w:bidi="ar"/>
        </w:rPr>
      </w:pPr>
      <w:r>
        <w:rPr>
          <w:b/>
          <w:szCs w:val="32"/>
        </w:rPr>
        <w:t>加强海洋生态保护与修复。</w:t>
      </w:r>
      <w:r>
        <w:rPr>
          <w:szCs w:val="32"/>
          <w:lang w:bidi="ar"/>
        </w:rPr>
        <w:t>坚持保护优先、自然恢复为主，加强重点海湾（湾区）</w:t>
      </w:r>
      <w:r>
        <w:rPr>
          <w:bCs/>
          <w:szCs w:val="32"/>
        </w:rPr>
        <w:t>、重要岛群等生态保护修复</w:t>
      </w:r>
      <w:r>
        <w:rPr>
          <w:szCs w:val="32"/>
          <w:lang w:bidi="ar"/>
        </w:rPr>
        <w:t>和监管。</w:t>
      </w:r>
      <w:r>
        <w:rPr>
          <w:bCs/>
          <w:szCs w:val="32"/>
          <w:lang w:bidi="ar"/>
        </w:rPr>
        <w:t>实施退围还滩、退养还湿工程，加强滨海湿地修复</w:t>
      </w:r>
      <w:bookmarkStart w:id="28" w:name="_Toc55906100"/>
      <w:r>
        <w:rPr>
          <w:bCs/>
          <w:szCs w:val="32"/>
        </w:rPr>
        <w:t>。</w:t>
      </w:r>
      <w:bookmarkEnd w:id="28"/>
      <w:r>
        <w:rPr>
          <w:bCs/>
          <w:szCs w:val="32"/>
        </w:rPr>
        <w:t>严格落实国家围填海管控政策，除国家批准的重大战略项目用海外，禁止新增围填海项目。</w:t>
      </w:r>
      <w:r>
        <w:rPr>
          <w:bCs/>
          <w:szCs w:val="32"/>
          <w:lang w:bidi="ar"/>
        </w:rPr>
        <w:t>加强岸线岸滩修复，</w:t>
      </w:r>
      <w:r>
        <w:rPr>
          <w:bCs/>
          <w:szCs w:val="32"/>
        </w:rPr>
        <w:t>结合海塘安澜工程，开展海堤生态化改造，构造沿海生态海岸线，确保大陆自然岸线保有率和海岛自然岸线保有率不减少。加强海洋生物资源保护，严格实施休（禁）渔制度，控制近岸捕捞强度。推进海洋牧场建设，</w:t>
      </w:r>
      <w:r>
        <w:rPr>
          <w:lang w:bidi="ar"/>
        </w:rPr>
        <w:t>科学引导和规范管理海洋水生生物增殖放流</w:t>
      </w:r>
      <w:r>
        <w:rPr>
          <w:bCs/>
          <w:szCs w:val="32"/>
          <w:lang w:bidi="ar"/>
        </w:rPr>
        <w:t>，促进海洋生物资源恢复和生物多样性保护。</w:t>
      </w:r>
    </w:p>
    <w:p>
      <w:pPr>
        <w:tabs>
          <w:tab w:val="right" w:leader="dot" w:pos="8296"/>
        </w:tabs>
        <w:spacing w:after="120" w:afterLines="50" w:line="590" w:lineRule="exact"/>
        <w:ind w:firstLine="643" w:firstLineChars="200"/>
        <w:rPr>
          <w:lang w:bidi="ar"/>
        </w:rPr>
      </w:pPr>
      <w:r>
        <w:rPr>
          <w:b/>
          <w:bCs/>
          <w:szCs w:val="32"/>
        </w:rPr>
        <w:t>提升</w:t>
      </w:r>
      <w:r>
        <w:rPr>
          <w:b/>
          <w:szCs w:val="32"/>
          <w:lang w:bidi="ar"/>
        </w:rPr>
        <w:t>公众亲海环境品质</w:t>
      </w:r>
      <w:r>
        <w:t>。</w:t>
      </w:r>
      <w:r>
        <w:rPr>
          <w:lang w:bidi="ar"/>
        </w:rPr>
        <w:t>优化海岸带生产、生活和生态空间布局，严控生产岸线，保护自然岸线和生活岸线。</w:t>
      </w:r>
      <w:r>
        <w:t>推进海岸绿化，营造海岸自然景观空间，</w:t>
      </w:r>
      <w:r>
        <w:rPr>
          <w:lang w:bidi="ar"/>
        </w:rPr>
        <w:t>拓展公众亲海岸滩岸线</w:t>
      </w:r>
      <w:r>
        <w:t>。推进海岸美化，结合美丽城镇、美丽乡村、美丽田园、美丽庭院等建设，</w:t>
      </w:r>
      <w:r>
        <w:rPr>
          <w:lang w:bidi="ar"/>
        </w:rPr>
        <w:t>完善海岸配套公共设施。加强海水浴场、滨海旅游度假区等亲海岸段入海污染源排查整治，提升海水浴场环境质量。</w:t>
      </w:r>
      <w:r>
        <w:rPr>
          <w:szCs w:val="32"/>
        </w:rPr>
        <w:t>建立海上环卫机制，</w:t>
      </w:r>
      <w:r>
        <w:rPr>
          <w:lang w:bidi="ar"/>
        </w:rPr>
        <w:t>强化岸滩和海漂垃圾的统筹治理和常态化监管。</w:t>
      </w:r>
      <w:r>
        <w:t>建立健全排污、保洁、道路、绿化等长效管理机制</w:t>
      </w:r>
      <w:r>
        <w:rPr>
          <w:lang w:bidi="ar"/>
        </w:rPr>
        <w:t>。</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28" w:type="dxa"/>
          <w:left w:w="85" w:type="dxa"/>
          <w:bottom w:w="28" w:type="dxa"/>
          <w:right w:w="85"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4574"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专栏4  治海领域重大工程</w:t>
            </w:r>
          </w:p>
          <w:p>
            <w:pPr>
              <w:spacing w:line="380" w:lineRule="exact"/>
              <w:ind w:firstLine="480" w:firstLineChars="200"/>
              <w:rPr>
                <w:b/>
                <w:bCs/>
                <w:kern w:val="0"/>
                <w:sz w:val="24"/>
              </w:rPr>
            </w:pPr>
            <w:r>
              <w:rPr>
                <w:rFonts w:eastAsia="楷体_GB2312"/>
                <w:kern w:val="0"/>
                <w:sz w:val="24"/>
              </w:rPr>
              <w:t>1.</w:t>
            </w:r>
            <w:r>
              <w:rPr>
                <w:rFonts w:hint="eastAsia" w:eastAsia="楷体_GB2312"/>
                <w:kern w:val="0"/>
                <w:sz w:val="24"/>
              </w:rPr>
              <w:t xml:space="preserve"> </w:t>
            </w:r>
            <w:r>
              <w:rPr>
                <w:rFonts w:eastAsia="楷体_GB2312"/>
                <w:kern w:val="0"/>
                <w:sz w:val="24"/>
              </w:rPr>
              <w:t>“美丽海湾”建设工程。</w:t>
            </w:r>
            <w:r>
              <w:rPr>
                <w:kern w:val="0"/>
                <w:sz w:val="24"/>
              </w:rPr>
              <w:t>编制全省“美丽海湾”建设方案，推进各沿海设区市“美丽海湾”建设工作。推进落实湾（滩）长制，加强入海排污口整治、入海河流污染治理等工作，因地制宜打造特色“美丽海湾”</w:t>
            </w:r>
            <w:r>
              <w:rPr>
                <w:bCs/>
                <w:kern w:val="0"/>
                <w:sz w:val="24"/>
              </w:rPr>
              <w:t>。</w:t>
            </w:r>
            <w:r>
              <w:rPr>
                <w:kern w:val="0"/>
                <w:sz w:val="24"/>
              </w:rPr>
              <w:t>到2025年，率先建成台州湾、梅山湾、沿浦湾、舟山南部海域等“美丽海湾”样板，全省建成“美丽海湾”10个左右，岸线长度不少于400千米，海湾生态环境质量持续改善。</w:t>
            </w:r>
          </w:p>
          <w:p>
            <w:pPr>
              <w:spacing w:line="380" w:lineRule="exact"/>
              <w:ind w:firstLine="480" w:firstLineChars="200"/>
              <w:rPr>
                <w:rFonts w:eastAsia="黑体"/>
                <w:sz w:val="28"/>
                <w:szCs w:val="28"/>
              </w:rPr>
            </w:pPr>
            <w:r>
              <w:rPr>
                <w:rFonts w:eastAsia="楷体_GB2312"/>
                <w:kern w:val="0"/>
                <w:sz w:val="24"/>
              </w:rPr>
              <w:t>2.</w:t>
            </w:r>
            <w:r>
              <w:rPr>
                <w:rFonts w:hint="eastAsia" w:eastAsia="楷体_GB2312"/>
                <w:kern w:val="0"/>
                <w:sz w:val="24"/>
              </w:rPr>
              <w:t xml:space="preserve"> </w:t>
            </w:r>
            <w:r>
              <w:rPr>
                <w:rFonts w:eastAsia="楷体_GB2312"/>
                <w:kern w:val="0"/>
                <w:sz w:val="24"/>
              </w:rPr>
              <w:t>生态海岸带先行段建设工程。</w:t>
            </w:r>
            <w:r>
              <w:rPr>
                <w:kern w:val="0"/>
                <w:sz w:val="24"/>
              </w:rPr>
              <w:t>按照“以点带面、重点先行”原则，统筹考虑现状条件、资源禀赋、特色彰显、先行意义，选择长度40公里左右、腹地深度20公里左右的区域作为生态海岸带先行段，开展海岸带先行段建设。到2025年，先行建设海宁海盐先行段（河口田园型）、杭州钱塘新区先行段（滨海都市型）、宁波前湾新区先行段（滨海湿地型）、温州168先行段（山海兼具型）。</w:t>
            </w:r>
          </w:p>
        </w:tc>
      </w:tr>
    </w:tbl>
    <w:p>
      <w:pPr>
        <w:pStyle w:val="4"/>
        <w:spacing w:before="0" w:after="0" w:line="590" w:lineRule="exact"/>
        <w:ind w:firstLine="641" w:firstLineChars="200"/>
        <w:jc w:val="left"/>
        <w:outlineLvl w:val="1"/>
        <w:rPr>
          <w:rFonts w:ascii="Times New Roman" w:hAnsi="Times New Roman" w:eastAsia="楷体_GB2312"/>
        </w:rPr>
      </w:pPr>
      <w:bookmarkStart w:id="29" w:name="_Toc65248120"/>
      <w:r>
        <w:rPr>
          <w:rFonts w:ascii="Times New Roman" w:hAnsi="Times New Roman" w:eastAsia="楷体_GB2312"/>
        </w:rPr>
        <w:t>（六）实施分类防治，保障土壤和地下水安全</w:t>
      </w:r>
      <w:bookmarkEnd w:id="29"/>
    </w:p>
    <w:p>
      <w:pPr>
        <w:spacing w:line="590" w:lineRule="exact"/>
        <w:ind w:firstLine="627" w:firstLineChars="196"/>
        <w:rPr>
          <w:szCs w:val="32"/>
        </w:rPr>
      </w:pPr>
      <w:r>
        <w:rPr>
          <w:szCs w:val="32"/>
        </w:rPr>
        <w:t>坚持预防为主、保护优先和风险防控，</w:t>
      </w:r>
      <w:r>
        <w:rPr>
          <w:szCs w:val="32"/>
          <w:lang w:bidi="ar"/>
        </w:rPr>
        <w:t>加快构建土壤和地下水污染“防控治”体系，着力消除突出污染风险隐患，有力保障“吃得放心、住得安心”。</w:t>
      </w:r>
      <w:r>
        <w:rPr>
          <w:rFonts w:eastAsia="宋体"/>
          <w:sz w:val="24"/>
        </w:rPr>
        <w:t xml:space="preserve"> </w:t>
      </w:r>
    </w:p>
    <w:p>
      <w:pPr>
        <w:pStyle w:val="2"/>
        <w:spacing w:after="0" w:line="590" w:lineRule="exact"/>
        <w:ind w:left="0" w:leftChars="0" w:right="0" w:rightChars="0" w:firstLine="643" w:firstLineChars="200"/>
        <w:rPr>
          <w:szCs w:val="32"/>
        </w:rPr>
      </w:pPr>
      <w:r>
        <w:rPr>
          <w:b/>
          <w:bCs/>
          <w:lang w:val="zh-CN"/>
        </w:rPr>
        <w:t>深化土壤污染源头</w:t>
      </w:r>
      <w:r>
        <w:rPr>
          <w:b/>
          <w:szCs w:val="32"/>
          <w:lang w:bidi="ar"/>
        </w:rPr>
        <w:t>精准</w:t>
      </w:r>
      <w:r>
        <w:rPr>
          <w:b/>
          <w:bCs/>
          <w:lang w:val="zh-CN"/>
        </w:rPr>
        <w:t>防控</w:t>
      </w:r>
      <w:r>
        <w:rPr>
          <w:lang w:val="zh-CN"/>
        </w:rPr>
        <w:t>。</w:t>
      </w:r>
      <w:r>
        <w:t>强化耕地土壤污染源头防控，加快实施</w:t>
      </w:r>
      <w:r>
        <w:rPr>
          <w:szCs w:val="32"/>
        </w:rPr>
        <w:t>耕地土壤污染溯源排查和整治，2023年底前，各设区市基本建立污染源全口径清单，做到“发现一处、管控一处”。推进建设用地土壤污染源头防治，</w:t>
      </w:r>
      <w:r>
        <w:rPr>
          <w:szCs w:val="32"/>
          <w:lang w:bidi="ar"/>
        </w:rPr>
        <w:t>2021年底前，土壤污染重点监管单位全部纳入排污许可证统一监管。督促土壤污染重点监管单位</w:t>
      </w:r>
      <w:r>
        <w:rPr>
          <w:szCs w:val="32"/>
        </w:rPr>
        <w:t>落实有毒有害物质排放报告、污染隐患排查、用地土壤和地下水自行监测、设施设备拆除污染防治等法定义务，落实</w:t>
      </w:r>
      <w:r>
        <w:rPr>
          <w:szCs w:val="32"/>
          <w:lang w:bidi="ar"/>
        </w:rPr>
        <w:t>重点监管单位周边土壤监督性监测要求。</w:t>
      </w:r>
    </w:p>
    <w:p>
      <w:pPr>
        <w:pStyle w:val="2"/>
        <w:spacing w:after="0" w:line="590" w:lineRule="exact"/>
        <w:ind w:left="0" w:leftChars="0" w:right="0" w:rightChars="0" w:firstLine="643" w:firstLineChars="200"/>
        <w:rPr>
          <w:szCs w:val="32"/>
        </w:rPr>
      </w:pPr>
      <w:r>
        <w:rPr>
          <w:b/>
          <w:bCs/>
          <w:lang w:val="zh-CN"/>
        </w:rPr>
        <w:t>实施农用地土壤分类管理。</w:t>
      </w:r>
      <w:r>
        <w:rPr>
          <w:szCs w:val="32"/>
        </w:rPr>
        <w:t>根据全省耕地土壤环境质量类别划定结果，分类落实农用地土壤优先保护、安全利用和严格管控要求。将优先保护类耕地纳入永久基本农田，实行严格保护。对安全利用类耕地，全面实施以“水肥调控、阻隔剂施用、低累积作物培育”为主要模式的安全利用措施。对严格管控类耕地，在全面落实种植结构和用地功能调整的基础上，</w:t>
      </w:r>
      <w:r>
        <w:rPr>
          <w:szCs w:val="32"/>
          <w:lang w:bidi="ar"/>
        </w:rPr>
        <w:t>鼓励有条件的地区通过客土置换、生物修复等措施，</w:t>
      </w:r>
      <w:r>
        <w:rPr>
          <w:szCs w:val="32"/>
        </w:rPr>
        <w:t>逐步降低土壤中污染物浓度，“十四五”期间，确保全省严格管控类耕地面积不增加。</w:t>
      </w:r>
    </w:p>
    <w:p>
      <w:pPr>
        <w:pStyle w:val="2"/>
        <w:spacing w:after="0" w:line="590" w:lineRule="exact"/>
        <w:ind w:left="0" w:leftChars="0" w:right="0" w:rightChars="0" w:firstLine="643" w:firstLineChars="200"/>
        <w:rPr>
          <w:szCs w:val="32"/>
        </w:rPr>
      </w:pPr>
      <w:r>
        <w:rPr>
          <w:b/>
          <w:bCs/>
        </w:rPr>
        <w:t>落实</w:t>
      </w:r>
      <w:r>
        <w:rPr>
          <w:b/>
          <w:bCs/>
          <w:lang w:val="zh-CN"/>
        </w:rPr>
        <w:t>建设用地风险管控和修复</w:t>
      </w:r>
      <w:r>
        <w:rPr>
          <w:lang w:val="zh-CN"/>
        </w:rPr>
        <w:t>。</w:t>
      </w:r>
      <w:r>
        <w:rPr>
          <w:szCs w:val="32"/>
          <w:lang w:bidi="ar"/>
        </w:rPr>
        <w:t>推动建设用地土壤环境监管与国土空间规划监管的衔接，严格落实用途变更为敏感用途地块的土壤污染强制性调查评估和管控修复制度。整合疑似污染地块、污染地块和用途变更为敏感用途地块，统一纳入</w:t>
      </w:r>
      <w:r>
        <w:rPr>
          <w:szCs w:val="32"/>
        </w:rPr>
        <w:t>建设用地土壤污染</w:t>
      </w:r>
      <w:r>
        <w:rPr>
          <w:spacing w:val="2"/>
          <w:szCs w:val="32"/>
        </w:rPr>
        <w:t>风险管控和修复名录，实现开发利用“负面清单”管理。以用途变更为住宅、公共服务用地的污染地块为重点，强化用地准入管理和部门联动监管，实施一批重点污染地块管控和修复。</w:t>
      </w:r>
      <w:r>
        <w:rPr>
          <w:spacing w:val="2"/>
          <w:szCs w:val="32"/>
          <w:lang w:bidi="ar"/>
        </w:rPr>
        <w:t>加强建设用地地块土壤修复的环境监管，督促落实二次污染防治要求。</w:t>
      </w:r>
    </w:p>
    <w:p>
      <w:pPr>
        <w:pStyle w:val="2"/>
        <w:spacing w:afterLines="50" w:line="590" w:lineRule="exact"/>
        <w:ind w:left="0" w:leftChars="0" w:right="0" w:rightChars="0" w:firstLine="630" w:firstLineChars="196"/>
        <w:rPr>
          <w:lang w:val="zh-CN"/>
        </w:rPr>
      </w:pPr>
      <w:r>
        <w:rPr>
          <w:b/>
          <w:bCs/>
          <w:lang w:val="zh-CN"/>
        </w:rPr>
        <w:t>推进地下水污染防治。</w:t>
      </w:r>
      <w:r>
        <w:rPr>
          <w:lang w:val="zh-CN"/>
        </w:rPr>
        <w:t>加强地表水与地下水污染、土壤与地下水污染协同</w:t>
      </w:r>
      <w:r>
        <w:t>防治</w:t>
      </w:r>
      <w:r>
        <w:rPr>
          <w:lang w:val="zh-CN"/>
        </w:rPr>
        <w:t>。</w:t>
      </w:r>
      <w:r>
        <w:rPr>
          <w:szCs w:val="32"/>
          <w:lang w:bidi="ar"/>
        </w:rPr>
        <w:t>实施地下水国考点位水质巩固（提升）行动，确保实现国家下达的水质目标。</w:t>
      </w:r>
      <w:r>
        <w:t>以沿江沿河重点化工园区为重点，开展地下水环境状况调查评估，</w:t>
      </w:r>
      <w:r>
        <w:rPr>
          <w:szCs w:val="32"/>
          <w:lang w:bidi="ar"/>
        </w:rPr>
        <w:t>按照“一园一方案”，落实地下水污染管控和治理措施。对已查明的地下水重污染工业企业，依法纳入重点排污单位，督促落实自行监测、溯源断源、管控治理等措施。组织台州市、丽水市加快实施重点工业园区、垃圾填埋场、矿山等不同类型的地下</w:t>
      </w:r>
      <w:bookmarkStart w:id="30" w:name="_Toc55906101"/>
      <w:r>
        <w:rPr>
          <w:szCs w:val="32"/>
          <w:lang w:bidi="ar"/>
        </w:rPr>
        <w:t>水污染治理试点，探索形成一批成熟适用</w:t>
      </w:r>
      <w:bookmarkEnd w:id="30"/>
      <w:r>
        <w:rPr>
          <w:szCs w:val="32"/>
          <w:lang w:bidi="ar"/>
        </w:rPr>
        <w:t>的技术路线和管理模式。</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28" w:type="dxa"/>
          <w:left w:w="85" w:type="dxa"/>
          <w:bottom w:w="28" w:type="dxa"/>
          <w:right w:w="85"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3134"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专栏5  土壤和地下水领域重大工程</w:t>
            </w:r>
          </w:p>
          <w:p>
            <w:pPr>
              <w:spacing w:line="360" w:lineRule="exact"/>
              <w:ind w:firstLine="480" w:firstLineChars="200"/>
              <w:rPr>
                <w:kern w:val="0"/>
                <w:sz w:val="24"/>
              </w:rPr>
            </w:pPr>
            <w:r>
              <w:rPr>
                <w:rFonts w:eastAsia="楷体_GB2312"/>
                <w:kern w:val="0"/>
                <w:sz w:val="24"/>
              </w:rPr>
              <w:t>1.</w:t>
            </w:r>
            <w:r>
              <w:rPr>
                <w:rFonts w:hint="eastAsia" w:eastAsia="楷体_GB2312"/>
                <w:kern w:val="0"/>
                <w:sz w:val="24"/>
              </w:rPr>
              <w:t xml:space="preserve"> </w:t>
            </w:r>
            <w:r>
              <w:rPr>
                <w:rFonts w:eastAsia="楷体_GB2312"/>
                <w:kern w:val="0"/>
                <w:sz w:val="24"/>
              </w:rPr>
              <w:t>建设用地地块管控和修复。</w:t>
            </w:r>
            <w:r>
              <w:rPr>
                <w:kern w:val="0"/>
                <w:sz w:val="24"/>
              </w:rPr>
              <w:t>以用途变更为住宅、公共管理与公共服务地块为重点，实施50个重点地块土壤修复工程。</w:t>
            </w:r>
          </w:p>
          <w:p>
            <w:pPr>
              <w:spacing w:line="360" w:lineRule="exact"/>
              <w:ind w:firstLine="480" w:firstLineChars="200"/>
              <w:rPr>
                <w:kern w:val="0"/>
                <w:sz w:val="24"/>
              </w:rPr>
            </w:pPr>
            <w:r>
              <w:rPr>
                <w:rFonts w:eastAsia="楷体_GB2312"/>
                <w:kern w:val="0"/>
                <w:sz w:val="24"/>
              </w:rPr>
              <w:t>2.</w:t>
            </w:r>
            <w:r>
              <w:rPr>
                <w:rFonts w:hint="eastAsia" w:eastAsia="楷体_GB2312"/>
                <w:kern w:val="0"/>
                <w:sz w:val="24"/>
              </w:rPr>
              <w:t xml:space="preserve"> </w:t>
            </w:r>
            <w:r>
              <w:rPr>
                <w:rFonts w:eastAsia="楷体_GB2312"/>
                <w:kern w:val="0"/>
                <w:sz w:val="24"/>
              </w:rPr>
              <w:t>重点工业园区地下水污染管控和治理。</w:t>
            </w:r>
            <w:r>
              <w:rPr>
                <w:kern w:val="0"/>
                <w:sz w:val="24"/>
              </w:rPr>
              <w:t>宁波市、温州市、绍兴市、台州市和衢州市等重点化工、电镀和印染园区，实施地下水污染阻隔、管控和治理。</w:t>
            </w:r>
          </w:p>
          <w:p>
            <w:pPr>
              <w:spacing w:line="360" w:lineRule="exact"/>
              <w:ind w:firstLine="480" w:firstLineChars="200"/>
              <w:rPr>
                <w:rFonts w:eastAsia="黑体"/>
                <w:sz w:val="28"/>
                <w:szCs w:val="28"/>
              </w:rPr>
            </w:pPr>
            <w:r>
              <w:rPr>
                <w:rFonts w:eastAsia="楷体_GB2312"/>
                <w:kern w:val="0"/>
                <w:sz w:val="24"/>
              </w:rPr>
              <w:t>3.</w:t>
            </w:r>
            <w:r>
              <w:rPr>
                <w:rFonts w:hint="eastAsia" w:eastAsia="楷体_GB2312"/>
                <w:kern w:val="0"/>
                <w:sz w:val="24"/>
              </w:rPr>
              <w:t xml:space="preserve"> </w:t>
            </w:r>
            <w:r>
              <w:rPr>
                <w:rFonts w:eastAsia="楷体_GB2312"/>
                <w:kern w:val="0"/>
                <w:sz w:val="24"/>
              </w:rPr>
              <w:t>丽水市地下水污染防治示范区建设。</w:t>
            </w:r>
            <w:r>
              <w:rPr>
                <w:kern w:val="0"/>
                <w:sz w:val="24"/>
              </w:rPr>
              <w:t>丽水市实施11个地下水污染调查、管控、治理等试点项目。</w:t>
            </w:r>
          </w:p>
        </w:tc>
      </w:tr>
    </w:tbl>
    <w:p>
      <w:pPr>
        <w:pStyle w:val="4"/>
        <w:spacing w:before="0" w:after="0" w:line="590" w:lineRule="exact"/>
        <w:ind w:firstLine="641" w:firstLineChars="200"/>
        <w:jc w:val="left"/>
        <w:outlineLvl w:val="1"/>
        <w:rPr>
          <w:rFonts w:ascii="Times New Roman" w:hAnsi="Times New Roman" w:eastAsia="楷体_GB2312"/>
        </w:rPr>
      </w:pPr>
      <w:bookmarkStart w:id="31" w:name="_Toc65248121"/>
      <w:r>
        <w:rPr>
          <w:rFonts w:ascii="Times New Roman" w:hAnsi="Times New Roman" w:eastAsia="楷体_GB2312"/>
        </w:rPr>
        <w:t>（七）聚焦闭环管理，建设全域无废城市</w:t>
      </w:r>
      <w:bookmarkEnd w:id="31"/>
    </w:p>
    <w:p>
      <w:pPr>
        <w:pStyle w:val="2"/>
        <w:spacing w:after="0" w:line="590" w:lineRule="exact"/>
        <w:ind w:left="0" w:leftChars="0" w:right="0" w:rightChars="0" w:firstLine="627" w:firstLineChars="196"/>
        <w:rPr>
          <w:rFonts w:hint="eastAsia"/>
        </w:rPr>
      </w:pPr>
      <w:r>
        <w:t>坚持固体废物减量化、资源化、无害化和治理能力匹配化，以全域“无废城市”建设为载体，统筹推进工业和其他固体废物管理，推进塑料等白色污染治理，加快构建固体废物多元处置体系，实现固体废物全过程闭环管理。</w:t>
      </w:r>
    </w:p>
    <w:p>
      <w:pPr>
        <w:pStyle w:val="2"/>
        <w:spacing w:after="0" w:line="590" w:lineRule="exact"/>
        <w:ind w:left="0" w:leftChars="0" w:right="0" w:rightChars="0" w:firstLine="643" w:firstLineChars="200"/>
        <w:rPr>
          <w:bCs/>
          <w:szCs w:val="32"/>
        </w:rPr>
      </w:pPr>
      <w:r>
        <w:rPr>
          <w:b/>
          <w:bCs/>
          <w:lang w:val="zh-CN"/>
        </w:rPr>
        <w:t>推进固体废物源头减量化</w:t>
      </w:r>
      <w:r>
        <w:rPr>
          <w:lang w:val="zh-CN"/>
        </w:rPr>
        <w:t>。</w:t>
      </w:r>
      <w:r>
        <w:rPr>
          <w:bCs/>
          <w:szCs w:val="32"/>
        </w:rPr>
        <w:t>推行绿色产品设计、绿色产业链、绿色供应链、产品全生命周期绿色管理，形成一批“三废”产生量小、循环利用率高的示范企业和示范园区。全面加强企业工艺技术改造，持续推进清洁生产，夯实产废者的主体责任，延长产废者的责任追究链条，推进源头减量。减少化肥、农药等农业投入品使用量，减少农业废弃物产生量。全面推进物流、网络购物平台绿色包装的应用。加强产塑源头管控，严禁生产不符合标准要求的塑料制品。进一步加强塑料污染治理，建立健全塑料制品管理长效机制，到2025年，城乡一体的多元共治体系基本形成，塑料污染得到有效控制。</w:t>
      </w:r>
    </w:p>
    <w:p>
      <w:pPr>
        <w:spacing w:line="590" w:lineRule="exact"/>
        <w:ind w:firstLine="630" w:firstLineChars="196"/>
        <w:rPr>
          <w:bCs/>
          <w:szCs w:val="32"/>
        </w:rPr>
      </w:pPr>
      <w:r>
        <w:rPr>
          <w:b/>
          <w:bCs/>
          <w:lang w:val="zh-CN"/>
        </w:rPr>
        <w:t>加强固体废物分类收集</w:t>
      </w:r>
      <w:r>
        <w:rPr>
          <w:lang w:val="zh-CN"/>
        </w:rPr>
        <w:t>。</w:t>
      </w:r>
      <w:r>
        <w:rPr>
          <w:bCs/>
          <w:szCs w:val="32"/>
        </w:rPr>
        <w:t>建立健全精准化源头分类、专业化二次分拣、智能化高效清运、最大化资源利用、集中化统一处置的一般工业固体废物治理体系。以小微产废企业废物、实验室废弃物为重点，健全危险废物集中统一收集模式。加快补齐县级医疗废物收集转运短板，实现医疗废物集中收集网络体系全覆盖。建立政府引导、企业主体、农户参与的农业废弃物收集体系，持续完善病死猪无害化处理和废旧农膜、化肥农药包装废弃物回收制度。完善生活垃圾分类运输和处置的运作模式，全面实施生活垃圾强制分类。推进</w:t>
      </w:r>
      <w:r>
        <w:rPr>
          <w:kern w:val="0"/>
        </w:rPr>
        <w:t>再生资源分拣中心建设。</w:t>
      </w:r>
      <w:r>
        <w:rPr>
          <w:bCs/>
          <w:szCs w:val="32"/>
        </w:rPr>
        <w:t>到2025年，</w:t>
      </w:r>
      <w:r>
        <w:rPr>
          <w:szCs w:val="32"/>
          <w:lang w:bidi="ar"/>
        </w:rPr>
        <w:t>实现小微企业危险废物集中统一收集全覆盖，</w:t>
      </w:r>
      <w:r>
        <w:rPr>
          <w:bCs/>
          <w:szCs w:val="32"/>
        </w:rPr>
        <w:t>累计建成省级高标准生活垃圾分类示范小区3000个、示范村1800个以上，全省城乡生活垃圾分类实现全覆盖。</w:t>
      </w:r>
    </w:p>
    <w:p>
      <w:pPr>
        <w:pStyle w:val="2"/>
        <w:spacing w:after="0" w:line="590" w:lineRule="exact"/>
        <w:ind w:left="0" w:leftChars="0" w:right="0" w:rightChars="0" w:firstLine="630" w:firstLineChars="196"/>
        <w:rPr>
          <w:b/>
          <w:bCs/>
          <w:lang w:val="zh-CN"/>
        </w:rPr>
      </w:pPr>
      <w:r>
        <w:rPr>
          <w:b/>
          <w:bCs/>
          <w:lang w:val="zh-CN"/>
        </w:rPr>
        <w:t>拓宽固体废物资源化利用渠道。</w:t>
      </w:r>
      <w:r>
        <w:rPr>
          <w:kern w:val="0"/>
        </w:rPr>
        <w:t>深入推进资源循环利用城市和基地建设，促进固体废物资源利用园区化、规模化和产业化，提升工业固体废物综合利用率。</w:t>
      </w:r>
      <w:r>
        <w:rPr>
          <w:szCs w:val="32"/>
        </w:rPr>
        <w:t>开展危险废物“点对点”利用及建设预处理点工作试点，着力解决废盐、飞灰等危险废物综合利用产品出路难的问题。</w:t>
      </w:r>
      <w:r>
        <w:rPr>
          <w:kern w:val="0"/>
        </w:rPr>
        <w:t>以高效利用、就近就便为原则，着力提升畜禽粪污、秸秆等农业废弃物资源化利用水平，加强畜禽粪污处理设施长效运维。到2025年，畜禽粪污资源化利用和无害处理率达到92%以上，秸秆综合利用率稳定在95%以上。推广生活垃圾可回收物利用、焚烧发电、生物处理等资源化利用方式，促进餐厨垃圾资源化利用，</w:t>
      </w:r>
      <w:r>
        <w:rPr>
          <w:bCs/>
          <w:szCs w:val="32"/>
        </w:rPr>
        <w:t>到2022年，全省城乡生活垃圾资源化利用率达到100%</w:t>
      </w:r>
      <w:r>
        <w:rPr>
          <w:kern w:val="0"/>
        </w:rPr>
        <w:t>。</w:t>
      </w:r>
      <w:r>
        <w:rPr>
          <w:bCs/>
          <w:szCs w:val="32"/>
        </w:rPr>
        <w:t>建立健全建筑渣土和污染土壤的资源化利用和消纳体系。</w:t>
      </w:r>
    </w:p>
    <w:p>
      <w:pPr>
        <w:spacing w:line="590" w:lineRule="exact"/>
        <w:ind w:firstLine="630" w:firstLineChars="196"/>
        <w:rPr>
          <w:szCs w:val="32"/>
        </w:rPr>
      </w:pPr>
      <w:r>
        <w:rPr>
          <w:b/>
          <w:bCs/>
          <w:lang w:val="zh-CN"/>
        </w:rPr>
        <w:t>提升固体废物末端处置能力。</w:t>
      </w:r>
      <w:r>
        <w:rPr>
          <w:szCs w:val="30"/>
        </w:rPr>
        <w:t>将固体废物处置设施纳入城市基础设施和公共设施范围，推进工业固体废物、生活垃圾、建筑垃圾、农业废弃物、医疗废物等各类固体废物处置设施建设，建立各类固体废物处置设施统筹协调机制，促进共建共享，提高处置设施利用效率。构建多元处置体系，</w:t>
      </w:r>
      <w:r>
        <w:rPr>
          <w:szCs w:val="32"/>
        </w:rPr>
        <w:t>鼓励水泥窑协同处置实验室危险废物，燃煤电厂协同处置油泥、钢铁厂协同处置重金属污泥，重点研究并实施生活垃圾焚烧飞灰熔融、工业废盐综合利用等试点项目。</w:t>
      </w:r>
      <w:r>
        <w:rPr>
          <w:szCs w:val="32"/>
          <w:lang w:bidi="ar"/>
        </w:rPr>
        <w:t>动态调整</w:t>
      </w:r>
      <w:r>
        <w:rPr>
          <w:szCs w:val="32"/>
        </w:rPr>
        <w:t>危险废物集中处置设施规划，</w:t>
      </w:r>
      <w:r>
        <w:rPr>
          <w:szCs w:val="32"/>
          <w:lang w:bidi="ar"/>
        </w:rPr>
        <w:t>制定浙江省危险废物利用处置行业标准，开展行业提升改造行动，提升危险废物利用处置行业水平。到2025年，建成一批符合“排放清洁、技术先进、外观美丽、管理规范”的危险废物利用处置项目。</w:t>
      </w:r>
    </w:p>
    <w:p>
      <w:pPr>
        <w:pStyle w:val="2"/>
        <w:spacing w:afterLines="50" w:line="590" w:lineRule="exact"/>
        <w:ind w:left="0" w:leftChars="0" w:right="0" w:rightChars="0" w:firstLine="643" w:firstLineChars="200"/>
        <w:rPr>
          <w:szCs w:val="30"/>
        </w:rPr>
      </w:pPr>
      <w:r>
        <w:rPr>
          <w:b/>
          <w:bCs/>
          <w:lang w:val="zh-CN"/>
        </w:rPr>
        <w:t>健全固体废物闭环式监管体系。</w:t>
      </w:r>
      <w:r>
        <w:t>大力推行固体废物监管信息化，持续扩大全省固体废物管理信息系统应用覆盖面，</w:t>
      </w:r>
      <w:r>
        <w:rPr>
          <w:szCs w:val="30"/>
        </w:rPr>
        <w:t>推进跨部门、跨层级、跨</w:t>
      </w:r>
      <w:bookmarkStart w:id="32" w:name="_Toc55906103"/>
      <w:r>
        <w:rPr>
          <w:szCs w:val="30"/>
        </w:rPr>
        <w:t>领域的数据共享和平台互联互通，实现对固体废物全过程闭环管</w:t>
      </w:r>
      <w:bookmarkEnd w:id="32"/>
      <w:r>
        <w:rPr>
          <w:szCs w:val="30"/>
        </w:rPr>
        <w:t>理。加强固体废物物流、资金流监管，探索产废单位与处置单位资金直付模式，斩断中间环节黑色利益链。运用“互联网+信用”监管手段，将“无废”处置信息纳入企业（个人）信用档案。到2025年，所有设区城市及60%的县（市、区）建成“无废城市”。</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28" w:type="dxa"/>
          <w:left w:w="85" w:type="dxa"/>
          <w:bottom w:w="28" w:type="dxa"/>
          <w:right w:w="85"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4413"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专栏6  治废领域重大工程</w:t>
            </w:r>
          </w:p>
          <w:p>
            <w:pPr>
              <w:spacing w:line="360" w:lineRule="exact"/>
              <w:ind w:firstLine="480" w:firstLineChars="200"/>
              <w:rPr>
                <w:b/>
                <w:kern w:val="0"/>
                <w:sz w:val="24"/>
              </w:rPr>
            </w:pPr>
            <w:r>
              <w:rPr>
                <w:rFonts w:eastAsia="楷体_GB2312"/>
                <w:kern w:val="0"/>
                <w:sz w:val="24"/>
              </w:rPr>
              <w:t>1.</w:t>
            </w:r>
            <w:r>
              <w:rPr>
                <w:rFonts w:hint="eastAsia" w:eastAsia="楷体_GB2312"/>
                <w:kern w:val="0"/>
                <w:sz w:val="24"/>
              </w:rPr>
              <w:t xml:space="preserve"> </w:t>
            </w:r>
            <w:r>
              <w:rPr>
                <w:rFonts w:eastAsia="楷体_GB2312"/>
                <w:spacing w:val="-6"/>
                <w:kern w:val="0"/>
                <w:sz w:val="24"/>
              </w:rPr>
              <w:t>完成全域“无废城市”建设。</w:t>
            </w:r>
            <w:r>
              <w:rPr>
                <w:spacing w:val="-6"/>
                <w:kern w:val="0"/>
                <w:sz w:val="24"/>
              </w:rPr>
              <w:t>覆盖工业、生活、建筑、农业、医疗等五大类固体废物，打通产生、贮存、转运、利用、处置五个环节，率先完成全省域“无废城市”建设。</w:t>
            </w:r>
          </w:p>
          <w:p>
            <w:pPr>
              <w:spacing w:line="360" w:lineRule="exact"/>
              <w:ind w:firstLine="480" w:firstLineChars="200"/>
              <w:rPr>
                <w:kern w:val="0"/>
                <w:sz w:val="24"/>
              </w:rPr>
            </w:pPr>
            <w:r>
              <w:rPr>
                <w:rFonts w:eastAsia="楷体_GB2312"/>
                <w:kern w:val="0"/>
                <w:sz w:val="24"/>
              </w:rPr>
              <w:t>2.</w:t>
            </w:r>
            <w:r>
              <w:rPr>
                <w:rFonts w:hint="eastAsia" w:eastAsia="楷体_GB2312"/>
                <w:kern w:val="0"/>
                <w:sz w:val="24"/>
              </w:rPr>
              <w:t xml:space="preserve"> </w:t>
            </w:r>
            <w:r>
              <w:rPr>
                <w:rFonts w:eastAsia="楷体_GB2312"/>
                <w:kern w:val="0"/>
                <w:sz w:val="24"/>
              </w:rPr>
              <w:t>固体废物分类收集网络建设。</w:t>
            </w:r>
            <w:r>
              <w:rPr>
                <w:kern w:val="0"/>
                <w:sz w:val="24"/>
              </w:rPr>
              <w:t>开展生活垃圾转运站建设和升级改造，推进固体废物回收站点、分拣中心和集散交易市场建设；推进小微产废企业及实验室等固体废物集中统一收运体系建设等。</w:t>
            </w:r>
          </w:p>
          <w:p>
            <w:pPr>
              <w:spacing w:line="360" w:lineRule="exact"/>
              <w:ind w:firstLine="480" w:firstLineChars="200"/>
              <w:rPr>
                <w:kern w:val="0"/>
                <w:sz w:val="24"/>
              </w:rPr>
            </w:pPr>
            <w:r>
              <w:rPr>
                <w:rFonts w:eastAsia="楷体_GB2312"/>
                <w:kern w:val="0"/>
                <w:sz w:val="24"/>
              </w:rPr>
              <w:t>3.</w:t>
            </w:r>
            <w:r>
              <w:rPr>
                <w:rFonts w:hint="eastAsia" w:eastAsia="楷体_GB2312"/>
                <w:kern w:val="0"/>
                <w:sz w:val="24"/>
              </w:rPr>
              <w:t xml:space="preserve"> </w:t>
            </w:r>
            <w:r>
              <w:rPr>
                <w:rFonts w:eastAsia="楷体_GB2312"/>
                <w:kern w:val="0"/>
                <w:sz w:val="24"/>
              </w:rPr>
              <w:t>固体废物处置和综合利用设施建设。</w:t>
            </w:r>
            <w:r>
              <w:rPr>
                <w:kern w:val="0"/>
                <w:sz w:val="24"/>
              </w:rPr>
              <w:t>开展危险废物、一般工业固体废物、生活垃圾、建筑垃圾、农业废弃物等固体废物处置和综合利用设施建设，实现处置能力与固废产生量相匹配。</w:t>
            </w:r>
          </w:p>
          <w:p>
            <w:pPr>
              <w:spacing w:line="360" w:lineRule="exact"/>
              <w:ind w:firstLine="480" w:firstLineChars="200"/>
              <w:rPr>
                <w:rFonts w:eastAsia="黑体"/>
                <w:sz w:val="28"/>
                <w:szCs w:val="28"/>
              </w:rPr>
            </w:pPr>
            <w:r>
              <w:rPr>
                <w:rFonts w:eastAsia="楷体_GB2312"/>
                <w:kern w:val="0"/>
                <w:sz w:val="24"/>
              </w:rPr>
              <w:t>4.</w:t>
            </w:r>
            <w:r>
              <w:rPr>
                <w:rFonts w:hint="eastAsia" w:eastAsia="楷体_GB2312"/>
                <w:kern w:val="0"/>
                <w:sz w:val="24"/>
              </w:rPr>
              <w:t xml:space="preserve"> </w:t>
            </w:r>
            <w:r>
              <w:rPr>
                <w:rFonts w:eastAsia="楷体_GB2312"/>
                <w:kern w:val="0"/>
                <w:sz w:val="24"/>
              </w:rPr>
              <w:t>危险废物利用处置行业提升改造。</w:t>
            </w:r>
            <w:r>
              <w:rPr>
                <w:kern w:val="0"/>
                <w:sz w:val="24"/>
              </w:rPr>
              <w:t>制定相关工作标准，明确危险废物利用处置行业提升改造工作要求，促进行业健康发展。</w:t>
            </w:r>
          </w:p>
        </w:tc>
      </w:tr>
    </w:tbl>
    <w:p>
      <w:pPr>
        <w:pStyle w:val="4"/>
        <w:spacing w:before="0" w:after="0" w:line="590" w:lineRule="exact"/>
        <w:ind w:firstLine="641" w:firstLineChars="200"/>
        <w:jc w:val="left"/>
        <w:outlineLvl w:val="1"/>
        <w:rPr>
          <w:rFonts w:ascii="Times New Roman" w:hAnsi="Times New Roman" w:eastAsia="楷体_GB2312"/>
        </w:rPr>
      </w:pPr>
      <w:bookmarkStart w:id="33" w:name="_Toc65248122"/>
      <w:r>
        <w:rPr>
          <w:rFonts w:ascii="Times New Roman" w:hAnsi="Times New Roman" w:eastAsia="楷体_GB2312"/>
        </w:rPr>
        <w:t>（八）统筹保护修复，守住自然生态安全边界</w:t>
      </w:r>
      <w:bookmarkEnd w:id="33"/>
    </w:p>
    <w:p>
      <w:pPr>
        <w:pStyle w:val="2"/>
        <w:spacing w:after="0" w:line="590" w:lineRule="exact"/>
        <w:ind w:left="0" w:leftChars="0" w:right="0" w:rightChars="0" w:firstLine="627" w:firstLineChars="196"/>
      </w:pPr>
      <w:r>
        <w:t>坚持尊重自然、顺应自然、保护自然，统筹山水林田湖草系统治理，深化生态文明示范创建，加强重要生态空间保护监管，加大生物多样性保护力度，提升生态系统质量和稳定性，夯实全省生态安全基底，促进人与自然和谐共生。</w:t>
      </w:r>
    </w:p>
    <w:p>
      <w:pPr>
        <w:pStyle w:val="2"/>
        <w:spacing w:after="0" w:line="590" w:lineRule="exact"/>
        <w:ind w:left="0" w:leftChars="0" w:right="0" w:rightChars="0" w:firstLine="643" w:firstLineChars="200"/>
      </w:pPr>
      <w:r>
        <w:rPr>
          <w:b/>
          <w:bCs/>
        </w:rPr>
        <w:t>构筑省域生态安全格局。</w:t>
      </w:r>
      <w:r>
        <w:t>加快构建以自然保护地为基本骨架和重要节点的省域生态安全格局，到2025年，完成所有自然保护地的整合优化和勘界定标。</w:t>
      </w:r>
      <w:r>
        <w:rPr>
          <w:szCs w:val="32"/>
          <w:lang w:bidi="ar"/>
        </w:rPr>
        <w:t>科学划定落实生态保护红线、永久基本农田、城镇开发边界三条控制线，强化底线约束。</w:t>
      </w:r>
      <w:r>
        <w:t>严守生态保护红线，实现“一条红线”管控重要生态空间，</w:t>
      </w:r>
      <w:r>
        <w:rPr>
          <w:szCs w:val="32"/>
          <w:lang w:bidi="ar"/>
        </w:rPr>
        <w:t>确保面积不减少、性质不改变、功能不降低。</w:t>
      </w:r>
    </w:p>
    <w:p>
      <w:pPr>
        <w:spacing w:line="590" w:lineRule="exact"/>
        <w:ind w:firstLine="630" w:firstLineChars="196"/>
        <w:rPr>
          <w:szCs w:val="32"/>
        </w:rPr>
      </w:pPr>
      <w:r>
        <w:rPr>
          <w:b/>
          <w:bCs/>
        </w:rPr>
        <w:t>强化重要生态系统保护与修复。</w:t>
      </w:r>
      <w:r>
        <w:rPr>
          <w:kern w:val="0"/>
          <w:szCs w:val="32"/>
        </w:rPr>
        <w:t>以森林浙江建设为载体，大力开展山地、坡地、城市、乡村、通道、沿海“六大森林”建设</w:t>
      </w:r>
      <w:r>
        <w:rPr>
          <w:szCs w:val="32"/>
          <w:lang w:bidi="ar"/>
        </w:rPr>
        <w:t>。</w:t>
      </w:r>
      <w:r>
        <w:rPr>
          <w:szCs w:val="32"/>
        </w:rPr>
        <w:t>推进沿江沿河沿海自然湿地保护修复，严格控制滩涂湿地围填，逐步恢复杭州湾、玉环漩门湾等湿地生态功能。加强钱塘江、瓯江、太湖等主要流域源头地区以及平原河网等水生态健康退化水域保护修复。</w:t>
      </w:r>
      <w:r>
        <w:rPr>
          <w:szCs w:val="32"/>
          <w:lang w:bidi="ar"/>
        </w:rPr>
        <w:t>推行森林河流湖泊休养生息，有序开展退耕还林还草、退田还湖还湿。</w:t>
      </w:r>
      <w:r>
        <w:rPr>
          <w:szCs w:val="32"/>
        </w:rPr>
        <w:t>全面推进绿色地质勘查，加强矿山生态环境整治、修复和绿化，实现矿产资源勘查开发和生态环境保护的良性循环。开展新安江国家级水土流失预防区和其它重点区域水土流失综合治理。因地制宜开展土地综合整治。</w:t>
      </w:r>
      <w:r>
        <w:rPr>
          <w:szCs w:val="32"/>
          <w:lang w:bidi="ar"/>
        </w:rPr>
        <w:t>加强城市公园绿地、城郊生态绿地、绿化隔离地等建设，开展城市受损山体和废弃工矿用地修复，推进城市生态系统修复。</w:t>
      </w:r>
    </w:p>
    <w:p>
      <w:pPr>
        <w:pStyle w:val="2"/>
        <w:spacing w:after="0" w:line="590" w:lineRule="exact"/>
        <w:ind w:left="0" w:leftChars="0" w:right="0" w:rightChars="0" w:firstLine="643" w:firstLineChars="200"/>
        <w:rPr>
          <w:szCs w:val="32"/>
        </w:rPr>
      </w:pPr>
      <w:r>
        <w:rPr>
          <w:b/>
          <w:bCs/>
          <w:szCs w:val="32"/>
        </w:rPr>
        <w:t>加大生物多样性保护力度。</w:t>
      </w:r>
      <w:r>
        <w:rPr>
          <w:spacing w:val="-6"/>
          <w:szCs w:val="32"/>
        </w:rPr>
        <w:t>开展陆域和海域生物多样性本底调查和评估，推进以县域为单位野生动植物资源本底调查试点，编制全省重要生物物种目录，建设生物多样性信息管理平台，继续推进生物多样性可持续利用。大力推进钱江源—百山祖国家公园建设，进一步提升自然保护区规范化建设与管理水平。构建生态廊道和生物多样性保护网络。开展候鸟迁徙路线保护、生物遗传资源保护与管理、珍稀濒危物种资源保育、种群恢复与野化放归和重点珍稀濒危物种栖息地保护，构建野生动植物就地、迁地保护体系。开展农林业有害生物防控，强化自然保护地、生物多样性保护优先区域和重点生态功能区等重点区域外来物种入侵管控。</w:t>
      </w:r>
    </w:p>
    <w:p>
      <w:pPr>
        <w:pStyle w:val="2"/>
        <w:spacing w:afterLines="50" w:line="590" w:lineRule="exact"/>
        <w:ind w:left="0" w:leftChars="0" w:right="0" w:rightChars="0" w:firstLine="643" w:firstLineChars="200"/>
        <w:rPr>
          <w:szCs w:val="28"/>
        </w:rPr>
      </w:pPr>
      <w:r>
        <w:rPr>
          <w:b/>
          <w:bCs/>
        </w:rPr>
        <w:t>加强生态保护修复统一监管。</w:t>
      </w:r>
      <w:r>
        <w:t>加强重要生态系统监管，推进自然保护地监测网络建设，完善自然保护地、生态保护红线监管制度，建立省级生态保护红线监管平台。开展生态系统保护成效监测评估，</w:t>
      </w:r>
      <w:r>
        <w:rPr>
          <w:szCs w:val="32"/>
          <w:shd w:val="clear" w:color="auto" w:fill="FFFFFF"/>
        </w:rPr>
        <w:t>对重要生态空间的生态功能、生物多样性保护状况及生态保护修复工程实施成效进行定期评价</w:t>
      </w:r>
      <w:r>
        <w:t>。</w:t>
      </w:r>
      <w:r>
        <w:rPr>
          <w:szCs w:val="28"/>
        </w:rPr>
        <w:t>深入实施“绿盾”专项行动，落实问题整改和销号。</w:t>
      </w:r>
      <w:r>
        <w:rPr>
          <w:szCs w:val="32"/>
        </w:rPr>
        <w:t>依法严厉打击野生动植物偷猎捕猎、滥垦滥采、违规贩卖、加工利用及破坏水生生物资源及其生境等违法行为，强化野生动物保护和疫源疫病防控。</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28" w:type="dxa"/>
          <w:left w:w="85" w:type="dxa"/>
          <w:bottom w:w="28" w:type="dxa"/>
          <w:right w:w="85"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专栏7  生态保护领域重大工程</w:t>
            </w:r>
          </w:p>
          <w:p>
            <w:pPr>
              <w:spacing w:line="360" w:lineRule="exact"/>
              <w:ind w:firstLine="480" w:firstLineChars="200"/>
              <w:rPr>
                <w:kern w:val="0"/>
                <w:sz w:val="24"/>
              </w:rPr>
            </w:pPr>
            <w:r>
              <w:rPr>
                <w:rFonts w:eastAsia="楷体_GB2312"/>
                <w:kern w:val="0"/>
                <w:sz w:val="24"/>
              </w:rPr>
              <w:t>1.</w:t>
            </w:r>
            <w:r>
              <w:rPr>
                <w:rFonts w:hint="eastAsia" w:eastAsia="楷体_GB2312"/>
                <w:kern w:val="0"/>
                <w:sz w:val="24"/>
              </w:rPr>
              <w:t xml:space="preserve"> </w:t>
            </w:r>
            <w:r>
              <w:rPr>
                <w:rFonts w:eastAsia="楷体_GB2312"/>
                <w:kern w:val="0"/>
                <w:sz w:val="24"/>
              </w:rPr>
              <w:t>山水林田湖草生态系统保护与修复。</w:t>
            </w:r>
            <w:r>
              <w:rPr>
                <w:kern w:val="0"/>
                <w:sz w:val="24"/>
              </w:rPr>
              <w:t>开展新安江国家级水土流失预防区及其它重点区域水土流失综合治理。推进全域绿色地质勘查和绿色矿山建设，强化公益林建设和天然林保护，加强湿地保护修复，因地制宜开展土地综合整治，开展海岸线保护与整治修复。</w:t>
            </w:r>
          </w:p>
          <w:p>
            <w:pPr>
              <w:spacing w:line="360" w:lineRule="exact"/>
              <w:ind w:firstLine="480" w:firstLineChars="200"/>
              <w:rPr>
                <w:rFonts w:eastAsia="黑体"/>
                <w:sz w:val="28"/>
                <w:szCs w:val="28"/>
              </w:rPr>
            </w:pPr>
            <w:r>
              <w:rPr>
                <w:rFonts w:eastAsia="楷体_GB2312"/>
                <w:kern w:val="0"/>
                <w:sz w:val="24"/>
              </w:rPr>
              <w:t>2.</w:t>
            </w:r>
            <w:r>
              <w:rPr>
                <w:rFonts w:hint="eastAsia" w:eastAsia="楷体_GB2312"/>
                <w:kern w:val="0"/>
                <w:sz w:val="24"/>
              </w:rPr>
              <w:t xml:space="preserve"> </w:t>
            </w:r>
            <w:r>
              <w:rPr>
                <w:rFonts w:eastAsia="楷体_GB2312"/>
                <w:kern w:val="0"/>
                <w:sz w:val="24"/>
              </w:rPr>
              <w:t>生物多样性保护。</w:t>
            </w:r>
            <w:r>
              <w:rPr>
                <w:kern w:val="0"/>
                <w:sz w:val="24"/>
              </w:rPr>
              <w:t>开展陆域和海域生物多样性本底调查和评估，在钱江源—百山祖国家公园钱江源片区范围内开展生物多样性保护示范建设，支持丽水市打造国家生物多样性保护引领区。加强全省自然保护区规范化管理。</w:t>
            </w:r>
          </w:p>
        </w:tc>
      </w:tr>
    </w:tbl>
    <w:p>
      <w:pPr>
        <w:pStyle w:val="2"/>
        <w:spacing w:before="120" w:beforeLines="50" w:after="0" w:line="560" w:lineRule="exact"/>
        <w:ind w:left="0" w:leftChars="0" w:right="0" w:rightChars="0" w:firstLine="643" w:firstLineChars="200"/>
        <w:rPr>
          <w:szCs w:val="28"/>
        </w:rPr>
      </w:pPr>
      <w:r>
        <w:rPr>
          <w:b/>
          <w:bCs/>
        </w:rPr>
        <w:t>提升生态文明示范创建水平。</w:t>
      </w:r>
      <w:r>
        <w:rPr>
          <w:szCs w:val="32"/>
        </w:rPr>
        <w:t>科学设置生态文明示范创建指标，</w:t>
      </w:r>
      <w:r>
        <w:rPr>
          <w:szCs w:val="28"/>
        </w:rPr>
        <w:t>加强创建动态管理，建立完善退出机制，形成生态创建的长效机制和品牌效应。</w:t>
      </w:r>
      <w:r>
        <w:t>到2025年，80%以上的市、县（市、区）建成省级以上生态文明示范市县。加大“绿水青山就是金山银山”实践创新基地创建力度，统筹推进湖州、衢州、丽水践行“绿水青山就是金山银山”理念示范区，形成先行先试的示范效应。</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28" w:type="dxa"/>
          <w:left w:w="85" w:type="dxa"/>
          <w:bottom w:w="28" w:type="dxa"/>
          <w:right w:w="85" w:type="dxa"/>
        </w:tblCellMar>
      </w:tblPr>
      <w:tblGrid>
        <w:gridCol w:w="8845"/>
      </w:tblGrid>
      <w:tr>
        <w:tblPrEx>
          <w:tblLayout w:type="fixed"/>
        </w:tblPrEx>
        <w:trPr>
          <w:trHeight w:val="6942"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专栏8  生态文明示范领域重大平台</w:t>
            </w:r>
          </w:p>
          <w:p>
            <w:pPr>
              <w:spacing w:line="335" w:lineRule="exact"/>
              <w:ind w:firstLine="480" w:firstLineChars="200"/>
              <w:rPr>
                <w:sz w:val="24"/>
                <w:shd w:val="clear" w:color="auto" w:fill="FFFFFF"/>
              </w:rPr>
            </w:pPr>
            <w:r>
              <w:rPr>
                <w:rFonts w:eastAsia="楷体_GB2312"/>
                <w:kern w:val="0"/>
                <w:sz w:val="24"/>
              </w:rPr>
              <w:t>1.</w:t>
            </w:r>
            <w:r>
              <w:rPr>
                <w:rFonts w:hint="eastAsia" w:eastAsia="楷体_GB2312"/>
                <w:kern w:val="0"/>
                <w:sz w:val="24"/>
              </w:rPr>
              <w:t xml:space="preserve"> </w:t>
            </w:r>
            <w:r>
              <w:rPr>
                <w:rFonts w:eastAsia="楷体_GB2312"/>
                <w:kern w:val="0"/>
                <w:sz w:val="24"/>
              </w:rPr>
              <w:t>钱江源—百山祖国家公园建设。</w:t>
            </w:r>
            <w:r>
              <w:rPr>
                <w:kern w:val="0"/>
                <w:sz w:val="24"/>
              </w:rPr>
              <w:t>建设范围</w:t>
            </w:r>
            <w:r>
              <w:rPr>
                <w:sz w:val="24"/>
              </w:rPr>
              <w:t>涉及开化、龙泉、庆元、景宁4县市14乡镇53个行政村。按照《钱江源—百山祖国家公园总体规划》，组建国家公园管理机构，完善自然</w:t>
            </w:r>
            <w:r>
              <w:rPr>
                <w:sz w:val="24"/>
                <w:shd w:val="clear" w:color="auto" w:fill="FFFFFF"/>
              </w:rPr>
              <w:t>生态系统保护制度，实施山水林田湖草一体化保护和系统修复，有效解决多头管理的碎片化问题，形成自然生态系统保护的新体制新模式，保障区域生态安全。</w:t>
            </w:r>
          </w:p>
          <w:p>
            <w:pPr>
              <w:spacing w:line="335" w:lineRule="exact"/>
              <w:ind w:firstLine="480" w:firstLineChars="200"/>
              <w:rPr>
                <w:sz w:val="24"/>
                <w:shd w:val="clear" w:color="auto" w:fill="FFFFFF"/>
              </w:rPr>
            </w:pPr>
            <w:r>
              <w:rPr>
                <w:rFonts w:eastAsia="楷体_GB2312"/>
                <w:kern w:val="0"/>
                <w:sz w:val="24"/>
              </w:rPr>
              <w:t>2.</w:t>
            </w:r>
            <w:r>
              <w:rPr>
                <w:rFonts w:hint="eastAsia" w:eastAsia="楷体_GB2312"/>
                <w:kern w:val="0"/>
                <w:sz w:val="24"/>
              </w:rPr>
              <w:t xml:space="preserve"> </w:t>
            </w:r>
            <w:r>
              <w:rPr>
                <w:rFonts w:eastAsia="楷体_GB2312"/>
                <w:kern w:val="0"/>
                <w:sz w:val="24"/>
              </w:rPr>
              <w:t>全国生态环境健康管理创新区建设。</w:t>
            </w:r>
            <w:r>
              <w:rPr>
                <w:sz w:val="24"/>
                <w:shd w:val="clear" w:color="auto" w:fill="FFFFFF"/>
              </w:rPr>
              <w:t>在发布环境空气质量健康指数（AQHI）的基础上，将AQHI、度假气候指数、人体舒适度指数、负氧离子、水质、生态环境状况指数等指标量化，并应用于生态价值转化。以云和县为样板，打造生态环境健康体验地，率先在关键环节和重点难点问题上取得突破，复制经验推广，并努力成为全国环境健康风险管理标准的制定者。</w:t>
            </w:r>
          </w:p>
          <w:p>
            <w:pPr>
              <w:spacing w:line="335" w:lineRule="exact"/>
              <w:ind w:firstLine="480" w:firstLineChars="200"/>
              <w:rPr>
                <w:sz w:val="24"/>
              </w:rPr>
            </w:pPr>
            <w:r>
              <w:rPr>
                <w:rFonts w:eastAsia="楷体_GB2312"/>
                <w:kern w:val="0"/>
                <w:sz w:val="24"/>
              </w:rPr>
              <w:t>3.</w:t>
            </w:r>
            <w:r>
              <w:rPr>
                <w:rFonts w:hint="eastAsia" w:eastAsia="楷体_GB2312"/>
                <w:kern w:val="0"/>
                <w:sz w:val="24"/>
              </w:rPr>
              <w:t xml:space="preserve"> </w:t>
            </w:r>
            <w:r>
              <w:rPr>
                <w:rFonts w:eastAsia="楷体_GB2312"/>
                <w:kern w:val="0"/>
                <w:sz w:val="24"/>
              </w:rPr>
              <w:t>淳安特别生态功能区建设。</w:t>
            </w:r>
            <w:r>
              <w:rPr>
                <w:spacing w:val="-6"/>
                <w:sz w:val="24"/>
              </w:rPr>
              <w:t>按照《淳安特别生态功能区建设框架方案》，以持续提升水质、持续改善景观为目标，以保护生态环境、推动绿色发展、增进民生福祉为重点，以体制创新、制度供给、模式探索为动力，建立健全水生态系统保护新体系，探索实施生态经济高质量发展新路径，推动形成城乡融合民生幸福新模式，加快构建生态环境共建共保新机制，在全国率先形成饮用水源地保护与发展的千岛湖模式，使淳安县域成为生态更优、发展更好、生活更幸福的美丽浙江大花园样本地。</w:t>
            </w:r>
          </w:p>
          <w:p>
            <w:pPr>
              <w:spacing w:line="335" w:lineRule="exact"/>
              <w:ind w:firstLine="480" w:firstLineChars="200"/>
              <w:rPr>
                <w:rFonts w:eastAsia="黑体"/>
                <w:sz w:val="28"/>
                <w:szCs w:val="28"/>
              </w:rPr>
            </w:pPr>
            <w:r>
              <w:rPr>
                <w:rFonts w:eastAsia="楷体_GB2312"/>
                <w:kern w:val="0"/>
                <w:sz w:val="24"/>
              </w:rPr>
              <w:t>4.</w:t>
            </w:r>
            <w:r>
              <w:rPr>
                <w:rFonts w:hint="eastAsia" w:eastAsia="楷体_GB2312"/>
                <w:kern w:val="0"/>
                <w:sz w:val="24"/>
              </w:rPr>
              <w:t xml:space="preserve"> </w:t>
            </w:r>
            <w:r>
              <w:rPr>
                <w:rFonts w:eastAsia="楷体_GB2312"/>
                <w:kern w:val="0"/>
                <w:sz w:val="24"/>
              </w:rPr>
              <w:t>安吉县域践行“绿水青山就是金山银山”理念综合改革创新试验区建设。</w:t>
            </w:r>
            <w:r>
              <w:rPr>
                <w:sz w:val="24"/>
              </w:rPr>
              <w:t>落实《新时代浙江（安吉）县域践行“绿水青山就是金山银山”理念综合改革创新试验区总体方案》，推进构建高标准生态保护机制、高质量绿色发展机制、高水平开放合作机制、一体化城乡融合机制、市场化要素配置机制、现代化县域治理机制。</w:t>
            </w:r>
          </w:p>
        </w:tc>
      </w:tr>
    </w:tbl>
    <w:p>
      <w:pPr>
        <w:pStyle w:val="4"/>
        <w:spacing w:before="0" w:after="0" w:line="590" w:lineRule="exact"/>
        <w:ind w:firstLine="641" w:firstLineChars="200"/>
        <w:jc w:val="left"/>
        <w:outlineLvl w:val="1"/>
        <w:rPr>
          <w:rFonts w:ascii="Times New Roman" w:hAnsi="Times New Roman" w:eastAsia="楷体_GB2312"/>
        </w:rPr>
      </w:pPr>
      <w:bookmarkStart w:id="34" w:name="_Toc65248123"/>
      <w:r>
        <w:rPr>
          <w:rFonts w:ascii="Times New Roman" w:hAnsi="Times New Roman" w:eastAsia="楷体_GB2312"/>
        </w:rPr>
        <w:t>（九）强化风险防控，牢守环境安全底线</w:t>
      </w:r>
      <w:bookmarkEnd w:id="34"/>
    </w:p>
    <w:p>
      <w:pPr>
        <w:spacing w:line="590" w:lineRule="exact"/>
        <w:ind w:firstLine="640" w:firstLineChars="200"/>
        <w:rPr>
          <w:szCs w:val="32"/>
        </w:rPr>
      </w:pPr>
      <w:r>
        <w:rPr>
          <w:szCs w:val="32"/>
        </w:rPr>
        <w:t>坚持主动防控和系统管理，加强生态环境风险源头防控，推进危险废物污染防治、化学物质监管、重金属污染防控、新型污染物防控、核与辐射等重点领域风险防控，构建“事前、事中、事后”全过程、多层级生态环境风险防范和应急体系。</w:t>
      </w:r>
    </w:p>
    <w:p>
      <w:pPr>
        <w:spacing w:line="590" w:lineRule="exact"/>
        <w:ind w:firstLine="630"/>
        <w:rPr>
          <w:rFonts w:hint="eastAsia"/>
          <w:szCs w:val="32"/>
        </w:rPr>
      </w:pPr>
      <w:r>
        <w:rPr>
          <w:b/>
          <w:bCs/>
          <w:szCs w:val="32"/>
        </w:rPr>
        <w:t>加强生态环境风险源头防控。</w:t>
      </w:r>
      <w:r>
        <w:rPr>
          <w:szCs w:val="32"/>
        </w:rPr>
        <w:t>强化环境安全隐患排查治理，完善重大环境风险源企业名录，实现隐患问题录入、督办、销号的全过程管理。强化区域开发和项目建设的环境风险评价，对涉及有毒有害化学品、重金属和新型污染物的项目，实行严格的环境准入把关。推进重点污染企业和危险化学品生产企业搬迁改造。严格禁止污染型产业、企业向中上游地区转移，切实防止环境风险聚集。以石化、化工、冶炼、石油储运等行业为重点，加强对沿海企业的环境监管，高度重视因台风、风暴潮等海洋自然灾害导致的次生环境灾害风险。加强倾倒区使用状况监督管理工作，做好废弃物向海洋倾倒活动的风险管控。</w:t>
      </w:r>
    </w:p>
    <w:p>
      <w:pPr>
        <w:tabs>
          <w:tab w:val="left" w:pos="2870"/>
        </w:tabs>
        <w:spacing w:line="590" w:lineRule="exact"/>
        <w:ind w:firstLine="643" w:firstLineChars="200"/>
        <w:rPr>
          <w:rFonts w:hint="eastAsia"/>
          <w:szCs w:val="32"/>
        </w:rPr>
      </w:pPr>
      <w:r>
        <w:rPr>
          <w:b/>
          <w:bCs/>
          <w:szCs w:val="32"/>
        </w:rPr>
        <w:t>严控重点领域环境风险。</w:t>
      </w:r>
      <w:r>
        <w:rPr>
          <w:kern w:val="0"/>
          <w:szCs w:val="32"/>
        </w:rPr>
        <w:t>完善涉重金属重点行业企业清单，持续推动重点区域重金属污染减排。加强尾矿库环境安全隐患排查治理，</w:t>
      </w:r>
      <w:r>
        <w:rPr>
          <w:szCs w:val="32"/>
        </w:rPr>
        <w:t>建立健全尾矿库污染防治长效机制。做好化学品环境管理，重点防范持久性有机污染物、汞等化学物质生态环境风险，推动企业做好履约相关工作。加强危化品、危险废物运输风险管控及船舶溢油风险防范，</w:t>
      </w:r>
      <w:r>
        <w:t>推进海上环境安全应急网络共建共享，</w:t>
      </w:r>
      <w:r>
        <w:rPr>
          <w:szCs w:val="32"/>
        </w:rPr>
        <w:t>加快危化品船舶及其有关作业活动污染海洋环境应急能力建设，严防交通运输次生突发环境事件风险。加强新污染物环境风险管控，持续开展生态环境与健康管理试点，夯实生态环境与健康管理基础。</w:t>
      </w:r>
    </w:p>
    <w:p>
      <w:pPr>
        <w:tabs>
          <w:tab w:val="left" w:pos="2870"/>
        </w:tabs>
        <w:spacing w:line="590" w:lineRule="exact"/>
        <w:ind w:firstLine="643" w:firstLineChars="200"/>
      </w:pPr>
      <w:r>
        <w:rPr>
          <w:b/>
          <w:bCs/>
          <w:szCs w:val="32"/>
        </w:rPr>
        <w:t>强化核与辐射环境安全监管。</w:t>
      </w:r>
      <w:r>
        <w:rPr>
          <w:szCs w:val="32"/>
        </w:rPr>
        <w:t>彻底解决桐庐县神仙洞环境隐患问题，全面提升771矿辐射安全管理水平。建立全省5G通信、电力等行业监督性监测机制，确保电磁相关设施设备达标合法运行。加强放射源安全监管，实现高风险移动放射源实时监控有效全覆盖。强化放射性物质生产、核医学、探伤以及伴生矿等高风险活动辐射安全监管，强化核电基地、宁波舟山石化建设项目、秦山核电小镇等重点区域辐射环境监管，确保全省辐射事故发生率低于1起/万枚</w:t>
      </w:r>
      <w:r>
        <w:rPr>
          <w:rFonts w:hint="eastAsia"/>
          <w:szCs w:val="32"/>
        </w:rPr>
        <w:t>·</w:t>
      </w:r>
      <w:r>
        <w:rPr>
          <w:szCs w:val="32"/>
        </w:rPr>
        <w:t>年。加强放射性废物和废旧放射源监管，保障城市放射性废物库安全运行，确保废旧放射源收贮率100%。</w:t>
      </w:r>
    </w:p>
    <w:p>
      <w:pPr>
        <w:tabs>
          <w:tab w:val="left" w:pos="2870"/>
        </w:tabs>
        <w:spacing w:line="590" w:lineRule="exact"/>
        <w:ind w:firstLine="643" w:firstLineChars="200"/>
      </w:pPr>
      <w:r>
        <w:rPr>
          <w:b/>
          <w:bCs/>
          <w:szCs w:val="32"/>
        </w:rPr>
        <w:t>健全环境应急管理体系。</w:t>
      </w:r>
      <w:r>
        <w:rPr>
          <w:szCs w:val="32"/>
        </w:rPr>
        <w:t>健全政府、企业和跨区域流域等突发环境事件应急预案体系，加强应急演练。</w:t>
      </w:r>
      <w:r>
        <w:rPr>
          <w:rFonts w:eastAsia="仿宋"/>
          <w:kern w:val="44"/>
          <w:szCs w:val="32"/>
        </w:rPr>
        <w:t>深入推进化工园区有毒有害气体环境预警体系和水污染物多</w:t>
      </w:r>
      <w:bookmarkStart w:id="35" w:name="_Toc55906104"/>
      <w:r>
        <w:rPr>
          <w:rFonts w:eastAsia="仿宋"/>
          <w:kern w:val="44"/>
          <w:szCs w:val="32"/>
        </w:rPr>
        <w:t>级防控体系试点建设，力争重点化工园区</w:t>
      </w:r>
      <w:bookmarkEnd w:id="35"/>
      <w:r>
        <w:rPr>
          <w:rFonts w:eastAsia="仿宋"/>
          <w:kern w:val="44"/>
          <w:szCs w:val="32"/>
        </w:rPr>
        <w:t>覆盖率达到100%。</w:t>
      </w:r>
      <w:r>
        <w:t>健全环境应急管理指挥体系，</w:t>
      </w:r>
      <w:r>
        <w:rPr>
          <w:szCs w:val="32"/>
        </w:rPr>
        <w:t>加强应急、公安、消防、水利、交通运输、城市建设、生态环境等部门间的应急联动，推进跨行政区域、跨流域上下游环境应急联动机制建设，提高信息互通、资源共享和协同处置能力。</w:t>
      </w:r>
      <w:r>
        <w:t>健全环境应急社会化支撑体系，完善应急物资储备体系，加强专业化应急救援队伍建设，提升生态环境风险应急处置能力。持续深化甬舟石化一体化环境应急联动工作。</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57" w:type="dxa"/>
          <w:left w:w="85" w:type="dxa"/>
          <w:bottom w:w="57" w:type="dxa"/>
          <w:right w:w="85"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986"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专栏9  生态环境风险管控重大改革和政策</w:t>
            </w:r>
          </w:p>
          <w:p>
            <w:pPr>
              <w:spacing w:line="380" w:lineRule="exact"/>
              <w:ind w:firstLine="480" w:firstLineChars="200"/>
              <w:rPr>
                <w:kern w:val="0"/>
                <w:sz w:val="24"/>
              </w:rPr>
            </w:pPr>
            <w:r>
              <w:rPr>
                <w:rFonts w:eastAsia="楷体_GB2312"/>
                <w:kern w:val="0"/>
                <w:sz w:val="24"/>
              </w:rPr>
              <w:t>1.</w:t>
            </w:r>
            <w:r>
              <w:rPr>
                <w:rFonts w:hint="eastAsia" w:eastAsia="楷体_GB2312"/>
                <w:kern w:val="0"/>
                <w:sz w:val="24"/>
              </w:rPr>
              <w:t xml:space="preserve"> </w:t>
            </w:r>
            <w:r>
              <w:rPr>
                <w:rFonts w:eastAsia="楷体_GB2312"/>
                <w:kern w:val="0"/>
                <w:sz w:val="24"/>
              </w:rPr>
              <w:t>推进化工园区环境风险防控体系建设。</w:t>
            </w:r>
            <w:r>
              <w:rPr>
                <w:kern w:val="0"/>
                <w:sz w:val="24"/>
              </w:rPr>
              <w:t>推进化工园区有毒有害气体环境预警体系和水污染物多级防控体系试点建设，力争2025年底前重点化工园区全部建成。</w:t>
            </w:r>
          </w:p>
          <w:p>
            <w:pPr>
              <w:spacing w:line="380" w:lineRule="exact"/>
              <w:ind w:firstLine="480" w:firstLineChars="200"/>
              <w:rPr>
                <w:rFonts w:eastAsia="黑体"/>
                <w:sz w:val="28"/>
                <w:szCs w:val="28"/>
              </w:rPr>
            </w:pPr>
            <w:r>
              <w:rPr>
                <w:rFonts w:eastAsia="楷体_GB2312"/>
                <w:kern w:val="0"/>
                <w:sz w:val="24"/>
              </w:rPr>
              <w:t>2.</w:t>
            </w:r>
            <w:r>
              <w:rPr>
                <w:rFonts w:hint="eastAsia" w:eastAsia="楷体_GB2312"/>
                <w:kern w:val="0"/>
                <w:sz w:val="24"/>
              </w:rPr>
              <w:t xml:space="preserve"> </w:t>
            </w:r>
            <w:r>
              <w:rPr>
                <w:rFonts w:eastAsia="楷体_GB2312"/>
                <w:kern w:val="0"/>
                <w:sz w:val="24"/>
              </w:rPr>
              <w:t>完善环境应急管理体系。</w:t>
            </w:r>
            <w:r>
              <w:rPr>
                <w:kern w:val="0"/>
                <w:sz w:val="24"/>
              </w:rPr>
              <w:t>健全突发环境事件应急预案体系，推进跨区域、跨流域环境应急联动机制建设。加强社会化环境应急物资储备中心和专业化环境应急救援队伍建设，在主要跨界河流、入海河流、重点饮用水水源地河流探索开展环境应急工程试点建设工作。</w:t>
            </w:r>
          </w:p>
        </w:tc>
      </w:tr>
    </w:tbl>
    <w:p>
      <w:pPr>
        <w:pStyle w:val="4"/>
        <w:spacing w:before="120" w:beforeLines="50" w:after="0" w:line="590" w:lineRule="exact"/>
        <w:ind w:firstLine="641" w:firstLineChars="200"/>
        <w:jc w:val="left"/>
        <w:outlineLvl w:val="1"/>
        <w:rPr>
          <w:rFonts w:ascii="Times New Roman" w:hAnsi="Times New Roman" w:eastAsia="楷体_GB2312"/>
        </w:rPr>
      </w:pPr>
      <w:bookmarkStart w:id="36" w:name="_Toc65248124"/>
      <w:r>
        <w:rPr>
          <w:rFonts w:ascii="Times New Roman" w:hAnsi="Times New Roman" w:eastAsia="楷体_GB2312"/>
        </w:rPr>
        <w:t>（十）深化改革创新，构建现代治理体系</w:t>
      </w:r>
      <w:bookmarkEnd w:id="36"/>
    </w:p>
    <w:p>
      <w:pPr>
        <w:pStyle w:val="2"/>
        <w:spacing w:after="0" w:line="590" w:lineRule="exact"/>
        <w:ind w:left="0" w:leftChars="0" w:right="0" w:rightChars="0" w:firstLine="640" w:firstLineChars="200"/>
      </w:pPr>
      <w:r>
        <w:t>坚持全面深化改革，推进绿色治理集成改革，落实政府、企业、公众等各类主体责任，完善环境治理法规标准，健全绿色发展激励机制，优化环境治理监管服务机制，积极构建政府有为、企业有责、市场有效、社会有序的大生态保护格局。</w:t>
      </w:r>
    </w:p>
    <w:p>
      <w:pPr>
        <w:pStyle w:val="2"/>
        <w:spacing w:after="0" w:line="590" w:lineRule="exact"/>
        <w:ind w:left="0" w:leftChars="0" w:right="0" w:rightChars="0" w:firstLine="643" w:firstLineChars="200"/>
      </w:pPr>
      <w:r>
        <w:rPr>
          <w:b/>
        </w:rPr>
        <w:t>严格落实环境治理主体责任。</w:t>
      </w:r>
      <w:r>
        <w:t>坚持党政同责、一岗双责，完善绿色导向的领导责任体系和绩效考核机制。完善环境保护、节能减排约束性指标管理。落实省直各有关单位生态环境保护责任清单，深入实施领导干部自然资源资产离任审计、生态环境损害责任终身追究、生态环境状况报告制度、环境质量综合排名制度，建立健全“河湖湾滩林长制”长效机制。加强中央和省两级督察衔接联动，健全生态环境保护督察长效机制。推进环境信息依法披露制度改革，完善企业环保信用评价制度。深化生态环境损害赔偿制度改革，严格落实企业污染治理、损害赔偿和生态修复责任。落实生产者责任延伸制度。全面实行排污许可制，强化企业持证排污和按证排污。健全环境决策公众参与机制，完善监督举报、环境公益诉讼、</w:t>
      </w:r>
      <w:r>
        <w:rPr>
          <w:szCs w:val="32"/>
          <w:shd w:val="clear" w:color="auto" w:fill="FFFFFF"/>
        </w:rPr>
        <w:t>环保设施公众开放等机制，鼓励和引导环保社会组织和公众参与环境污染监督治理。</w:t>
      </w:r>
    </w:p>
    <w:p>
      <w:pPr>
        <w:pStyle w:val="2"/>
        <w:spacing w:after="0" w:line="590" w:lineRule="exact"/>
        <w:ind w:left="0" w:leftChars="0" w:right="0" w:rightChars="0" w:firstLine="643" w:firstLineChars="200"/>
      </w:pPr>
      <w:r>
        <w:rPr>
          <w:b/>
        </w:rPr>
        <w:t>完善环境治理法规标准。</w:t>
      </w:r>
      <w:r>
        <w:t>完善法规规章，出台《中华人民共和国环境保护法》实施办法，研究制修订固体废物污染防治、土壤污染防治、海洋环境保护、核与辐射环境管理、生态环境监测等地方性法规规章。及时清理与上位法不一致、不符合改革要求的地方性法规规章。强化标准引领，制修订化学纤维、制药、水泥、汽车维修、纺织染整、工业涂装、锅炉等行业污染物排放地方标准，以及水生态修复、挥发性有机物治理、土壤污染风险评估等领域技术规范。</w:t>
      </w:r>
    </w:p>
    <w:p>
      <w:pPr>
        <w:pStyle w:val="2"/>
        <w:spacing w:after="0" w:line="590" w:lineRule="exact"/>
        <w:ind w:left="0" w:leftChars="0" w:right="0" w:rightChars="0" w:firstLine="643" w:firstLineChars="200"/>
      </w:pPr>
      <w:r>
        <w:rPr>
          <w:b/>
        </w:rPr>
        <w:t>健全绿色发展激励机制。</w:t>
      </w:r>
      <w:r>
        <w:t>持续优化绿色发展财政奖补机制，建立稳定的环境治理财政资金投入机制。探索完善生态系统生产总值（GEP）核算应用体系，加快核算成果多元应用。深化丽水生态产品价值实现机制国家试点、安吉践行“绿水青山就是金山银山”理念综合改革试点、淳安特别生态功能区等建设。建立健全市场化、多元化生态补偿机制，探索建立新安江—千岛湖生态补偿试验区，深化省内流域上下游横向生态补偿机制，建立完善森林、湿地生态补偿机制以及耕地保护补偿机制，探索实施固体废物处置生态补偿机制。深化绿色信贷、绿色保险、绿色债券等金融产品和服务创新，加快推进绿色金融标准建设，探索建立生态信用行为与金融信贷相挂钩的激励机制。推广生态环境第三方治理，规范环境治理市场秩序。深化生态环境价格改革，健全第三方污染治理收费机制，推进排污权有偿使用和交易。强化绿色税制改革，依法征收涉VOCs物质和扬尘环境税。实施环保服务</w:t>
      </w:r>
      <w:r>
        <w:rPr>
          <w:spacing w:val="-6"/>
        </w:rPr>
        <w:t>高质量发展工程，深入开展环保服务企业行动，完善治污正向激励机制，引导资源环境要素向优质企业、优势产业和优势区域集中。</w:t>
      </w:r>
    </w:p>
    <w:p>
      <w:pPr>
        <w:pStyle w:val="2"/>
        <w:spacing w:afterLines="50" w:line="590" w:lineRule="exact"/>
        <w:ind w:left="0" w:leftChars="0" w:right="0" w:rightChars="0" w:firstLine="643" w:firstLineChars="200"/>
        <w:rPr>
          <w:szCs w:val="32"/>
        </w:rPr>
      </w:pPr>
      <w:r>
        <w:rPr>
          <w:b/>
        </w:rPr>
        <w:t>健全环境治理监管服务机制。</w:t>
      </w:r>
      <w:r>
        <w:t>持续深化“放管服”改革，深入推进环境治理领域“最多跑一次”改革，逐步扩大“区域环评+环境标准”改革覆盖面。整合衔接环评审批、污染源监控、执法监管等环境管理制度，建立健全以排污许可制为核心的固定污染源监管制度体系。完善污染物排放总量控制制度，建立非固定源减排管理体系，实施基于环境质量改善的区域流域排污总量控制。扎实推进生态环境保护综合行政执法，健全乡镇（街道）生态环境网格化监管体系。加强跨区域、跨流域环境监管，建立健全区域协作机制。完善环境污染问题发现、风险预警和应急处置机制，健全生态环境突出问题全过程闭环管理长效机制。</w:t>
      </w:r>
      <w:r>
        <w:rPr>
          <w:szCs w:val="32"/>
        </w:rPr>
        <w:t>强化重点园区、重点企业环境监管，构建以环境信用评级为基础的分级分类差别化“双随机”监管模式。</w:t>
      </w:r>
      <w:r>
        <w:t>探索建立重点区域走航监测常态化机制。</w:t>
      </w:r>
      <w:r>
        <w:rPr>
          <w:szCs w:val="32"/>
        </w:rPr>
        <w:t>完善生态环境保护行政执法与刑事司法衔接机制、生态环境损害赔偿制度与生态环境公益诉讼衔接机制，健全生态环境案件集中管辖机制。</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28" w:type="dxa"/>
          <w:left w:w="85" w:type="dxa"/>
          <w:bottom w:w="28" w:type="dxa"/>
          <w:right w:w="85"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专栏10  现代环境治理体系重大改革和政策</w:t>
            </w:r>
          </w:p>
          <w:p>
            <w:pPr>
              <w:spacing w:line="360" w:lineRule="exact"/>
              <w:ind w:firstLine="480" w:firstLineChars="200"/>
              <w:rPr>
                <w:sz w:val="24"/>
              </w:rPr>
            </w:pPr>
            <w:r>
              <w:rPr>
                <w:rFonts w:eastAsia="楷体_GB2312"/>
                <w:kern w:val="0"/>
                <w:sz w:val="24"/>
              </w:rPr>
              <w:t>1.</w:t>
            </w:r>
            <w:r>
              <w:rPr>
                <w:rFonts w:hint="eastAsia" w:eastAsia="楷体_GB2312"/>
                <w:kern w:val="0"/>
                <w:sz w:val="24"/>
              </w:rPr>
              <w:t xml:space="preserve"> </w:t>
            </w:r>
            <w:r>
              <w:rPr>
                <w:rFonts w:eastAsia="楷体_GB2312"/>
                <w:kern w:val="0"/>
                <w:sz w:val="24"/>
              </w:rPr>
              <w:t>深化绿水青山就是金山银山转化改革。</w:t>
            </w:r>
            <w:r>
              <w:rPr>
                <w:sz w:val="24"/>
              </w:rPr>
              <w:t>完善生态产品价值实现机制，建立健全“绿水青山就是金山银山”的价值体系、转化体系。</w:t>
            </w:r>
          </w:p>
          <w:p>
            <w:pPr>
              <w:spacing w:line="360" w:lineRule="exact"/>
              <w:ind w:firstLine="480" w:firstLineChars="200"/>
              <w:rPr>
                <w:sz w:val="24"/>
              </w:rPr>
            </w:pPr>
            <w:r>
              <w:rPr>
                <w:rFonts w:eastAsia="楷体_GB2312"/>
                <w:kern w:val="0"/>
                <w:sz w:val="24"/>
              </w:rPr>
              <w:t>2.</w:t>
            </w:r>
            <w:r>
              <w:rPr>
                <w:rFonts w:hint="eastAsia" w:eastAsia="楷体_GB2312"/>
                <w:kern w:val="0"/>
                <w:sz w:val="24"/>
              </w:rPr>
              <w:t xml:space="preserve"> </w:t>
            </w:r>
            <w:r>
              <w:rPr>
                <w:rFonts w:eastAsia="楷体_GB2312"/>
                <w:kern w:val="0"/>
                <w:sz w:val="24"/>
              </w:rPr>
              <w:t>健全生态补偿制度。</w:t>
            </w:r>
            <w:r>
              <w:rPr>
                <w:sz w:val="24"/>
              </w:rPr>
              <w:t>完善绿色发展财政奖补机制，探索建立区域合作、区域互助、区际生态补偿等机制。完善省内流域上下游横向生态补偿机制。探索实施固体废物处置补偿机制。</w:t>
            </w:r>
          </w:p>
          <w:p>
            <w:pPr>
              <w:spacing w:line="360" w:lineRule="exact"/>
              <w:ind w:firstLine="480" w:firstLineChars="200"/>
              <w:rPr>
                <w:sz w:val="24"/>
              </w:rPr>
            </w:pPr>
            <w:r>
              <w:rPr>
                <w:rFonts w:eastAsia="楷体_GB2312"/>
                <w:kern w:val="0"/>
                <w:sz w:val="24"/>
              </w:rPr>
              <w:t>3.</w:t>
            </w:r>
            <w:r>
              <w:rPr>
                <w:rFonts w:hint="eastAsia" w:eastAsia="楷体_GB2312"/>
                <w:kern w:val="0"/>
                <w:sz w:val="24"/>
              </w:rPr>
              <w:t xml:space="preserve"> </w:t>
            </w:r>
            <w:r>
              <w:rPr>
                <w:rFonts w:eastAsia="楷体_GB2312"/>
                <w:kern w:val="0"/>
                <w:sz w:val="24"/>
              </w:rPr>
              <w:t>完善固定污染源监管制度。</w:t>
            </w:r>
            <w:r>
              <w:rPr>
                <w:kern w:val="0"/>
                <w:sz w:val="24"/>
              </w:rPr>
              <w:t>加快推进环评与排污许可融合衔接，推动总量控制、生态环境统计、监测、执法等生态环境管理制度衔接，</w:t>
            </w:r>
            <w:r>
              <w:rPr>
                <w:sz w:val="24"/>
              </w:rPr>
              <w:t>建立健全以排污许可制为核心的固定污染源监管制度体系。</w:t>
            </w:r>
          </w:p>
          <w:p>
            <w:pPr>
              <w:spacing w:line="360" w:lineRule="exact"/>
              <w:ind w:firstLine="480" w:firstLineChars="200"/>
              <w:rPr>
                <w:sz w:val="24"/>
              </w:rPr>
            </w:pPr>
            <w:r>
              <w:rPr>
                <w:rFonts w:eastAsia="楷体_GB2312"/>
                <w:kern w:val="0"/>
                <w:sz w:val="24"/>
              </w:rPr>
              <w:t>4.</w:t>
            </w:r>
            <w:r>
              <w:rPr>
                <w:rFonts w:hint="eastAsia" w:eastAsia="楷体_GB2312"/>
                <w:kern w:val="0"/>
                <w:sz w:val="24"/>
              </w:rPr>
              <w:t xml:space="preserve"> </w:t>
            </w:r>
            <w:r>
              <w:rPr>
                <w:rFonts w:eastAsia="楷体_GB2312"/>
                <w:kern w:val="0"/>
                <w:sz w:val="24"/>
              </w:rPr>
              <w:t>深化生态环境保护综合行政执法改革。</w:t>
            </w:r>
            <w:r>
              <w:rPr>
                <w:sz w:val="24"/>
              </w:rPr>
              <w:t>加快补齐海洋环境、应对气候变化、农业农村、生态监管等领域执法能力短板，</w:t>
            </w:r>
            <w:r>
              <w:rPr>
                <w:kern w:val="0"/>
                <w:sz w:val="24"/>
              </w:rPr>
              <w:t>推进标准化、规范化执法，构建以环境信用评价为基础的分级分类差别化“双随机”监管执法模式。</w:t>
            </w:r>
          </w:p>
          <w:p>
            <w:pPr>
              <w:spacing w:line="360" w:lineRule="exact"/>
              <w:ind w:firstLine="480" w:firstLineChars="200"/>
              <w:rPr>
                <w:rFonts w:eastAsia="黑体"/>
                <w:sz w:val="28"/>
                <w:szCs w:val="28"/>
              </w:rPr>
            </w:pPr>
            <w:r>
              <w:rPr>
                <w:rFonts w:eastAsia="楷体_GB2312"/>
                <w:kern w:val="0"/>
                <w:sz w:val="24"/>
              </w:rPr>
              <w:t>5.</w:t>
            </w:r>
            <w:r>
              <w:rPr>
                <w:rFonts w:hint="eastAsia" w:eastAsia="楷体_GB2312"/>
                <w:kern w:val="0"/>
                <w:sz w:val="24"/>
              </w:rPr>
              <w:t xml:space="preserve"> </w:t>
            </w:r>
            <w:r>
              <w:rPr>
                <w:rFonts w:eastAsia="楷体_GB2312"/>
                <w:kern w:val="0"/>
                <w:sz w:val="24"/>
              </w:rPr>
              <w:t>建立健全环境污染问题发现机制。</w:t>
            </w:r>
            <w:r>
              <w:rPr>
                <w:sz w:val="24"/>
              </w:rPr>
              <w:t>创新生态环境监管执法模式，构建人防、物防、技防相结合的环境污染问题发现机制，提升社会化、智能化、专业化环境污染问题发现能力，精准有效打击各类污染严重、性质恶劣、影响重大的环境违法行为。</w:t>
            </w:r>
          </w:p>
        </w:tc>
      </w:tr>
    </w:tbl>
    <w:p>
      <w:pPr>
        <w:pStyle w:val="4"/>
        <w:spacing w:before="120" w:beforeLines="50" w:after="0" w:line="590" w:lineRule="exact"/>
        <w:ind w:firstLine="641" w:firstLineChars="200"/>
        <w:jc w:val="left"/>
        <w:outlineLvl w:val="1"/>
        <w:rPr>
          <w:rFonts w:ascii="Times New Roman" w:hAnsi="Times New Roman" w:eastAsia="楷体_GB2312"/>
        </w:rPr>
      </w:pPr>
      <w:bookmarkStart w:id="37" w:name="_Toc65248125"/>
      <w:r>
        <w:rPr>
          <w:rFonts w:ascii="Times New Roman" w:hAnsi="Times New Roman" w:eastAsia="楷体_GB2312"/>
        </w:rPr>
        <w:t>（十一）推动数字赋能，提升整体智治水平</w:t>
      </w:r>
      <w:bookmarkEnd w:id="37"/>
    </w:p>
    <w:p>
      <w:pPr>
        <w:pStyle w:val="2"/>
        <w:spacing w:after="0" w:line="590" w:lineRule="exact"/>
        <w:ind w:left="0" w:leftChars="0" w:right="0" w:rightChars="0" w:firstLine="640" w:firstLineChars="200"/>
      </w:pPr>
      <w:r>
        <w:t>坚持“整体智治、唯实惟先”理念，以数字化改革为牵引，加强生态环境执法和监测能力建设，加快新一代数字技术集成应用，全面提升科技创新能力，系统提升生态环境治理能力。</w:t>
      </w:r>
    </w:p>
    <w:p>
      <w:pPr>
        <w:pStyle w:val="2"/>
        <w:spacing w:after="0" w:line="590" w:lineRule="exact"/>
        <w:ind w:left="0" w:leftChars="0" w:right="0" w:rightChars="0" w:firstLine="640"/>
        <w:rPr>
          <w:szCs w:val="32"/>
        </w:rPr>
      </w:pPr>
      <w:r>
        <w:rPr>
          <w:b/>
        </w:rPr>
        <w:t>推进生态环境数字化改革。</w:t>
      </w:r>
      <w:r>
        <w:t>加快</w:t>
      </w:r>
      <w:r>
        <w:rPr>
          <w:szCs w:val="32"/>
        </w:rPr>
        <w:t>推进数字化集成应用和核心业务流程再造，依托生态环境保护综合协同管理平台，进一步集成生态环境领域各类数字化应用系统，加快</w:t>
      </w:r>
      <w:r>
        <w:rPr>
          <w:snapToGrid w:val="0"/>
          <w:kern w:val="0"/>
          <w:szCs w:val="32"/>
        </w:rPr>
        <w:t>建设空气质量巩固提升、深化碧水行动、“无废城市”建设、河湖库保护等</w:t>
      </w:r>
      <w:r>
        <w:rPr>
          <w:rFonts w:hint="eastAsia"/>
          <w:snapToGrid w:val="0"/>
          <w:kern w:val="0"/>
          <w:szCs w:val="32"/>
        </w:rPr>
        <w:t>场景</w:t>
      </w:r>
      <w:r>
        <w:rPr>
          <w:snapToGrid w:val="0"/>
          <w:kern w:val="0"/>
          <w:szCs w:val="32"/>
        </w:rPr>
        <w:t>模块</w:t>
      </w:r>
      <w:r>
        <w:rPr>
          <w:rFonts w:hint="eastAsia"/>
          <w:snapToGrid w:val="0"/>
          <w:kern w:val="0"/>
          <w:szCs w:val="32"/>
        </w:rPr>
        <w:t>，</w:t>
      </w:r>
      <w:r>
        <w:rPr>
          <w:snapToGrid w:val="0"/>
          <w:kern w:val="0"/>
          <w:szCs w:val="32"/>
        </w:rPr>
        <w:t>以及企业危险废物处置等应用场景。</w:t>
      </w:r>
      <w:r>
        <w:rPr>
          <w:szCs w:val="32"/>
        </w:rPr>
        <w:t>全面推动数字化技术与生态环境保护业务的深度融合，综合运用环境质量、污染源管理等大数据分析，构建地上地下、陆海统筹生态环境质量监测、预警监控体系，提升生态环境全要素态势智慧感知能力。进一步推进数据资源跨部门、跨层级、跨地区数据共享、业务协同，实现基础设施、数据资源和公共应用支撑体系互融互通。</w:t>
      </w:r>
    </w:p>
    <w:p>
      <w:pPr>
        <w:pStyle w:val="2"/>
        <w:spacing w:after="0" w:line="590" w:lineRule="exact"/>
        <w:ind w:left="0" w:leftChars="0" w:right="0" w:rightChars="0" w:firstLine="640"/>
      </w:pPr>
      <w:r>
        <w:rPr>
          <w:b/>
        </w:rPr>
        <w:t>推进生态环境执法能力建设。</w:t>
      </w:r>
      <w:r>
        <w:t>推进生态环境执法规范化标准化建设，出台生态环境执法装备现代化标准，完成全省各级生态环境保护综合行政执法队伍服装、车辆、设备、办公场所等配置。加快配置无人机、无人船、远红外、走航车、便携式VOCs检测仪等高科技装备，建立全省生态环境执法装备调度制度，实现全省非现场执法全覆盖。加强省级执法指挥系统建设，探索建设省级办案执法队伍。深化执法稽查，继续开展执法大练兵，提升执法规范化水平。建立执法分析研判机制、环境管理异常数据溯源排查及联动执法机制。</w:t>
      </w:r>
    </w:p>
    <w:p>
      <w:pPr>
        <w:pStyle w:val="2"/>
        <w:spacing w:after="0" w:line="590" w:lineRule="exact"/>
        <w:ind w:left="0" w:leftChars="0" w:right="0" w:rightChars="0" w:firstLine="630"/>
      </w:pPr>
      <w:r>
        <w:rPr>
          <w:b/>
        </w:rPr>
        <w:t>强化生态环境监测能力建设。</w:t>
      </w:r>
      <w:r>
        <w:t>升级完善大气复合污染立体监测网络，加快省级以上开发区和乡镇（街道）环境空气自动监测站建设，加强O</w:t>
      </w:r>
      <w:r>
        <w:rPr>
          <w:vertAlign w:val="subscript"/>
        </w:rPr>
        <w:t>3</w:t>
      </w:r>
      <w:r>
        <w:t>和PM</w:t>
      </w:r>
      <w:r>
        <w:rPr>
          <w:vertAlign w:val="subscript"/>
        </w:rPr>
        <w:t>2.5</w:t>
      </w:r>
      <w:r>
        <w:t>协同控制监测，推进大气环境走航监测系统建设，完善大气环境监测预警系统，提升颗粒化学组分、光化学污染、区域大气污染传输和大气遥感监测监控能力。建立陆海统筹的水环境监测网，构建以自动监测为主、手工监测为辅的“9+X”地表水水质监测与评价体系，推进重点水域、交接断面自动监测系统建设，建设地表水水质预报预警平台，推进海洋环境实时在线监测系统建设，到2025年，县控以上地表水环境质量自动监测覆盖率达到100%。统筹优化土壤环境监测网络，建立健全地下水环境监测体系，探索开展农业面源污染综合监测试点。加强生物生态监测能力建设，加强卫星遥感、水质指纹、非靶向分析和环境DNA等技术应用，完善全省藻类预警应急监测网络，建立完善全省水生态质量监测网络和评价体系，开展生态毒理监测。</w:t>
      </w:r>
      <w:r>
        <w:rPr>
          <w:kern w:val="0"/>
          <w:szCs w:val="32"/>
        </w:rPr>
        <w:t>构建重点区域、重点行业温室气体监测体系，提升二氧化碳、甲烷等主要温室气体监测、排放源温室气体排放量核算、燃料元素分析等能力。</w:t>
      </w:r>
      <w:r>
        <w:t>逐步建立统筹固定源、移动源、面源的污染源监测体系，推动VOCs、总磷、总氮等重点排污单位安装在线监控设施。推进自动监测站电子围栏体系建设。增加降水全指标自动监测系统建设。按照“做强省级、做大市级、做实县级”的要求，提升各级监测站基础能力，支持软硬件处于领先的市级站差别化发展专长业务，推进形成3个以上区域性监测中心。完善应急监测网络，加快形成能够同时应对两起突发环境事件的应急监测能力。建设新建核设施外围辐射环境监督性监测系统，持续提升省市两级辐射环境监测机构队伍能力，推动省部共建康桥辐射监测实验基地。</w:t>
      </w:r>
    </w:p>
    <w:p>
      <w:pPr>
        <w:pStyle w:val="2"/>
        <w:spacing w:afterLines="50" w:line="590" w:lineRule="exact"/>
        <w:ind w:left="0" w:leftChars="0" w:right="0" w:rightChars="0" w:firstLine="643" w:firstLineChars="200"/>
      </w:pPr>
      <w:r>
        <w:rPr>
          <w:b/>
        </w:rPr>
        <w:t>加强生态环境科技创新。</w:t>
      </w:r>
      <w:r>
        <w:t>围绕生态保护修复重点领域和环境污染治理重要问题，加快生态环境核心技术和创新管理研究，重点开展传统产业绿色化转型、水生态环境治理与修复、近岸海域污染防治、大气污染协同控制、土壤污染风险管控、固体废物处置与资源化、生态环境智慧化监测监控等关键技术和设备研发，开展生态环境政策及标准体系研究，每年实施一批生态环境关键核心技术攻关。推进重点实验室等创新载体建设，积极搭建生态环境科技成果转化综合服务平台，促进生态环境科技成果转化推广。培育和壮大环保产业发展，健全生态环境技术服务体系，加大对企业绿色技术创新支持力度。完善人才培养机制，建立人才库，激</w:t>
      </w:r>
      <w:bookmarkStart w:id="38" w:name="_Toc55906105"/>
      <w:r>
        <w:t>发科研单位和科研人员创新活力</w:t>
      </w:r>
      <w:bookmarkEnd w:id="38"/>
      <w:r>
        <w:t>，夯实科技创新基础。</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28" w:type="dxa"/>
          <w:left w:w="85" w:type="dxa"/>
          <w:bottom w:w="28" w:type="dxa"/>
          <w:right w:w="85"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专栏11  能力建设领域重大工程</w:t>
            </w:r>
          </w:p>
          <w:p>
            <w:pPr>
              <w:spacing w:line="360" w:lineRule="exact"/>
              <w:ind w:firstLine="480" w:firstLineChars="200"/>
              <w:rPr>
                <w:kern w:val="0"/>
                <w:sz w:val="24"/>
              </w:rPr>
            </w:pPr>
            <w:r>
              <w:rPr>
                <w:rFonts w:eastAsia="楷体_GB2312"/>
                <w:kern w:val="0"/>
                <w:sz w:val="24"/>
              </w:rPr>
              <w:t>1.</w:t>
            </w:r>
            <w:r>
              <w:rPr>
                <w:rFonts w:hint="eastAsia" w:eastAsia="楷体_GB2312"/>
                <w:kern w:val="0"/>
                <w:sz w:val="24"/>
              </w:rPr>
              <w:t xml:space="preserve"> </w:t>
            </w:r>
            <w:r>
              <w:rPr>
                <w:rFonts w:eastAsia="楷体_GB2312"/>
                <w:kern w:val="0"/>
                <w:sz w:val="24"/>
              </w:rPr>
              <w:t>生态环境监测执法能力提升。</w:t>
            </w:r>
            <w:r>
              <w:rPr>
                <w:kern w:val="0"/>
                <w:sz w:val="24"/>
              </w:rPr>
              <w:t>推进生态环境保护综合行政执法标准化建设。优化水、气、土、海洋及生态监测等站点布设，实现地表水县控以上断面自动监测全覆盖、重点污染源自动监测全覆盖、省级以上开发区环境空气自动监测站全覆盖。加快乡镇（街道）环境空气自动监测站建设。</w:t>
            </w:r>
          </w:p>
          <w:p>
            <w:pPr>
              <w:spacing w:line="360" w:lineRule="exact"/>
              <w:ind w:firstLine="480" w:firstLineChars="200"/>
              <w:rPr>
                <w:kern w:val="0"/>
                <w:sz w:val="24"/>
              </w:rPr>
            </w:pPr>
            <w:r>
              <w:rPr>
                <w:rFonts w:eastAsia="楷体_GB2312"/>
                <w:kern w:val="0"/>
                <w:sz w:val="24"/>
              </w:rPr>
              <w:t>2.</w:t>
            </w:r>
            <w:r>
              <w:rPr>
                <w:rFonts w:hint="eastAsia" w:eastAsia="楷体_GB2312"/>
                <w:kern w:val="0"/>
                <w:sz w:val="24"/>
              </w:rPr>
              <w:t xml:space="preserve"> </w:t>
            </w:r>
            <w:r>
              <w:rPr>
                <w:rFonts w:eastAsia="楷体_GB2312"/>
                <w:kern w:val="0"/>
                <w:sz w:val="24"/>
              </w:rPr>
              <w:t>数字化管理平台建设。</w:t>
            </w:r>
            <w:r>
              <w:rPr>
                <w:kern w:val="0"/>
                <w:sz w:val="24"/>
              </w:rPr>
              <w:t>迭代升级生态环境保护综合协同管理平台，推进应对气候变化、固体废物管理、应急管理等业务领域平台建设。</w:t>
            </w:r>
          </w:p>
          <w:p>
            <w:pPr>
              <w:spacing w:line="360" w:lineRule="exact"/>
              <w:ind w:firstLine="480" w:firstLineChars="200"/>
              <w:rPr>
                <w:rFonts w:eastAsia="黑体"/>
                <w:sz w:val="28"/>
                <w:szCs w:val="28"/>
              </w:rPr>
            </w:pPr>
            <w:r>
              <w:rPr>
                <w:rFonts w:eastAsia="楷体_GB2312"/>
                <w:kern w:val="0"/>
                <w:sz w:val="24"/>
              </w:rPr>
              <w:t>3.</w:t>
            </w:r>
            <w:r>
              <w:rPr>
                <w:rFonts w:hint="eastAsia" w:eastAsia="楷体_GB2312"/>
                <w:kern w:val="0"/>
                <w:sz w:val="24"/>
              </w:rPr>
              <w:t xml:space="preserve"> </w:t>
            </w:r>
            <w:r>
              <w:rPr>
                <w:rFonts w:eastAsia="楷体_GB2312"/>
                <w:kern w:val="0"/>
                <w:sz w:val="24"/>
              </w:rPr>
              <w:t>生态环境科技创新能力提升。</w:t>
            </w:r>
            <w:r>
              <w:rPr>
                <w:kern w:val="0"/>
                <w:sz w:val="24"/>
              </w:rPr>
              <w:t>围绕流域、区域突出的生态环境问题及环境治理体系和治理能力短板，开展生态环境关键核心技术攻关和地方环境标准制修订研究。优化提升现有国家和省级重点实验室（工程技术中心）等技术研发平台，全面参与长三角地区生态环境联合研究中心建设，提升浙江分中心研究能力。</w:t>
            </w:r>
          </w:p>
        </w:tc>
      </w:tr>
    </w:tbl>
    <w:p>
      <w:pPr>
        <w:pStyle w:val="4"/>
        <w:spacing w:before="120" w:beforeLines="50" w:after="0" w:line="590" w:lineRule="exact"/>
        <w:ind w:firstLine="641" w:firstLineChars="200"/>
        <w:jc w:val="left"/>
        <w:outlineLvl w:val="1"/>
        <w:rPr>
          <w:rFonts w:ascii="Times New Roman" w:hAnsi="Times New Roman" w:eastAsia="楷体_GB2312"/>
        </w:rPr>
      </w:pPr>
      <w:bookmarkStart w:id="39" w:name="_Toc65248126"/>
      <w:r>
        <w:rPr>
          <w:rFonts w:ascii="Times New Roman" w:hAnsi="Times New Roman" w:eastAsia="楷体_GB2312"/>
        </w:rPr>
        <w:t>（十二）促进开放协作，推动区域共保联治</w:t>
      </w:r>
      <w:bookmarkEnd w:id="39"/>
    </w:p>
    <w:p>
      <w:pPr>
        <w:pStyle w:val="2"/>
        <w:spacing w:after="0" w:line="590" w:lineRule="exact"/>
        <w:ind w:left="0" w:leftChars="0" w:right="0" w:rightChars="0" w:firstLine="640"/>
      </w:pPr>
      <w:r>
        <w:t>坚持共建共享和共保联治，落实“一带一路”、长江经济带、长三角一体化发展战略，</w:t>
      </w:r>
      <w:r>
        <w:rPr>
          <w:szCs w:val="32"/>
        </w:rPr>
        <w:t>聚焦区域性、跨界性重点难点生态环境问题，</w:t>
      </w:r>
      <w:r>
        <w:t>健全区域生态环境保护协作机制</w:t>
      </w:r>
      <w:r>
        <w:rPr>
          <w:szCs w:val="32"/>
        </w:rPr>
        <w:t>，积极推动区域与国际交流合作，探索建立区域生态环境共保联治新路径。</w:t>
      </w:r>
    </w:p>
    <w:p>
      <w:pPr>
        <w:pStyle w:val="2"/>
        <w:spacing w:after="0" w:line="590" w:lineRule="exact"/>
        <w:ind w:left="0" w:leftChars="0" w:right="0" w:rightChars="0" w:firstLine="630" w:firstLineChars="196"/>
      </w:pPr>
      <w:r>
        <w:rPr>
          <w:b/>
          <w:bCs/>
        </w:rPr>
        <w:t>共保区域重要生态系统。</w:t>
      </w:r>
      <w:r>
        <w:t>以自然保护地等生态空间为重点，合力保护跨省重要生态系统，整体提升生态系统功能。协同推进天然林保护，共筑皖南—浙西—浙南山区绿色生态屏障。合力保护天目山—怀玉山水源涵养与生物多样性保护功能区。合力共建浙皖闽赣国家生态旅游协作区、杭黄世界级自然生态和文化旅游廊道、环太湖生态文化旅游圈、大运河国家文化公园等。共同推进太湖流域生态环境保护修复，探索跨界区域湖区治理新模式。协同推进沿江沿河沿海生态修复，建设以大运河、杭州湾沿江沿海岸线为重点的重要生态保护带。</w:t>
      </w:r>
    </w:p>
    <w:p>
      <w:pPr>
        <w:pStyle w:val="2"/>
        <w:spacing w:after="0" w:line="590" w:lineRule="exact"/>
        <w:ind w:left="0" w:leftChars="0" w:right="0" w:rightChars="0" w:firstLine="640"/>
      </w:pPr>
      <w:r>
        <w:rPr>
          <w:b/>
          <w:bCs/>
        </w:rPr>
        <w:t>共治跨界环境污染。</w:t>
      </w:r>
      <w:r>
        <w:t>以环杭州湾地区为重点，推进区域大气污染联防联控，加强重污染天气应急联动，统一区域重污染天气应急启动标准，降低污染预警启动门槛。推动跨界水生态环境治理，协同推进新安江—千岛湖、大运河、太湖、太浦河等重点跨界水体治理，共同推进长江口、杭州湾等河口海湾整治。加强固废危废污染联防联治，推动固体废物区域转移合作，完善危险废物产生申报、安全储存、转移处置的一体化标准和管理制度。协同推进区域噪声污染治理。</w:t>
      </w:r>
    </w:p>
    <w:p>
      <w:pPr>
        <w:pStyle w:val="2"/>
        <w:spacing w:after="0" w:line="590" w:lineRule="exact"/>
        <w:ind w:left="0" w:leftChars="0" w:right="0" w:rightChars="0" w:firstLine="640"/>
        <w:rPr>
          <w:b/>
          <w:bCs/>
        </w:rPr>
      </w:pPr>
      <w:r>
        <w:rPr>
          <w:b/>
          <w:bCs/>
        </w:rPr>
        <w:t>共建区域生态环境协作机制。</w:t>
      </w:r>
      <w:r>
        <w:t>以长江经济带、长三角一体化、大运河文化带等国家战略区域为重点，加强协同治理、一体保护、同保共享和引领示范。加快长三角生态绿色一体化发展示范区建设，协同推进生态环境标准、监测和执法“三统一”，并在长三角区域逐步推广。推动生态环境保护领域严重失信行为的联合惩戒。探索建立跨行政区生态环境基础设施建设和运营管理的协调机制。推进生态环境数据共享和联合监测，加强区域应急联动，防范生态环境风险。推动完善区域生态补偿制度体系，探索建立资金、技术、人才、产业等相结合的补偿模式，健全市场化、多元化生态补偿长效机制。</w:t>
      </w:r>
    </w:p>
    <w:p>
      <w:pPr>
        <w:pStyle w:val="2"/>
        <w:spacing w:afterLines="50" w:line="590" w:lineRule="exact"/>
        <w:ind w:left="0" w:leftChars="0" w:right="0" w:rightChars="0" w:firstLine="630" w:firstLineChars="196"/>
        <w:rPr>
          <w:rFonts w:hint="eastAsia"/>
        </w:rPr>
      </w:pPr>
      <w:r>
        <w:rPr>
          <w:b/>
          <w:bCs/>
        </w:rPr>
        <w:t>共推生态环境保护合作交流。</w:t>
      </w:r>
      <w:r>
        <w:t>落实省政府与联合国环境署战略合作备忘录，更好地向世界展示习</w:t>
      </w:r>
      <w:bookmarkStart w:id="40" w:name="_Toc55906106"/>
      <w:r>
        <w:t>近平生态文明</w:t>
      </w:r>
      <w:bookmarkEnd w:id="40"/>
      <w:r>
        <w:t>思想。加强国内外低碳发展合作，扎实推进应对气候变化等领域的交流合作。</w:t>
      </w:r>
      <w:r>
        <w:rPr>
          <w:kern w:val="0"/>
          <w:szCs w:val="32"/>
        </w:rPr>
        <w:t>依托“一带一路”绿色发展国际联盟等平台，加强生态产品价值实现、绿色产业发展、绿色金融与投资、绿色技术创新等方面交流合作。</w:t>
      </w:r>
      <w:r>
        <w:t>积极推进绍兴诸暨、杭州青山湖省级环保产业示范园区建设，引导环保企业与“一带一路”沿线国家合作与交流。</w:t>
      </w:r>
      <w:bookmarkStart w:id="41" w:name="_Toc446062076"/>
      <w:bookmarkStart w:id="42" w:name="_Toc55906107"/>
      <w:bookmarkStart w:id="43" w:name="_Toc429578347"/>
      <w:r>
        <w:t>以长三角一体化发展为契机，深</w:t>
      </w:r>
      <w:bookmarkEnd w:id="41"/>
      <w:bookmarkEnd w:id="42"/>
      <w:bookmarkEnd w:id="43"/>
      <w:r>
        <w:t>入推进湖州市、衢州市绿色金融改革创新试验区建设。</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28" w:type="dxa"/>
          <w:left w:w="85" w:type="dxa"/>
          <w:bottom w:w="28" w:type="dxa"/>
          <w:right w:w="85"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专栏12  区域共保联治重大改革和政策</w:t>
            </w:r>
          </w:p>
          <w:p>
            <w:pPr>
              <w:spacing w:line="360" w:lineRule="exact"/>
              <w:ind w:firstLine="480" w:firstLineChars="200"/>
              <w:rPr>
                <w:kern w:val="0"/>
                <w:sz w:val="24"/>
              </w:rPr>
            </w:pPr>
            <w:r>
              <w:rPr>
                <w:rFonts w:eastAsia="楷体_GB2312"/>
                <w:kern w:val="0"/>
                <w:sz w:val="24"/>
              </w:rPr>
              <w:t>1.</w:t>
            </w:r>
            <w:r>
              <w:rPr>
                <w:rFonts w:hint="eastAsia" w:eastAsia="楷体_GB2312"/>
                <w:kern w:val="0"/>
                <w:sz w:val="24"/>
              </w:rPr>
              <w:t xml:space="preserve"> </w:t>
            </w:r>
            <w:r>
              <w:rPr>
                <w:rFonts w:eastAsia="楷体_GB2312"/>
                <w:kern w:val="0"/>
                <w:sz w:val="24"/>
              </w:rPr>
              <w:t>建立健全长三角区域生态环境保护协作机制。</w:t>
            </w:r>
            <w:r>
              <w:rPr>
                <w:kern w:val="0"/>
                <w:sz w:val="24"/>
              </w:rPr>
              <w:t>在现有长三角区域大气和水污染防治协作机制基础上，调整优化长三角区域生态环境保护协作机制，在治水、治气、治土、治废、生态保护等全方位协调推动区域生态环境共同保护。</w:t>
            </w:r>
          </w:p>
          <w:p>
            <w:pPr>
              <w:spacing w:line="360" w:lineRule="exact"/>
              <w:ind w:firstLine="480" w:firstLineChars="200"/>
              <w:rPr>
                <w:kern w:val="0"/>
                <w:sz w:val="24"/>
              </w:rPr>
            </w:pPr>
            <w:r>
              <w:rPr>
                <w:rFonts w:eastAsia="楷体_GB2312"/>
                <w:kern w:val="0"/>
                <w:sz w:val="24"/>
              </w:rPr>
              <w:t>2.</w:t>
            </w:r>
            <w:r>
              <w:rPr>
                <w:rFonts w:hint="eastAsia" w:eastAsia="楷体_GB2312"/>
                <w:kern w:val="0"/>
                <w:sz w:val="24"/>
              </w:rPr>
              <w:t xml:space="preserve"> </w:t>
            </w:r>
            <w:r>
              <w:rPr>
                <w:rFonts w:eastAsia="楷体_GB2312"/>
                <w:kern w:val="0"/>
                <w:sz w:val="24"/>
              </w:rPr>
              <w:t>构建长三角区域现代化气候治理体系。</w:t>
            </w:r>
            <w:r>
              <w:rPr>
                <w:kern w:val="0"/>
                <w:sz w:val="24"/>
              </w:rPr>
              <w:t>推动碳达峰、碳中和实践活动。率先将碳排放评价纳入环境影响评价</w:t>
            </w:r>
            <w:bookmarkStart w:id="44" w:name="_Toc446062077"/>
            <w:bookmarkStart w:id="45" w:name="_Toc429578348"/>
            <w:bookmarkStart w:id="46" w:name="_Toc55906108"/>
            <w:r>
              <w:rPr>
                <w:kern w:val="0"/>
                <w:sz w:val="24"/>
              </w:rPr>
              <w:t>，推动区域内重点地区</w:t>
            </w:r>
            <w:bookmarkEnd w:id="44"/>
            <w:bookmarkEnd w:id="45"/>
            <w:r>
              <w:rPr>
                <w:kern w:val="0"/>
                <w:sz w:val="24"/>
              </w:rPr>
              <w:t>、重点行业率</w:t>
            </w:r>
            <w:bookmarkEnd w:id="46"/>
            <w:r>
              <w:rPr>
                <w:kern w:val="0"/>
                <w:sz w:val="24"/>
              </w:rPr>
              <w:t>先达峰。建设区域“零碳”示范体系，开展“零碳”示范创建，打造“碳中和”试验区，推广“碳标签”实践。探索建立区域温室气体监测网络。推动建设碳排放权交易市场，积极开发林业、海洋、湿地等碳汇资源。</w:t>
            </w:r>
          </w:p>
          <w:p>
            <w:pPr>
              <w:spacing w:line="360" w:lineRule="exact"/>
              <w:ind w:firstLine="480" w:firstLineChars="200"/>
              <w:rPr>
                <w:rFonts w:eastAsia="黑体"/>
                <w:sz w:val="28"/>
                <w:szCs w:val="28"/>
              </w:rPr>
            </w:pPr>
            <w:r>
              <w:rPr>
                <w:rFonts w:eastAsia="楷体_GB2312"/>
                <w:kern w:val="0"/>
                <w:sz w:val="24"/>
              </w:rPr>
              <w:t>3.</w:t>
            </w:r>
            <w:r>
              <w:rPr>
                <w:rFonts w:hint="eastAsia" w:eastAsia="楷体_GB2312"/>
                <w:kern w:val="0"/>
                <w:sz w:val="24"/>
              </w:rPr>
              <w:t xml:space="preserve"> </w:t>
            </w:r>
            <w:r>
              <w:rPr>
                <w:rFonts w:eastAsia="楷体_GB2312"/>
                <w:kern w:val="0"/>
                <w:sz w:val="24"/>
              </w:rPr>
              <w:t>健全长三角生态绿色一体化发展示范区生态环境管理“三统一”制度。</w:t>
            </w:r>
            <w:r>
              <w:rPr>
                <w:kern w:val="0"/>
                <w:sz w:val="24"/>
              </w:rPr>
              <w:t>坚持生态绿色一体化发展的战略导向，统筹推进一体化示范区生态环境管理工作，建立健全一体化示范区生态环境标准统一、监测统一、执法统一的“三统一”制度，并在长三角区域逐步推广。</w:t>
            </w:r>
          </w:p>
        </w:tc>
      </w:tr>
    </w:tbl>
    <w:p>
      <w:pPr>
        <w:pStyle w:val="4"/>
        <w:spacing w:before="120" w:beforeLines="50" w:after="0" w:line="590" w:lineRule="exact"/>
        <w:ind w:firstLine="640" w:firstLineChars="200"/>
        <w:jc w:val="left"/>
        <w:rPr>
          <w:rFonts w:ascii="Times New Roman" w:hAnsi="Times New Roman" w:eastAsia="黑体"/>
          <w:b w:val="0"/>
        </w:rPr>
      </w:pPr>
      <w:bookmarkStart w:id="47" w:name="_Toc65248127"/>
      <w:r>
        <w:rPr>
          <w:rFonts w:ascii="Times New Roman" w:hAnsi="Times New Roman" w:eastAsia="黑体"/>
          <w:b w:val="0"/>
        </w:rPr>
        <w:t>四、保障措施</w:t>
      </w:r>
      <w:bookmarkEnd w:id="47"/>
    </w:p>
    <w:p>
      <w:pPr>
        <w:pStyle w:val="4"/>
        <w:spacing w:before="0" w:after="0" w:line="590" w:lineRule="exact"/>
        <w:ind w:firstLine="641" w:firstLineChars="200"/>
        <w:jc w:val="left"/>
        <w:outlineLvl w:val="1"/>
        <w:rPr>
          <w:rFonts w:ascii="Times New Roman" w:hAnsi="Times New Roman" w:eastAsia="楷体_GB2312"/>
        </w:rPr>
      </w:pPr>
      <w:bookmarkStart w:id="48" w:name="_Toc65248128"/>
      <w:r>
        <w:rPr>
          <w:rFonts w:ascii="Times New Roman" w:hAnsi="Times New Roman" w:eastAsia="楷体_GB2312"/>
        </w:rPr>
        <w:t>（一）强化组织领导，落实目标任务</w:t>
      </w:r>
      <w:bookmarkEnd w:id="48"/>
    </w:p>
    <w:p>
      <w:pPr>
        <w:pStyle w:val="2"/>
        <w:spacing w:after="0" w:line="590" w:lineRule="exact"/>
        <w:ind w:left="0" w:leftChars="0" w:right="0" w:rightChars="0" w:firstLine="640" w:firstLineChars="200"/>
      </w:pPr>
      <w:r>
        <w:t>建立省级部门推进规划落实的分工协作机制，明确职责分工，加强规划实施的组织领导，强化指导、协调及监督作用，确保规划顺利实施。各级政府要对本辖区的生态环境质量负总责，根据本规划确定的目标指标和</w:t>
      </w:r>
      <w:bookmarkStart w:id="49" w:name="_Toc55906111"/>
      <w:bookmarkStart w:id="50" w:name="_Toc429578350"/>
      <w:bookmarkStart w:id="51" w:name="_Toc446062079"/>
      <w:r>
        <w:t>主要任务，结合当地实际，制定实施</w:t>
      </w:r>
      <w:bookmarkEnd w:id="49"/>
      <w:bookmarkEnd w:id="50"/>
      <w:bookmarkEnd w:id="51"/>
      <w:r>
        <w:t>各市县生态环境保护“十四五”规划，分解落实规划目标、任务和“四个重大”，确保规划目标顺利实现。</w:t>
      </w:r>
    </w:p>
    <w:p>
      <w:pPr>
        <w:pStyle w:val="4"/>
        <w:spacing w:before="0" w:after="0" w:line="590" w:lineRule="exact"/>
        <w:ind w:firstLine="641" w:firstLineChars="200"/>
        <w:jc w:val="left"/>
        <w:outlineLvl w:val="1"/>
        <w:rPr>
          <w:rFonts w:ascii="Times New Roman" w:hAnsi="Times New Roman" w:eastAsia="楷体_GB2312"/>
        </w:rPr>
      </w:pPr>
      <w:bookmarkStart w:id="52" w:name="_Toc65248129"/>
      <w:r>
        <w:rPr>
          <w:rFonts w:ascii="Times New Roman" w:hAnsi="Times New Roman" w:eastAsia="楷体_GB2312"/>
        </w:rPr>
        <w:t>（二）强化</w:t>
      </w:r>
      <w:r>
        <w:rPr>
          <w:rFonts w:ascii="Times New Roman" w:hAnsi="Times New Roman" w:eastAsia="楷体_GB2312"/>
          <w:lang w:val="en-US"/>
        </w:rPr>
        <w:t>投入</w:t>
      </w:r>
      <w:r>
        <w:rPr>
          <w:rFonts w:ascii="Times New Roman" w:hAnsi="Times New Roman" w:eastAsia="楷体_GB2312"/>
        </w:rPr>
        <w:t>保障，落实重大工程</w:t>
      </w:r>
      <w:bookmarkEnd w:id="52"/>
    </w:p>
    <w:p>
      <w:pPr>
        <w:pStyle w:val="2"/>
        <w:spacing w:after="0" w:line="590" w:lineRule="exact"/>
        <w:ind w:left="0" w:leftChars="0" w:right="0" w:rightChars="0" w:firstLine="640" w:firstLineChars="200"/>
      </w:pPr>
      <w:r>
        <w:t>各级政府要把生态环境保护列为公共财政支出的重点领域，加大对绿色发展、污染治理、生态修复、应对气候变化、环境治理体系和治理能力建设等重点工作的投入力度。完善多元化的生态环境投入机制，积极引导社会资本参与生态环境保护，积极创新各类投融资方式，大力推进生态环境治理市场化。围绕规划目标和重点问题，实施一批生态环境保护重大工程，各级财政资金优先予以支持。</w:t>
      </w:r>
    </w:p>
    <w:p>
      <w:pPr>
        <w:pStyle w:val="4"/>
        <w:spacing w:before="0" w:after="0" w:line="590" w:lineRule="exact"/>
        <w:ind w:firstLine="641" w:firstLineChars="200"/>
        <w:jc w:val="left"/>
        <w:outlineLvl w:val="1"/>
        <w:rPr>
          <w:rFonts w:ascii="Times New Roman" w:hAnsi="Times New Roman" w:eastAsia="楷体_GB2312"/>
        </w:rPr>
      </w:pPr>
      <w:bookmarkStart w:id="53" w:name="_Toc65248130"/>
      <w:r>
        <w:rPr>
          <w:rFonts w:ascii="Times New Roman" w:hAnsi="Times New Roman" w:eastAsia="楷体_GB2312"/>
        </w:rPr>
        <w:t>（三）强化信息公开，推动社会监督</w:t>
      </w:r>
      <w:bookmarkEnd w:id="53"/>
    </w:p>
    <w:p>
      <w:pPr>
        <w:pStyle w:val="3"/>
        <w:spacing w:before="0" w:beforeAutospacing="0" w:after="0" w:afterAutospacing="0" w:line="590" w:lineRule="exact"/>
        <w:ind w:firstLine="640" w:firstLineChars="200"/>
        <w:jc w:val="both"/>
        <w:rPr>
          <w:rFonts w:eastAsia="仿宋_GB2312"/>
          <w:kern w:val="2"/>
          <w:sz w:val="32"/>
          <w:lang w:val="zh-CN" w:bidi="ar"/>
        </w:rPr>
      </w:pPr>
      <w:r>
        <w:rPr>
          <w:rFonts w:eastAsia="仿宋_GB2312"/>
          <w:kern w:val="2"/>
          <w:sz w:val="32"/>
          <w:lang w:val="zh-CN" w:bidi="ar"/>
        </w:rPr>
        <w:t>充分利用报纸、电视、网络、社交平台和数字媒介等各类媒体，加大规划的宣传力度，定期公布环境质量、项目建设、资金投入等规划实施信息，确保规划实施情况及时公开。充分发挥公众和新闻媒体等社会力量的监督作用，强化环保志愿者作用，建立规划实施公众反馈和监督机制。</w:t>
      </w:r>
    </w:p>
    <w:p>
      <w:pPr>
        <w:pStyle w:val="4"/>
        <w:spacing w:before="0" w:after="0" w:line="590" w:lineRule="exact"/>
        <w:ind w:firstLine="641" w:firstLineChars="200"/>
        <w:jc w:val="left"/>
        <w:outlineLvl w:val="1"/>
        <w:rPr>
          <w:rFonts w:ascii="Times New Roman" w:hAnsi="Times New Roman" w:eastAsia="楷体_GB2312"/>
        </w:rPr>
      </w:pPr>
      <w:bookmarkStart w:id="54" w:name="_Toc65248131"/>
      <w:r>
        <w:rPr>
          <w:rFonts w:ascii="Times New Roman" w:hAnsi="Times New Roman" w:eastAsia="楷体_GB2312"/>
        </w:rPr>
        <w:t>（四）强化评估考核，促进规划实施</w:t>
      </w:r>
      <w:bookmarkEnd w:id="54"/>
    </w:p>
    <w:p>
      <w:pPr>
        <w:pStyle w:val="2"/>
        <w:spacing w:after="0" w:line="590" w:lineRule="exact"/>
        <w:ind w:left="0" w:leftChars="0" w:right="0" w:rightChars="0" w:firstLine="640" w:firstLineChars="200"/>
        <w:rPr>
          <w:lang w:val="zh-CN"/>
        </w:rPr>
      </w:pPr>
      <w:r>
        <w:rPr>
          <w:lang w:val="zh-CN"/>
        </w:rPr>
        <w:t>建立规划实施年度调度机制，完善规划实施的考核评估机制。将规划目标和主要任务纳入各地、各有关部门政绩考核和“美丽浙江”建设考核评价体系。开展规划实施年度监测</w:t>
      </w:r>
      <w:r>
        <w:rPr>
          <w:rFonts w:hint="eastAsia"/>
          <w:lang w:val="zh-CN"/>
        </w:rPr>
        <w:t>，</w:t>
      </w:r>
      <w:r>
        <w:rPr>
          <w:lang w:val="zh-CN"/>
        </w:rPr>
        <w:t>在2023年年中和2025年年底，对规划执行情况开展中期评估</w:t>
      </w:r>
      <w:r>
        <w:rPr>
          <w:rFonts w:hint="eastAsia"/>
          <w:lang w:val="zh-CN"/>
        </w:rPr>
        <w:t>和总结评估</w:t>
      </w:r>
      <w:r>
        <w:rPr>
          <w:lang w:val="zh-CN"/>
        </w:rPr>
        <w:t>，评估结果向社会公开。</w:t>
      </w:r>
    </w:p>
    <w:p>
      <w:bookmarkStart w:id="55" w:name="_GoBack"/>
      <w:bookmarkEnd w:id="5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楷体_GB2312">
    <w:altName w:val="汉仪楷体KW"/>
    <w:panose1 w:val="02010609030101010101"/>
    <w:charset w:val="00"/>
    <w:family w:val="modern"/>
    <w:pitch w:val="default"/>
    <w:sig w:usb0="00000000" w:usb1="00000000" w:usb2="00000000" w:usb3="00000000" w:csb0="00040000" w:csb1="00000000"/>
  </w:font>
  <w:font w:name="Arial Rounded MT Bold">
    <w:panose1 w:val="020F0704030504030204"/>
    <w:charset w:val="00"/>
    <w:family w:val="swiss"/>
    <w:pitch w:val="default"/>
    <w:sig w:usb0="00000003" w:usb1="00000000" w:usb2="00000000" w:usb3="00000000" w:csb0="20000001" w:csb1="00000000"/>
  </w:font>
  <w:font w:name="黑体">
    <w:altName w:val="汉仪中黑KW"/>
    <w:panose1 w:val="02010609060101010101"/>
    <w:charset w:val="00"/>
    <w:family w:val="auto"/>
    <w:pitch w:val="default"/>
    <w:sig w:usb0="00000000" w:usb1="00000000" w:usb2="00000016" w:usb3="00000000" w:csb0="00040001" w:csb1="00000000"/>
  </w:font>
  <w:font w:name="仿宋">
    <w:altName w:val="汉仪仿宋KW"/>
    <w:panose1 w:val="02010609060101010101"/>
    <w:charset w:val="00"/>
    <w:family w:val="modern"/>
    <w:pitch w:val="default"/>
    <w:sig w:usb0="00000000" w:usb1="00000000" w:usb2="00000016" w:usb3="00000000" w:csb0="00040001" w:csb1="00000000"/>
  </w:font>
  <w:font w:name="等线 Light">
    <w:altName w:val="汉仪中等线KW"/>
    <w:panose1 w:val="02010600030101010101"/>
    <w:charset w:val="00"/>
    <w:family w:val="auto"/>
    <w:pitch w:val="default"/>
    <w:sig w:usb0="00000000" w:usb1="00000000" w:usb2="00000016" w:usb3="00000000" w:csb0="0004000F" w:csb1="00000000"/>
  </w:font>
  <w:font w:name="等线">
    <w:altName w:val="汉仪中等线KW"/>
    <w:panose1 w:val="02010600030101010101"/>
    <w:charset w:val="00"/>
    <w:family w:val="auto"/>
    <w:pitch w:val="default"/>
    <w:sig w:usb0="00000000" w:usb1="00000000" w:usb2="00000016" w:usb3="00000000" w:csb0="0004000F" w:csb1="00000000"/>
  </w:font>
  <w:font w:name="Courier New">
    <w:panose1 w:val="02070609020205090404"/>
    <w:charset w:val="00"/>
    <w:family w:val="modern"/>
    <w:pitch w:val="default"/>
    <w:sig w:usb0="E0000AFF" w:usb1="40007843" w:usb2="00000001" w:usb3="00000000" w:csb0="400001BF" w:csb1="DFF70000"/>
  </w:font>
  <w:font w:name="方正仿宋简体">
    <w:altName w:val="苹方-简"/>
    <w:panose1 w:val="03000509000000000000"/>
    <w:charset w:val="00"/>
    <w:family w:val="script"/>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FEDC10"/>
    <w:rsid w:val="DDFED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lock Text"/>
    <w:uiPriority w:val="0"/>
    <w:pPr>
      <w:widowControl w:val="0"/>
      <w:spacing w:after="120"/>
      <w:ind w:left="1440" w:leftChars="700" w:right="1440" w:rightChars="700"/>
      <w:jc w:val="both"/>
    </w:pPr>
    <w:rPr>
      <w:rFonts w:eastAsia="仿宋_GB2312"/>
      <w:kern w:val="2"/>
      <w:sz w:val="32"/>
      <w:szCs w:val="24"/>
      <w:lang w:val="en-US" w:eastAsia="zh-CN" w:bidi="ar-SA"/>
    </w:rPr>
  </w:style>
  <w:style w:type="paragraph" w:styleId="3">
    <w:name w:val="Normal (Web)"/>
    <w:basedOn w:val="1"/>
    <w:uiPriority w:val="0"/>
    <w:pPr>
      <w:spacing w:before="100" w:beforeAutospacing="1" w:after="100" w:afterAutospacing="1"/>
      <w:jc w:val="left"/>
    </w:pPr>
    <w:rPr>
      <w:rFonts w:eastAsia="方正仿宋简体"/>
      <w:kern w:val="0"/>
      <w:sz w:val="24"/>
    </w:rPr>
  </w:style>
  <w:style w:type="paragraph" w:styleId="4">
    <w:name w:val="Title"/>
    <w:basedOn w:val="1"/>
    <w:next w:val="1"/>
    <w:qFormat/>
    <w:uiPriority w:val="0"/>
    <w:pPr>
      <w:spacing w:before="240" w:after="60"/>
      <w:jc w:val="center"/>
      <w:outlineLvl w:val="0"/>
    </w:pPr>
    <w:rPr>
      <w:rFonts w:ascii="Cambria" w:hAnsi="Cambria" w:eastAsia="宋体"/>
      <w:b/>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2021-07-12T11:03:00Z</dcterms:created>
  <dc:creator>chanvictor</dc:creator>
  <cp:lastModifiedBy>chanvictor</cp:lastModifiedBy>
  <dcterms:modified xsi:type="dcterms:W3CDTF">2021-07-12T11:03:18Z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