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center"/>
        <w:outlineLvl w:val="0"/>
        <w:rPr>
          <w:rFonts w:hint="default" w:ascii="Times New Roman" w:hAnsi="Times New Roman" w:eastAsia="方正小标宋简体" w:cs="Times New Roman"/>
          <w:spacing w:val="0"/>
          <w:kern w:val="2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0"/>
          <w:kern w:val="2"/>
          <w:sz w:val="44"/>
          <w:szCs w:val="44"/>
          <w:lang w:val="en-US" w:eastAsia="zh-CN" w:bidi="ar"/>
        </w:rPr>
        <w:t>关于加强要素保障加快海塘安澜千亿工程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center"/>
        <w:outlineLvl w:val="0"/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pacing w:val="0"/>
          <w:kern w:val="2"/>
          <w:sz w:val="44"/>
          <w:szCs w:val="44"/>
          <w:lang w:val="en-US" w:eastAsia="zh-CN" w:bidi="ar"/>
        </w:rPr>
        <w:t>项目建设的实施意见</w:t>
      </w:r>
    </w:p>
    <w:p>
      <w:pPr>
        <w:pStyle w:val="2"/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101" w:right="0" w:firstLine="420"/>
        <w:jc w:val="both"/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adjustRightInd w:val="0"/>
        <w:snapToGrid w:val="0"/>
        <w:spacing w:before="0" w:beforeAutospacing="0" w:after="0" w:afterAutospacing="0" w:line="579" w:lineRule="exact"/>
        <w:ind w:left="0" w:right="0" w:firstLine="640" w:firstLineChars="200"/>
        <w:jc w:val="both"/>
        <w:outlineLvl w:val="0"/>
        <w:rPr>
          <w:rFonts w:hint="default" w:ascii="Times New Roman" w:hAnsi="Times New Roman" w:eastAsia="黑体" w:cs="Times New Roman"/>
          <w:spacing w:val="0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0"/>
          <w:kern w:val="2"/>
          <w:sz w:val="32"/>
          <w:szCs w:val="32"/>
          <w:lang w:val="en-US" w:eastAsia="zh-CN" w:bidi="ar"/>
        </w:rPr>
        <w:t>总体要求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79" w:lineRule="exact"/>
        <w:ind w:left="0" w:right="0" w:firstLine="640" w:firstLineChars="200"/>
        <w:jc w:val="both"/>
        <w:outlineLvl w:val="0"/>
        <w:rPr>
          <w:rFonts w:hint="default" w:ascii="Times New Roman" w:hAnsi="Times New Roman" w:eastAsia="黑体" w:cs="Times New Roman"/>
          <w:spacing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"/>
        </w:rPr>
        <w:t>深入贯彻落实习近平总书记关于实施海岸带保护修复，建设生态海堤，提升抵御台风、风暴潮等海洋灾害能力的重要指示精神，围绕忠实践行“八八战略”、奋力打造“重要窗口”主题主线，立足我省海塘实际，加快实施海塘安澜千亿工程，加强海塘建设各类要素保障，提高项目行政审批时效，高质量建成安全可靠、绿色生态、功能综合、运行高效的海塘工程，切实增强人民群众的获得感、幸福感、安全感，为争创社会主义现代化先行省，高质量发展建设共同富裕示范区提供安全保障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79" w:lineRule="exact"/>
        <w:ind w:left="0" w:right="0" w:firstLine="640" w:firstLineChars="200"/>
        <w:jc w:val="both"/>
        <w:outlineLvl w:val="0"/>
        <w:rPr>
          <w:rFonts w:hint="default" w:ascii="Times New Roman" w:hAnsi="Times New Roman" w:eastAsia="黑体" w:cs="Times New Roman"/>
          <w:spacing w:val="0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0"/>
          <w:kern w:val="2"/>
          <w:sz w:val="32"/>
          <w:szCs w:val="32"/>
          <w:lang w:val="en-US" w:eastAsia="zh-CN" w:bidi="ar"/>
        </w:rPr>
        <w:t>二、项目审批（核准）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79" w:lineRule="exact"/>
        <w:ind w:left="0" w:right="0" w:firstLine="640" w:firstLineChars="200"/>
        <w:jc w:val="both"/>
        <w:outlineLvl w:val="0"/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</w:pPr>
      <w:r>
        <w:rPr>
          <w:rFonts w:hint="default" w:ascii="Times New Roman" w:hAnsi="Times New Roman" w:eastAsia="楷体_GB2312" w:cs="Times New Roman"/>
          <w:spacing w:val="0"/>
          <w:kern w:val="2"/>
          <w:sz w:val="32"/>
          <w:szCs w:val="32"/>
          <w:lang w:val="en-US" w:eastAsia="zh-CN" w:bidi="ar"/>
        </w:rPr>
        <w:t>（</w:t>
      </w:r>
      <w:r>
        <w:rPr>
          <w:rFonts w:hint="default" w:ascii="Times New Roman" w:hAnsi="Times New Roman" w:eastAsia="楷体_GB2312" w:cs="Times New Roman"/>
          <w:b/>
          <w:spacing w:val="0"/>
          <w:kern w:val="2"/>
          <w:sz w:val="32"/>
          <w:szCs w:val="32"/>
          <w:lang w:val="en-US" w:eastAsia="zh-CN" w:bidi="ar"/>
        </w:rPr>
        <w:t>一）审批权限。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"/>
        </w:rPr>
        <w:t>《浙江省海塘安澜千亿工程建设规划》中新建（含提标加固）100年一遇及以上标准的海塘安澜工程建设项目，由省发展改革委审批（核准）；其余项目由设区市发展改革委或县（市、区）发展改革局审批（核准）。对列入《浙江省海塘安澜千亿工程建设规划》的项目，优先纳入省重点建设项目计划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 w:firstLine="643" w:firstLineChars="200"/>
        <w:jc w:val="both"/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pacing w:val="0"/>
          <w:kern w:val="2"/>
          <w:sz w:val="32"/>
          <w:szCs w:val="32"/>
          <w:lang w:val="en-US" w:eastAsia="zh-CN" w:bidi="ar"/>
        </w:rPr>
        <w:t>（二）审批依据。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"/>
        </w:rPr>
        <w:t>海塘安澜工程建设项目按照《政府投资条例》（国务院令第712号）、《企业投资项目核准和备案管理条例》（国务院令第673号）、《浙江省政府投资项目管理办法》（省政府令第185号 省政府令第363号修订）等法规规章进行审批（核准）。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 w:firstLine="643" w:firstLineChars="200"/>
        <w:jc w:val="both"/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pacing w:val="0"/>
          <w:kern w:val="2"/>
          <w:sz w:val="32"/>
          <w:szCs w:val="32"/>
          <w:lang w:val="en-US" w:eastAsia="zh-CN" w:bidi="ar"/>
        </w:rPr>
        <w:t>（三）简化审批。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"/>
        </w:rPr>
        <w:t>简化政府投资的海塘安澜工程建设项目审批，只审批项目可行性研究报告和初步设计报告；应相关业主单位申请，可出具项目受理通知书。发展改革部门在审批可行性研究报告时，项目单位提供用地预审与选址意见书、行业主管部门审查意见、资金来源落实文件等材料，其他前置材料可在开工前完成。企业投资的海塘安澜工程建设项目采用项目核准制，核准项目申请报告和批复初步设计报告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 w:firstLine="643" w:firstLineChars="200"/>
        <w:jc w:val="both"/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pacing w:val="0"/>
          <w:kern w:val="2"/>
          <w:sz w:val="32"/>
          <w:szCs w:val="32"/>
          <w:lang w:val="en-US" w:eastAsia="zh-CN" w:bidi="ar"/>
        </w:rPr>
        <w:t>（四）行业审查</w:t>
      </w:r>
      <w:r>
        <w:rPr>
          <w:rFonts w:hint="default" w:ascii="Times New Roman" w:hAnsi="Times New Roman" w:eastAsia="楷体_GB2312" w:cs="Times New Roman"/>
          <w:spacing w:val="0"/>
          <w:kern w:val="2"/>
          <w:sz w:val="32"/>
          <w:szCs w:val="32"/>
          <w:lang w:val="en-US" w:eastAsia="zh-CN" w:bidi="ar"/>
        </w:rPr>
        <w:t>。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"/>
        </w:rPr>
        <w:t>水利部门负责海塘安澜工程建设项目的可行性研究报告（项目申请报告）行业审查，发展改革部门联合水利部门对初步设计报告进行审查。水利部门牵头联合组建风浪潮沙、结构安全、生态、功能融合、投资概算等专家库，开展前期指导咨询等服务工作。省水利厅负责制定《浙江省海塘安澜千亿工程建设技术指南》等技术标准，组织开展基础资料收集和科研试验，分批发布关键技术研究成果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 w:firstLine="643" w:firstLineChars="200"/>
        <w:jc w:val="both"/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pacing w:val="0"/>
          <w:kern w:val="2"/>
          <w:sz w:val="32"/>
          <w:szCs w:val="32"/>
          <w:lang w:val="en-US" w:eastAsia="zh-CN" w:bidi="ar"/>
        </w:rPr>
        <w:t>（五）资金审核。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"/>
        </w:rPr>
        <w:t>各地财政部门应在项目建议书阶段，评估项目预期绩效和财政承受能力，提出项目的资金筹划方案，在可研报批前落实地方资金，并在可研报批阶段，向省财政厅报送资金来源证明和资金补助申请文件，具体根据《浙江省海塘安澜工程建设项目财政资金管理实施细则》办理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 w:firstLine="643" w:firstLineChars="200"/>
        <w:jc w:val="both"/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pacing w:val="0"/>
          <w:kern w:val="2"/>
          <w:sz w:val="32"/>
          <w:szCs w:val="32"/>
          <w:lang w:val="en-US" w:eastAsia="zh-CN" w:bidi="ar"/>
        </w:rPr>
        <w:t>（六）项目会商。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"/>
        </w:rPr>
        <w:t>由发展改革部门牵头，自然资源、财政、交通、农业农村、生态环境、文旅等部门以及项目所在地政府、项目评估单位共同参与，对审批权限范围内海塘项目的建设内容、规模及各类保障要素开展一揽子会商和服务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both"/>
        <w:outlineLvl w:val="0"/>
        <w:rPr>
          <w:rFonts w:hint="default" w:ascii="Times New Roman" w:hAnsi="Times New Roman" w:eastAsia="黑体" w:cs="Times New Roman"/>
          <w:spacing w:val="0"/>
          <w:kern w:val="2"/>
          <w:sz w:val="30"/>
          <w:szCs w:val="30"/>
        </w:rPr>
      </w:pPr>
      <w:r>
        <w:rPr>
          <w:rFonts w:hint="default" w:ascii="Times New Roman" w:hAnsi="Times New Roman" w:eastAsia="楷体_GB2312" w:cs="Times New Roman"/>
          <w:spacing w:val="0"/>
          <w:kern w:val="2"/>
          <w:sz w:val="32"/>
          <w:szCs w:val="32"/>
          <w:lang w:val="en-US" w:eastAsia="zh-CN" w:bidi="ar"/>
        </w:rPr>
        <w:t xml:space="preserve">    </w:t>
      </w:r>
      <w:r>
        <w:rPr>
          <w:rFonts w:hint="default" w:ascii="Times New Roman" w:hAnsi="Times New Roman" w:eastAsia="黑体" w:cs="Times New Roman"/>
          <w:spacing w:val="0"/>
          <w:kern w:val="2"/>
          <w:sz w:val="30"/>
          <w:szCs w:val="30"/>
          <w:lang w:val="en-US" w:eastAsia="zh-CN" w:bidi="ar"/>
        </w:rPr>
        <w:t>三、要素保障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 w:firstLine="643" w:firstLineChars="200"/>
        <w:jc w:val="both"/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pacing w:val="0"/>
          <w:kern w:val="2"/>
          <w:sz w:val="32"/>
          <w:szCs w:val="32"/>
          <w:lang w:val="en-US" w:eastAsia="zh-CN" w:bidi="ar"/>
        </w:rPr>
        <w:t>（七）空间布局。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"/>
        </w:rPr>
        <w:t>海塘安澜千亿工程应纳入各地国土空间规划，优先保障海塘建设用地、用海，充分考虑海塘与道路、公园、文旅、码头、渔港等生态海岸带基础设施共建，与生态保护红线、湿地范围线等进行衔接，明确具体定位，优化工程布局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 w:firstLine="643" w:firstLineChars="200"/>
        <w:jc w:val="both"/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pacing w:val="0"/>
          <w:kern w:val="2"/>
          <w:sz w:val="32"/>
          <w:szCs w:val="32"/>
          <w:lang w:val="en-US" w:eastAsia="zh-CN" w:bidi="ar"/>
        </w:rPr>
        <w:t>（八）用地保障。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"/>
        </w:rPr>
        <w:t>使用已经依法批准的建设用地进行建设的海塘项目，不再办理用地预审；需要办理规划选址的，由自然资源和规划部门对规划选址情况进行审查，核发建设项目用地预审与选址意见书。确因当地补充耕地能力不足、无法落实的，对符合条件的应支持地方申请使用省级统筹补充耕地指标，并积极向国家申请统筹补充耕地指标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 w:firstLine="643" w:firstLineChars="200"/>
        <w:jc w:val="both"/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pacing w:val="0"/>
          <w:kern w:val="2"/>
          <w:sz w:val="32"/>
          <w:szCs w:val="32"/>
          <w:lang w:val="en-US" w:eastAsia="zh-CN" w:bidi="ar"/>
        </w:rPr>
        <w:t>（九）用海保障。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"/>
        </w:rPr>
        <w:t>对已建顺岸海堤向海一侧开展镇压层加固、水闸（泵站）建设及施工围堰等，按非透水构筑物方式、50公顷以下进行用海审批。涉及历史围填海处置区域项目，优先保障建设用海，简化海域使用论证，可直接引用围填海历史</w:t>
      </w:r>
      <w:r>
        <w:rPr>
          <w:rFonts w:hint="default" w:ascii="Times New Roman" w:hAnsi="Times New Roman" w:eastAsia="仿宋_GB2312" w:cs="Times New Roman"/>
          <w:spacing w:val="-6"/>
          <w:kern w:val="2"/>
          <w:sz w:val="32"/>
          <w:szCs w:val="32"/>
          <w:lang w:val="en-US" w:eastAsia="zh-CN" w:bidi="ar"/>
        </w:rPr>
        <w:t>遗留问题区域生态评估和生态修复报告相关结论。允许在提交省级及以下批准权限的用海申请时，同步提出减免海域使用金申请。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 w:firstLine="643" w:firstLineChars="200"/>
        <w:jc w:val="both"/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pacing w:val="0"/>
          <w:kern w:val="2"/>
          <w:sz w:val="32"/>
          <w:szCs w:val="32"/>
          <w:lang w:val="en-US" w:eastAsia="zh-CN" w:bidi="ar"/>
        </w:rPr>
        <w:t>（十）砂石资源保障。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"/>
        </w:rPr>
        <w:t>各地河湖库疏浚砂石综合利用优先保障用于海塘安澜千亿工程建设。沿海各县（市、区）应确定块石专用料场，确保储存量、开采量满足海塘安澜千亿工程建设需要，如现有块石料场无法满足要求，应新开辟块石料场，新设置的建筑石料采矿权必须在矿业权网上交易系统公开挂牌出让。新开辟块石料场应本着“就地就近”和“节省投资”的原则，由项目所在地人民政府组织协调，由自然资源主管部门办理出让登记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50" w:lineRule="exact"/>
        <w:ind w:left="0" w:right="0" w:firstLine="643" w:firstLineChars="200"/>
        <w:jc w:val="left"/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pacing w:val="0"/>
          <w:kern w:val="2"/>
          <w:sz w:val="32"/>
          <w:szCs w:val="32"/>
          <w:lang w:val="en-US" w:eastAsia="zh-CN" w:bidi="ar"/>
        </w:rPr>
        <w:t>（十一）资金保障。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"/>
        </w:rPr>
        <w:t>各地财政部门要调整优化支出结构，加大海塘安澜千亿工程的财政投入。各地要按相关规定运用好政府专项债、政府产业基金等形式，依法合规筹措和保障项目资金，严禁新增政府隐性债务。要深化投融资改革，盘活海塘及其沿线各类资产，吸引社会资本参与投入海塘安澜工程建设项目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50" w:lineRule="exact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"/>
        </w:rPr>
        <w:t>省级财政对“26+3”中的沿海县（市、区）及海岛地区的问题海塘建设项目水利部分核定投资后，按现行两类六档补助标准提高10个百分点［核定投资额×（50%×分类分档系数+10%）］给予倾斜支持，对其他海塘建设项目水利部分核定投资后，按现行两类六档补助标准（核定投资额×50%×分类分档系数）给予补助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50" w:lineRule="exact"/>
        <w:ind w:left="0" w:right="0" w:firstLine="600" w:firstLineChars="200"/>
        <w:jc w:val="both"/>
        <w:outlineLvl w:val="0"/>
        <w:rPr>
          <w:rFonts w:hint="default" w:ascii="Times New Roman" w:hAnsi="Times New Roman" w:eastAsia="黑体" w:cs="Times New Roman"/>
          <w:spacing w:val="0"/>
          <w:kern w:val="2"/>
          <w:sz w:val="30"/>
          <w:szCs w:val="30"/>
        </w:rPr>
      </w:pPr>
      <w:r>
        <w:rPr>
          <w:rFonts w:hint="default" w:ascii="Times New Roman" w:hAnsi="Times New Roman" w:eastAsia="黑体" w:cs="Times New Roman"/>
          <w:spacing w:val="0"/>
          <w:kern w:val="2"/>
          <w:sz w:val="30"/>
          <w:szCs w:val="30"/>
          <w:lang w:val="en-US" w:eastAsia="zh-CN" w:bidi="ar"/>
        </w:rPr>
        <w:t>四、建设、运行和管理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50" w:lineRule="exact"/>
        <w:ind w:left="0" w:right="0" w:firstLine="643" w:firstLineChars="200"/>
        <w:jc w:val="both"/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pacing w:val="0"/>
          <w:kern w:val="2"/>
          <w:sz w:val="32"/>
          <w:szCs w:val="32"/>
          <w:lang w:val="en-US" w:eastAsia="zh-CN" w:bidi="ar"/>
        </w:rPr>
        <w:t>（十二）鼓励改革创新。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"/>
        </w:rPr>
        <w:t>积极探索生态海塘建设新路径，通过功能融合，促进安全与发展协同增效，支持符合生态文明建设理念和基本建设程序的创新改革举措。在确保“性质不改变、数量不减少、质量有提升”的前提下，鼓励对沿塘水系进行综合整治，支持开展沿塘土地综合整治；对近岸高滩进行生态保护修复和整治提升；支持建设海塘管理范围内的塘顶建设管理用房、亲水便民设施等配套设施。鼓励社会资本投入海塘安澜工程建设项目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30" w:lineRule="exact"/>
        <w:ind w:left="0" w:right="0" w:firstLine="643" w:firstLineChars="200"/>
        <w:jc w:val="left"/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pacing w:val="0"/>
          <w:kern w:val="2"/>
          <w:sz w:val="32"/>
          <w:szCs w:val="32"/>
          <w:lang w:val="en-US" w:eastAsia="zh-CN" w:bidi="ar"/>
        </w:rPr>
        <w:t>（十三）加强建设管理。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"/>
        </w:rPr>
        <w:t>海塘安澜工程建设项目鼓励采用全过程工程咨询，鼓励项目单位在投资决策阶段即可启动开展全过程工程咨询服务，最大限度提升海塘安澜工程建设项目谋划决策、建设实施、综合管理的水平和效益。鼓励国有企业担任海塘安澜工程建设项目法人，负责项目前期、工程建设管理等工作。专用海塘由企业级别相应的同级政府统筹协调，地方政府做好指导督促。国资部门负责进一步落实国有企业海塘建设责任。全面推行智慧工地建设，加强在线动态管理。建立健全安全生产责任制，严格执行水利项目安全设施“三同时”制度，严防重特大安全生产事故发生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30" w:lineRule="exact"/>
        <w:ind w:left="0" w:right="0" w:firstLine="643" w:firstLineChars="200"/>
        <w:jc w:val="both"/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pacing w:val="0"/>
          <w:kern w:val="2"/>
          <w:sz w:val="32"/>
          <w:szCs w:val="32"/>
          <w:lang w:val="en-US" w:eastAsia="zh-CN" w:bidi="ar"/>
        </w:rPr>
        <w:t>（十四）加强运行管理。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"/>
        </w:rPr>
        <w:t>各地人民政府要进一步明确海塘产权，推行公益性海塘县域统管；依法对海塘工程办理不动产登记；加快已建海塘竣工验收等遗留问题的处置；推行集约管理和管养分离，培育一批海塘物业管理企业。建设“数字海塘”，与有关职能部门统筹完善沿海波浪、潮位站，构建智慧海塘管理体系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30" w:lineRule="exact"/>
        <w:ind w:left="0" w:right="0" w:firstLine="643" w:firstLineChars="200"/>
        <w:jc w:val="both"/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pacing w:val="0"/>
          <w:kern w:val="2"/>
          <w:sz w:val="32"/>
          <w:szCs w:val="32"/>
          <w:lang w:val="en-US" w:eastAsia="zh-CN" w:bidi="ar"/>
        </w:rPr>
        <w:t>（十五）加强组织保障。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"/>
        </w:rPr>
        <w:t>充分发挥省海塘安澜千亿工程协调小组作用，加强规划、政策、项目等各项工作的统筹协调，推动全面落实省委、省政府部署的各项任务。沿海各市县党委、政府对本行政区域内海塘安澜千亿工程建设负总责，加强组织领导和统筹协调，将其作为防范重大风险、践行生态文明建设的重要职责，明确海塘安澜千亿工程建设责任主体以及相关部门职责，建立健全指标体系、工作体系、政策体系、评价体系，层层压实责任，确保形成工作闭环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79" w:lineRule="exact"/>
        <w:ind w:left="0" w:right="0" w:firstLine="640" w:firstLineChars="200"/>
        <w:jc w:val="both"/>
        <w:rPr>
          <w:rFonts w:hint="default" w:ascii="Times New Roman" w:hAnsi="Times New Roman" w:eastAsia="宋体" w:cs="Times New Roman"/>
          <w:kern w:val="2"/>
          <w:sz w:val="21"/>
          <w:szCs w:val="21"/>
        </w:rPr>
      </w:pP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"/>
        </w:rPr>
        <w:t>本实施意见自2023年3月</w:t>
      </w:r>
      <w:r>
        <w:rPr>
          <w:rFonts w:hint="default" w:ascii="Times New Roman" w:hAnsi="Times New Roman" w:cs="Times New Roman"/>
          <w:spacing w:val="0"/>
          <w:kern w:val="2"/>
          <w:sz w:val="32"/>
          <w:szCs w:val="32"/>
          <w:lang w:eastAsia="zh-CN" w:bidi="ar"/>
        </w:rPr>
        <w:t>31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"/>
        </w:rPr>
        <w:t>日起施行。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7E64BC"/>
    <w:multiLevelType w:val="multilevel"/>
    <w:tmpl w:val="5F7E64BC"/>
    <w:lvl w:ilvl="0" w:tentative="0">
      <w:start w:val="1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 w:ascii="黑体" w:hAnsi="黑体" w:eastAsia="黑体" w:cs="黑体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iZTFkMjUyYWFjZTkzNDAzNDAzNmFiMTU0N2JjM2IifQ=="/>
  </w:docVars>
  <w:rsids>
    <w:rsidRoot w:val="37331060"/>
    <w:rsid w:val="3733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line="240" w:lineRule="auto"/>
    </w:pPr>
    <w:rPr>
      <w:rFonts w:ascii="Calibri" w:hAnsi="Calibri" w:eastAsia="宋体" w:cs="Times New Roman"/>
      <w:spacing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2023-03-07T09:23:00Z</dcterms:created>
  <dc:creator>*</dc:creator>
  <cp:lastModifiedBy>*</cp:lastModifiedBy>
  <dcterms:modified xsi:type="dcterms:W3CDTF">2023-03-07T09:23:45Z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72DAF88AD72648BC8C2FB9929C972070</vt:lpwstr>
  </property>
</Properties>
</file>