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Ansi="方正小标宋简体" w:eastAsia="方正小标宋简体"/>
          <w:sz w:val="44"/>
          <w:szCs w:val="44"/>
          <w:lang w:val="en-GB"/>
        </w:rPr>
      </w:pPr>
      <w:bookmarkStart w:id="0" w:name="_Toc65586004"/>
      <w:bookmarkEnd w:id="0"/>
    </w:p>
    <w:p>
      <w:pPr>
        <w:spacing w:line="590" w:lineRule="exact"/>
        <w:jc w:val="center"/>
        <w:rPr>
          <w:rFonts w:eastAsia="方正小标宋简体"/>
          <w:sz w:val="44"/>
          <w:szCs w:val="44"/>
          <w:lang w:val="en-GB"/>
        </w:rPr>
      </w:pPr>
      <w:r>
        <w:rPr>
          <w:rFonts w:hAnsi="方正小标宋简体" w:eastAsia="方正小标宋简体"/>
          <w:sz w:val="44"/>
          <w:szCs w:val="44"/>
          <w:lang w:val="en-GB"/>
        </w:rPr>
        <w:t>浙江省畜牧业高质量发展</w:t>
      </w:r>
      <w:r>
        <w:rPr>
          <w:rFonts w:eastAsia="方正小标宋简体"/>
          <w:sz w:val="44"/>
          <w:szCs w:val="44"/>
          <w:lang w:val="en-GB"/>
        </w:rPr>
        <w:t>“</w:t>
      </w:r>
      <w:r>
        <w:rPr>
          <w:rFonts w:hAnsi="方正小标宋简体" w:eastAsia="方正小标宋简体"/>
          <w:sz w:val="44"/>
          <w:szCs w:val="44"/>
          <w:lang w:val="en-GB"/>
        </w:rPr>
        <w:t>十四五</w:t>
      </w:r>
      <w:r>
        <w:rPr>
          <w:rFonts w:eastAsia="方正小标宋简体"/>
          <w:sz w:val="44"/>
          <w:szCs w:val="44"/>
          <w:lang w:val="en-GB"/>
        </w:rPr>
        <w:t>”</w:t>
      </w:r>
      <w:r>
        <w:rPr>
          <w:rFonts w:hAnsi="方正小标宋简体" w:eastAsia="方正小标宋简体"/>
          <w:sz w:val="44"/>
          <w:szCs w:val="44"/>
          <w:lang w:val="en-GB"/>
        </w:rPr>
        <w:t>规划</w:t>
      </w:r>
    </w:p>
    <w:p>
      <w:pPr>
        <w:spacing w:line="590" w:lineRule="exact"/>
        <w:ind w:firstLine="640" w:firstLineChars="200"/>
        <w:rPr>
          <w:szCs w:val="32"/>
          <w:lang w:val="en-GB"/>
        </w:rPr>
      </w:pPr>
    </w:p>
    <w:p>
      <w:pPr>
        <w:spacing w:line="590" w:lineRule="exact"/>
        <w:ind w:firstLine="640" w:firstLineChars="200"/>
        <w:rPr>
          <w:szCs w:val="32"/>
        </w:rPr>
      </w:pPr>
      <w:r>
        <w:rPr>
          <w:szCs w:val="32"/>
        </w:rPr>
        <w:t>为进一步推进畜牧业高质量发展，将畜牧业打造成为浙江现代农业中全面展示中国特色社会主义制度优越性的重要窗口，为高质量发展建设共同富裕示范区增添畜牧元素，根据《浙江省国民经济和社会发展第十四个五年规划和二</w:t>
      </w:r>
      <w:r>
        <w:rPr>
          <w:rFonts w:hint="eastAsia" w:ascii="仿宋_GB2312"/>
          <w:szCs w:val="32"/>
        </w:rPr>
        <w:t>○</w:t>
      </w:r>
      <w:r>
        <w:rPr>
          <w:szCs w:val="32"/>
        </w:rPr>
        <w:t>三五年远景目标纲要》和《浙江省农业农村现代化“十四五”规划》等要求，特编制本规划。</w:t>
      </w:r>
    </w:p>
    <w:p>
      <w:pPr>
        <w:pStyle w:val="16"/>
        <w:spacing w:before="0" w:after="0" w:line="590" w:lineRule="exact"/>
        <w:ind w:firstLine="640" w:firstLineChars="200"/>
        <w:jc w:val="both"/>
        <w:rPr>
          <w:rFonts w:ascii="Times New Roman" w:hAnsi="Times New Roman" w:eastAsia="黑体"/>
          <w:b w:val="0"/>
          <w:bCs w:val="0"/>
        </w:rPr>
      </w:pPr>
      <w:bookmarkStart w:id="1" w:name="_Toc74061120"/>
      <w:r>
        <w:rPr>
          <w:rFonts w:ascii="Times New Roman" w:hAnsi="黑体" w:eastAsia="黑体"/>
          <w:b w:val="0"/>
          <w:bCs w:val="0"/>
        </w:rPr>
        <w:t>一、发展基础和形势</w:t>
      </w:r>
      <w:bookmarkEnd w:id="1"/>
    </w:p>
    <w:p>
      <w:pPr>
        <w:spacing w:line="590" w:lineRule="exact"/>
        <w:ind w:firstLine="640" w:firstLineChars="200"/>
        <w:rPr>
          <w:b/>
          <w:szCs w:val="32"/>
        </w:rPr>
      </w:pPr>
      <w:r>
        <w:rPr>
          <w:szCs w:val="32"/>
        </w:rPr>
        <w:t>近年来，我省深入贯彻落实党中央、国务院和省委、省政府关于畜牧业转型升级重大决策部署，以</w:t>
      </w:r>
      <w:bookmarkStart w:id="2" w:name="_Hlk73300646"/>
      <w:r>
        <w:rPr>
          <w:szCs w:val="32"/>
        </w:rPr>
        <w:t>标准化、绿色化、规模化、循环化、数字化、基地化“六化”为引领</w:t>
      </w:r>
      <w:bookmarkEnd w:id="2"/>
      <w:r>
        <w:rPr>
          <w:szCs w:val="32"/>
        </w:rPr>
        <w:t>，以创建全国畜牧业绿色发展示范省为抓手，大力实施美丽畜牧生态、健康畜牧安全、特色畜牧精品、智慧畜牧创新、新型畜牧创业“五大工程”，全力推动产业布局优化、发展层次抬升、质量安全进阶、三产深度融合，</w:t>
      </w:r>
      <w:bookmarkStart w:id="3" w:name="_Hlk73300773"/>
      <w:r>
        <w:rPr>
          <w:szCs w:val="32"/>
        </w:rPr>
        <w:t>基本构建起生态高效的现代畜牧业发展新格局</w:t>
      </w:r>
      <w:bookmarkEnd w:id="3"/>
      <w:r>
        <w:rPr>
          <w:szCs w:val="32"/>
        </w:rPr>
        <w:t>。</w:t>
      </w:r>
    </w:p>
    <w:p>
      <w:pPr>
        <w:pStyle w:val="4"/>
        <w:keepNext w:val="0"/>
        <w:keepLines w:val="0"/>
        <w:numPr>
          <w:ilvl w:val="0"/>
          <w:numId w:val="0"/>
        </w:numPr>
        <w:spacing w:line="590" w:lineRule="exact"/>
        <w:ind w:left="640"/>
        <w:rPr>
          <w:rFonts w:ascii="Times New Roman" w:hAnsi="Times New Roman"/>
        </w:rPr>
      </w:pPr>
      <w:bookmarkStart w:id="4" w:name="_Toc74061121"/>
      <w:r>
        <w:rPr>
          <w:rFonts w:ascii="Times New Roman" w:hAnsi="楷体_GB2312"/>
        </w:rPr>
        <w:t>（一）畜牧业发展基础</w:t>
      </w:r>
      <w:bookmarkEnd w:id="4"/>
    </w:p>
    <w:p>
      <w:pPr>
        <w:spacing w:line="590" w:lineRule="exact"/>
        <w:ind w:firstLine="643" w:firstLineChars="200"/>
        <w:rPr>
          <w:szCs w:val="32"/>
        </w:rPr>
      </w:pPr>
      <w:r>
        <w:rPr>
          <w:b/>
          <w:bCs/>
          <w:szCs w:val="32"/>
        </w:rPr>
        <w:t>1.</w:t>
      </w:r>
      <w:r>
        <w:rPr>
          <w:rFonts w:hint="eastAsia"/>
          <w:b/>
          <w:bCs/>
          <w:szCs w:val="32"/>
        </w:rPr>
        <w:t xml:space="preserve"> </w:t>
      </w:r>
      <w:r>
        <w:rPr>
          <w:b/>
          <w:bCs/>
          <w:szCs w:val="32"/>
        </w:rPr>
        <w:t>产业发展总体稳定。</w:t>
      </w:r>
      <w:r>
        <w:rPr>
          <w:szCs w:val="32"/>
        </w:rPr>
        <w:t>产业布局进一步优化，规模化水平进一步跃升，全省开工新建万头以上猪场152个，新增产能接近800万头，全部建成后，生猪产能将超过1600万头，万头以上出栏比重达到75%。2020年，全省生猪存栏627.58万头、家禽出栏2.10亿只、奶牛存栏4.04万头，肉、蛋、奶产量分别为89.52万吨、33.17万吨、18.33万吨。累计培育饲料、兽药等上市公司46家，屠宰能力和冷链配套水平明显提高，主体竞争力和抗风险能力显著提升。</w:t>
      </w:r>
    </w:p>
    <w:p>
      <w:pPr>
        <w:spacing w:line="590" w:lineRule="exact"/>
        <w:ind w:firstLine="643" w:firstLineChars="200"/>
        <w:rPr>
          <w:szCs w:val="32"/>
        </w:rPr>
      </w:pPr>
      <w:r>
        <w:rPr>
          <w:b/>
          <w:bCs/>
          <w:szCs w:val="32"/>
        </w:rPr>
        <w:t>2.</w:t>
      </w:r>
      <w:r>
        <w:rPr>
          <w:rFonts w:hint="eastAsia"/>
          <w:b/>
          <w:bCs/>
          <w:szCs w:val="32"/>
        </w:rPr>
        <w:t xml:space="preserve"> </w:t>
      </w:r>
      <w:r>
        <w:rPr>
          <w:b/>
          <w:bCs/>
          <w:szCs w:val="32"/>
        </w:rPr>
        <w:t>绿色发展走在前列。</w:t>
      </w:r>
      <w:r>
        <w:rPr>
          <w:szCs w:val="32"/>
        </w:rPr>
        <w:t>以创建全国唯一的畜牧业绿色发展示范省为主抓手，走科学化规模养殖新路，不走散养污染环境老路，建成省级美丽牧场1321个、绿色发展示范县27个。坚持对养殖污染环境“零容忍”，通过“五水共治”、</w:t>
      </w:r>
      <w:r>
        <w:rPr>
          <w:rFonts w:hint="eastAsia"/>
          <w:szCs w:val="32"/>
          <w:lang w:eastAsia="zh-CN"/>
        </w:rPr>
        <w:t>环保督察</w:t>
      </w:r>
      <w:r>
        <w:rPr>
          <w:szCs w:val="32"/>
        </w:rPr>
        <w:t>倒逼，保留下来规模猪场全部实现产出高效、产品安全、资源节约、环境友好，全省环境承载率控制在40%以内，畜禽粪污资源化利用和无害化处理率达90%。率先全国推进兽用抗菌药减量化和饲料环保化，全力推动实现兽用抗菌药减量使用，实现饲料环保节约。</w:t>
      </w:r>
    </w:p>
    <w:p>
      <w:pPr>
        <w:spacing w:line="590" w:lineRule="exact"/>
        <w:ind w:firstLine="643" w:firstLineChars="200"/>
        <w:rPr>
          <w:szCs w:val="32"/>
        </w:rPr>
      </w:pPr>
      <w:r>
        <w:rPr>
          <w:b/>
          <w:bCs/>
          <w:szCs w:val="32"/>
        </w:rPr>
        <w:t>3.</w:t>
      </w:r>
      <w:r>
        <w:rPr>
          <w:rFonts w:hint="eastAsia"/>
          <w:b/>
          <w:bCs/>
          <w:szCs w:val="32"/>
        </w:rPr>
        <w:t xml:space="preserve"> </w:t>
      </w:r>
      <w:r>
        <w:rPr>
          <w:b/>
          <w:bCs/>
          <w:szCs w:val="32"/>
        </w:rPr>
        <w:t>科技支撑作用明显。</w:t>
      </w:r>
      <w:r>
        <w:rPr>
          <w:szCs w:val="32"/>
        </w:rPr>
        <w:t>强化技术创新，迭代升级畜禽饲喂、环境控制、粪污和臭气处理等技术工艺，加强畜禽遗传资源科技创新，先后成功繁育胚胎羊、冻精猪、克隆</w:t>
      </w:r>
      <w:bookmarkStart w:id="45" w:name="_GoBack"/>
      <w:r>
        <w:rPr>
          <w:szCs w:val="32"/>
        </w:rPr>
        <w:t>猪</w:t>
      </w:r>
      <w:bookmarkEnd w:id="45"/>
      <w:r>
        <w:rPr>
          <w:szCs w:val="32"/>
        </w:rPr>
        <w:t>，累计培育3个畜禽配套系。强化模式创新，全省新建多层猪场68个，进一步提高了土地利用效率，有效提升了养殖水平，生猪PSY达到22头，高出全国平均4头以上。强化管理创新，按照整体智治、精密智控要求，加快推进畜牧业数字化建设，畜牧业管理手段和效能实现本质突破。</w:t>
      </w:r>
    </w:p>
    <w:p>
      <w:pPr>
        <w:spacing w:line="590" w:lineRule="exact"/>
        <w:ind w:firstLine="643" w:firstLineChars="200"/>
        <w:rPr>
          <w:szCs w:val="32"/>
        </w:rPr>
      </w:pPr>
      <w:r>
        <w:rPr>
          <w:b/>
          <w:bCs/>
          <w:szCs w:val="32"/>
        </w:rPr>
        <w:t>4.</w:t>
      </w:r>
      <w:r>
        <w:rPr>
          <w:rFonts w:hint="eastAsia"/>
          <w:b/>
          <w:bCs/>
          <w:szCs w:val="32"/>
        </w:rPr>
        <w:t xml:space="preserve"> </w:t>
      </w:r>
      <w:r>
        <w:rPr>
          <w:b/>
          <w:bCs/>
          <w:szCs w:val="32"/>
        </w:rPr>
        <w:t>基础条件不断夯实。</w:t>
      </w:r>
      <w:r>
        <w:rPr>
          <w:szCs w:val="32"/>
        </w:rPr>
        <w:t>从政策创设入手，率先全国构建生猪销区补偿产区机制，探索开展了生猪活体抵押贷款、商业性生猪饲料成本价格指数保险等一系列保障政策创新。从夯实基层基础发力，全面提升重点场所、关键环节生物安全防控水平，建立完善以集中处理为主导、自行处理为补充的病死动物无害化处理体系，推动实现了重大动物疫病防控由以免疫为主向综合防控转型。从推进规范化建设着力，组织实施了屠宰企业标准化创建、动物卫生监督规范化所站建设、饲料质量安全管理规范示范企业创建等，全行业、全领域、全环节质量安全水平得到提升。</w:t>
      </w:r>
    </w:p>
    <w:p>
      <w:pPr>
        <w:pStyle w:val="4"/>
        <w:keepNext w:val="0"/>
        <w:keepLines w:val="0"/>
        <w:numPr>
          <w:ilvl w:val="0"/>
          <w:numId w:val="0"/>
        </w:numPr>
        <w:spacing w:line="590" w:lineRule="exact"/>
        <w:ind w:left="640"/>
        <w:rPr>
          <w:rFonts w:ascii="Times New Roman" w:hAnsi="Times New Roman"/>
        </w:rPr>
      </w:pPr>
      <w:bookmarkStart w:id="5" w:name="_Toc74061122"/>
      <w:r>
        <w:rPr>
          <w:rFonts w:ascii="Times New Roman" w:hAnsi="楷体_GB2312"/>
        </w:rPr>
        <w:t>（二）新形势新任务</w:t>
      </w:r>
      <w:bookmarkEnd w:id="5"/>
    </w:p>
    <w:p>
      <w:pPr>
        <w:spacing w:line="590" w:lineRule="exact"/>
        <w:ind w:firstLine="640" w:firstLineChars="200"/>
        <w:rPr>
          <w:szCs w:val="32"/>
        </w:rPr>
      </w:pPr>
      <w:r>
        <w:rPr>
          <w:szCs w:val="32"/>
        </w:rPr>
        <w:t>从新发展格局看，战略基点是扩大内需，逻辑起点是供应充足稳定，尤其是粮食、猪肉等农产品要做到有效供给。“十三五”期间，党中央、国务院和省委、省政府对农产品保供提出明确要求，农业农村部对各省（区、市）下达了粮棉油糖肉奶等重要农产品保障目标。我省畜产品总体自给水平较低，猪肉自给率40%、牛羊禽肉34%、禽蛋27%、牛奶不到10%，与目标任务有较大差距。</w:t>
      </w:r>
    </w:p>
    <w:p>
      <w:pPr>
        <w:spacing w:line="590" w:lineRule="exact"/>
        <w:ind w:firstLine="640" w:firstLineChars="200"/>
        <w:rPr>
          <w:szCs w:val="32"/>
        </w:rPr>
      </w:pPr>
      <w:r>
        <w:rPr>
          <w:szCs w:val="32"/>
        </w:rPr>
        <w:t>从“重要窗口”建设看，省委十四届七次全会提出浙江要建设好10个方面“重要窗口”，畜牧业为“重要窗口”添风景，重点要在高质量发展、政策制度创新和绿色发展上争先创优。围绕高质量发展，我省生猪产业已经走出一条新路子，家禽、湖羊、奶牛等其他产业要加快跟进，在育种、屠宰、加工等重要环节同步发力，加快形成全方位高质量发展态势。围绕政策制度创新，稳定产业发展的托底政策还有待突破完善，动物检疫和畜产品质量安全监管机制还有待突破创新。围绕绿色发展，虽然倒逼淘汰了一大批“低小散乱”养殖场户，但养殖不污染环境永远在路上。</w:t>
      </w:r>
    </w:p>
    <w:p>
      <w:pPr>
        <w:spacing w:line="590" w:lineRule="exact"/>
        <w:ind w:firstLine="640" w:firstLineChars="200"/>
        <w:rPr>
          <w:szCs w:val="32"/>
        </w:rPr>
      </w:pPr>
      <w:r>
        <w:rPr>
          <w:szCs w:val="32"/>
        </w:rPr>
        <w:t>从</w:t>
      </w:r>
      <w:bookmarkStart w:id="6" w:name="_Hlk73300884"/>
      <w:r>
        <w:rPr>
          <w:szCs w:val="32"/>
        </w:rPr>
        <w:t>农业农村现代化先行省建设</w:t>
      </w:r>
      <w:bookmarkEnd w:id="6"/>
      <w:r>
        <w:rPr>
          <w:szCs w:val="32"/>
        </w:rPr>
        <w:t>看，省委对浙江“三农”工作提出了打造农业农村现代化先行省的总目标，落脚点在全面推进乡村振兴。我省畜牧业基础较好，但对标农村改革探路者、城乡融合先行者、乡村振兴排头兵“两者一兵”的定位，在畜牧业占农业比重、特色畜禽保护与开发利用等方面仍有不少短板和薄弱环节，市域、县域间仍存在发展不平衡情况。</w:t>
      </w:r>
    </w:p>
    <w:p>
      <w:pPr>
        <w:spacing w:line="590" w:lineRule="exact"/>
        <w:ind w:firstLine="640" w:firstLineChars="200"/>
        <w:rPr>
          <w:szCs w:val="32"/>
        </w:rPr>
      </w:pPr>
      <w:r>
        <w:rPr>
          <w:szCs w:val="32"/>
        </w:rPr>
        <w:t>同时，国家有关部委近几年围绕恢复生猪生产、推动畜牧业高质量发展出台了一系列政策措施，有效保障了产业进一步转型提档。中央经济工作会议提出的解决好种子问题、打赢种业翻身仗，也为做好畜禽遗传资源保护和开发工作明确了方向，坚定了信心和决心。“十四五”是我省畜牧业迈向高质量发展的关键时期，更要凝聚合力、加强扶持，全面推动畜牧业再上新台阶。</w:t>
      </w:r>
    </w:p>
    <w:p>
      <w:pPr>
        <w:pStyle w:val="16"/>
        <w:spacing w:before="0" w:after="0" w:line="590" w:lineRule="exact"/>
        <w:ind w:firstLine="640" w:firstLineChars="200"/>
        <w:jc w:val="both"/>
        <w:rPr>
          <w:rFonts w:ascii="Times New Roman" w:hAnsi="Times New Roman" w:eastAsia="黑体"/>
          <w:b w:val="0"/>
          <w:bCs w:val="0"/>
        </w:rPr>
      </w:pPr>
      <w:bookmarkStart w:id="7" w:name="_Toc74061123"/>
      <w:r>
        <w:rPr>
          <w:rFonts w:ascii="Times New Roman" w:hAnsi="黑体" w:eastAsia="黑体"/>
          <w:b w:val="0"/>
          <w:bCs w:val="0"/>
        </w:rPr>
        <w:t>二、主要思路</w:t>
      </w:r>
      <w:bookmarkEnd w:id="7"/>
    </w:p>
    <w:p>
      <w:pPr>
        <w:pStyle w:val="4"/>
        <w:keepNext w:val="0"/>
        <w:keepLines w:val="0"/>
        <w:numPr>
          <w:ilvl w:val="0"/>
          <w:numId w:val="0"/>
        </w:numPr>
        <w:spacing w:line="590" w:lineRule="exact"/>
        <w:ind w:left="640"/>
        <w:rPr>
          <w:rFonts w:ascii="Times New Roman" w:hAnsi="Times New Roman"/>
        </w:rPr>
      </w:pPr>
      <w:bookmarkStart w:id="8" w:name="_Toc74061124"/>
      <w:r>
        <w:rPr>
          <w:rFonts w:ascii="Times New Roman" w:hAnsi="楷体_GB2312"/>
        </w:rPr>
        <w:t>（一）指导思想</w:t>
      </w:r>
      <w:bookmarkEnd w:id="8"/>
    </w:p>
    <w:p>
      <w:pPr>
        <w:spacing w:line="590" w:lineRule="exact"/>
        <w:ind w:firstLine="640" w:firstLineChars="200"/>
        <w:rPr>
          <w:szCs w:val="32"/>
        </w:rPr>
      </w:pPr>
      <w:r>
        <w:rPr>
          <w:szCs w:val="32"/>
        </w:rPr>
        <w:t>以习近平新时代中国特色社会主义思想为指导，深入贯彻落实党的十九大和十九届二中、三中、四中、五中全会精神，坚持贯彻新发展理念，立足新发展格局，以实施乡村振兴战略为引领，以推动高质量发展为主题，以农业供给侧结构性改革为主线，把改革创新作为根本动力，把提高畜产品供给保障能力、绿色生态养殖和公共卫生安全水平作为主攻方向，把提升质量效益和竞争力作为核心任务，按照新时代浙江“三农”工作“369”行动部署要求，加快</w:t>
      </w:r>
      <w:bookmarkStart w:id="9" w:name="_Hlk73301476"/>
      <w:r>
        <w:rPr>
          <w:szCs w:val="32"/>
        </w:rPr>
        <w:t>构建现代化种业体系、高效益产业体系、高密度防疫体系、高标准产品体系和高水平技术体系</w:t>
      </w:r>
      <w:bookmarkEnd w:id="9"/>
      <w:r>
        <w:rPr>
          <w:szCs w:val="32"/>
        </w:rPr>
        <w:t>，持续推动畜牧业可持续发展，走出一条新时代富有浙江特色和辨识度的畜牧业高质量发展路子。</w:t>
      </w:r>
    </w:p>
    <w:p>
      <w:pPr>
        <w:pStyle w:val="4"/>
        <w:keepNext w:val="0"/>
        <w:keepLines w:val="0"/>
        <w:numPr>
          <w:ilvl w:val="0"/>
          <w:numId w:val="0"/>
        </w:numPr>
        <w:spacing w:line="590" w:lineRule="exact"/>
        <w:ind w:left="640"/>
        <w:rPr>
          <w:rFonts w:ascii="Times New Roman" w:hAnsi="Times New Roman"/>
        </w:rPr>
      </w:pPr>
      <w:bookmarkStart w:id="10" w:name="_Toc74061125"/>
      <w:r>
        <w:rPr>
          <w:rFonts w:ascii="Times New Roman" w:hAnsi="楷体_GB2312"/>
        </w:rPr>
        <w:t>（二）基本原则</w:t>
      </w:r>
      <w:bookmarkEnd w:id="10"/>
    </w:p>
    <w:p>
      <w:pPr>
        <w:spacing w:line="590" w:lineRule="exact"/>
        <w:ind w:firstLine="643" w:firstLineChars="200"/>
        <w:rPr>
          <w:szCs w:val="32"/>
        </w:rPr>
      </w:pPr>
      <w:r>
        <w:rPr>
          <w:b/>
          <w:bCs/>
          <w:szCs w:val="32"/>
        </w:rPr>
        <w:t>——坚持高质量发展。</w:t>
      </w:r>
      <w:r>
        <w:rPr>
          <w:szCs w:val="32"/>
        </w:rPr>
        <w:t>以标准化、绿色化、规模化、循环化、数字化、基地化“六化”为导向，进一步推动产业转型，提高管理效能，全方位提升畜牧业高质量发展水平。</w:t>
      </w:r>
    </w:p>
    <w:p>
      <w:pPr>
        <w:spacing w:line="590" w:lineRule="exact"/>
        <w:ind w:firstLine="643" w:firstLineChars="200"/>
        <w:rPr>
          <w:szCs w:val="32"/>
        </w:rPr>
      </w:pPr>
      <w:r>
        <w:rPr>
          <w:b/>
          <w:bCs/>
          <w:szCs w:val="32"/>
        </w:rPr>
        <w:t>——坚持防疫优先。</w:t>
      </w:r>
      <w:r>
        <w:rPr>
          <w:szCs w:val="32"/>
        </w:rPr>
        <w:t>将动物疫病防控作为防范畜牧业产业风险和防治人畜共患病的第一道防线，着力加强防疫队伍和能力建设，落实政府和主体防疫责任，形成防控合力。</w:t>
      </w:r>
    </w:p>
    <w:p>
      <w:pPr>
        <w:spacing w:line="590" w:lineRule="exact"/>
        <w:ind w:firstLine="643" w:firstLineChars="200"/>
        <w:rPr>
          <w:szCs w:val="32"/>
        </w:rPr>
      </w:pPr>
      <w:r>
        <w:rPr>
          <w:b/>
          <w:bCs/>
          <w:szCs w:val="32"/>
        </w:rPr>
        <w:t>——坚持市场导向。</w:t>
      </w:r>
      <w:r>
        <w:rPr>
          <w:szCs w:val="32"/>
        </w:rPr>
        <w:t>坚持依法治牧和政策引导，充分发挥市场在资源配置中的决定性作用，推动生产、加工、流通、消费各环节融合发展，不断增强畜牧业发展活力。</w:t>
      </w:r>
    </w:p>
    <w:p>
      <w:pPr>
        <w:spacing w:line="590" w:lineRule="exact"/>
        <w:ind w:firstLine="643" w:firstLineChars="200"/>
        <w:rPr>
          <w:szCs w:val="32"/>
        </w:rPr>
      </w:pPr>
      <w:r>
        <w:rPr>
          <w:b/>
          <w:bCs/>
          <w:szCs w:val="32"/>
        </w:rPr>
        <w:t>——坚持科技兴牧。</w:t>
      </w:r>
      <w:r>
        <w:rPr>
          <w:bCs/>
          <w:szCs w:val="32"/>
        </w:rPr>
        <w:t>依靠科技创新和技术进步，</w:t>
      </w:r>
      <w:r>
        <w:rPr>
          <w:szCs w:val="32"/>
        </w:rPr>
        <w:t>提升我省畜禽良种化、养殖设施数智化、疫情防控精准化和生产管理信息化水平，推动我省畜牧业高效益、高质量健康发展。</w:t>
      </w:r>
    </w:p>
    <w:p>
      <w:pPr>
        <w:pStyle w:val="4"/>
        <w:keepNext w:val="0"/>
        <w:keepLines w:val="0"/>
        <w:numPr>
          <w:ilvl w:val="0"/>
          <w:numId w:val="0"/>
        </w:numPr>
        <w:spacing w:line="590" w:lineRule="exact"/>
        <w:ind w:left="640"/>
        <w:rPr>
          <w:rFonts w:ascii="Times New Roman" w:hAnsi="Times New Roman"/>
        </w:rPr>
      </w:pPr>
      <w:bookmarkStart w:id="11" w:name="_Toc74061126"/>
      <w:r>
        <w:rPr>
          <w:rFonts w:ascii="Times New Roman" w:hAnsi="楷体_GB2312"/>
        </w:rPr>
        <w:t>（三）发展目标</w:t>
      </w:r>
      <w:bookmarkEnd w:id="11"/>
    </w:p>
    <w:p>
      <w:pPr>
        <w:spacing w:line="590" w:lineRule="exact"/>
        <w:ind w:firstLine="640" w:firstLineChars="200"/>
        <w:rPr>
          <w:szCs w:val="32"/>
        </w:rPr>
      </w:pPr>
      <w:r>
        <w:rPr>
          <w:szCs w:val="32"/>
        </w:rPr>
        <w:t>到2025年，</w:t>
      </w:r>
      <w:bookmarkStart w:id="12" w:name="_Hlk73301779"/>
      <w:r>
        <w:rPr>
          <w:szCs w:val="32"/>
        </w:rPr>
        <w:t>猪肉等主要畜产品自给能力明显提升，种猪、</w:t>
      </w:r>
      <w:r>
        <w:rPr>
          <w:spacing w:val="4"/>
          <w:szCs w:val="32"/>
        </w:rPr>
        <w:t>优质肉用种鸡基本实现种源自给，畜牧产业链供应链稳定性竞争力持续提高，动物疫病防控体系日臻完善，畜牧业高质量发展持续走在全国前列，努力成为农业农村现代化先行省建设的排头兵。</w:t>
      </w:r>
      <w:bookmarkEnd w:id="12"/>
    </w:p>
    <w:p>
      <w:pPr>
        <w:spacing w:line="590" w:lineRule="exact"/>
        <w:ind w:firstLine="643" w:firstLineChars="200"/>
        <w:rPr>
          <w:szCs w:val="32"/>
        </w:rPr>
      </w:pPr>
      <w:r>
        <w:rPr>
          <w:b/>
          <w:bCs/>
          <w:szCs w:val="32"/>
        </w:rPr>
        <w:t>——供给有效。</w:t>
      </w:r>
      <w:r>
        <w:rPr>
          <w:szCs w:val="32"/>
        </w:rPr>
        <w:t>全省猪肉产量稳定在120万吨，猪肉自给率70%左右，牛羊禽肉产量36万吨，生鲜乳产量23万吨，禽蛋产量44.7万吨。主要畜禽品种规模化率达到90%以上。</w:t>
      </w:r>
    </w:p>
    <w:p>
      <w:pPr>
        <w:spacing w:line="590" w:lineRule="exact"/>
        <w:ind w:firstLine="643" w:firstLineChars="200"/>
        <w:rPr>
          <w:szCs w:val="32"/>
        </w:rPr>
      </w:pPr>
      <w:r>
        <w:rPr>
          <w:b/>
          <w:bCs/>
          <w:szCs w:val="32"/>
        </w:rPr>
        <w:t>——防疫安全。</w:t>
      </w:r>
      <w:r>
        <w:rPr>
          <w:szCs w:val="32"/>
        </w:rPr>
        <w:t>规模养殖场动物防疫条件水平显著提高，强制免疫病种群体免疫密度和抗体合格率分别保持在90%以上和80%以上，病死畜禽专业无害化处理率达到95%以上。畜禽养殖县实现系统内生物安全二级兽医实验室全覆盖，动物卫生监督基础设施更加完善。</w:t>
      </w:r>
    </w:p>
    <w:p>
      <w:pPr>
        <w:spacing w:line="590" w:lineRule="exact"/>
        <w:ind w:firstLine="643" w:firstLineChars="200"/>
        <w:rPr>
          <w:szCs w:val="32"/>
        </w:rPr>
      </w:pPr>
      <w:r>
        <w:rPr>
          <w:b/>
          <w:bCs/>
          <w:szCs w:val="32"/>
        </w:rPr>
        <w:t>——产品提质。</w:t>
      </w:r>
      <w:r>
        <w:rPr>
          <w:szCs w:val="32"/>
        </w:rPr>
        <w:t>创建兽用抗菌药减量化和饲料环保化（以下简称“两化”）试点场1000个以上，生猪、家禽定点屠宰企业标准化水平明显提升，牛羊集中（定点）屠宰扩面推进，冷链配套更加完善，主要畜产品抽检合格率稳定在99%以上，培育一批畜牧业知名品牌。</w:t>
      </w:r>
    </w:p>
    <w:p>
      <w:pPr>
        <w:spacing w:line="590" w:lineRule="exact"/>
        <w:ind w:firstLine="643" w:firstLineChars="200"/>
        <w:rPr>
          <w:szCs w:val="32"/>
        </w:rPr>
      </w:pPr>
      <w:r>
        <w:rPr>
          <w:b/>
          <w:bCs/>
          <w:szCs w:val="32"/>
        </w:rPr>
        <w:t>——科技增效。</w:t>
      </w:r>
      <w:r>
        <w:rPr>
          <w:szCs w:val="32"/>
        </w:rPr>
        <w:t>全面完成畜禽遗传资源保种场（保护区、基因库、备份场）改造提升，培育新品种（配套系）3-4个、核心种业企业12家以上。畜牧业机械化率总体达到50%以上，出栏万头以上猪场全部实现数字化管控。全省畜禽粪污资源化利用和无害化处理率保持在92%以上。</w:t>
      </w:r>
    </w:p>
    <w:p>
      <w:pPr>
        <w:spacing w:line="590" w:lineRule="exact"/>
        <w:rPr>
          <w:rFonts w:hint="eastAsia" w:eastAsia="黑体"/>
          <w:szCs w:val="32"/>
        </w:rPr>
      </w:pPr>
    </w:p>
    <w:p>
      <w:pPr>
        <w:spacing w:before="240" w:beforeLines="100" w:after="240" w:afterLines="100" w:line="360" w:lineRule="exact"/>
        <w:jc w:val="center"/>
        <w:rPr>
          <w:rFonts w:eastAsia="黑体"/>
          <w:sz w:val="28"/>
          <w:szCs w:val="28"/>
        </w:rPr>
      </w:pPr>
      <w:r>
        <w:rPr>
          <w:rFonts w:eastAsia="黑体"/>
          <w:sz w:val="28"/>
          <w:szCs w:val="28"/>
        </w:rPr>
        <w:t xml:space="preserve">表1 </w:t>
      </w:r>
      <w:r>
        <w:rPr>
          <w:rFonts w:hint="eastAsia" w:eastAsia="黑体"/>
          <w:sz w:val="28"/>
          <w:szCs w:val="28"/>
        </w:rPr>
        <w:t xml:space="preserve"> </w:t>
      </w:r>
      <w:r>
        <w:rPr>
          <w:rFonts w:eastAsia="黑体"/>
          <w:sz w:val="28"/>
          <w:szCs w:val="28"/>
        </w:rPr>
        <w:t>畜牧业高质量发展“十四五”主要指标</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45"/>
        <w:gridCol w:w="3671"/>
        <w:gridCol w:w="1082"/>
        <w:gridCol w:w="1217"/>
        <w:gridCol w:w="1082"/>
        <w:gridCol w:w="10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tblHeader/>
          <w:jc w:val="center"/>
        </w:trPr>
        <w:tc>
          <w:tcPr>
            <w:tcW w:w="745" w:type="dxa"/>
            <w:vAlign w:val="center"/>
          </w:tcPr>
          <w:p>
            <w:pPr>
              <w:jc w:val="center"/>
              <w:rPr>
                <w:rFonts w:eastAsia="黑体"/>
                <w:bCs/>
                <w:sz w:val="24"/>
              </w:rPr>
            </w:pPr>
            <w:r>
              <w:rPr>
                <w:rFonts w:hAnsi="黑体" w:eastAsia="黑体"/>
                <w:bCs/>
                <w:sz w:val="24"/>
              </w:rPr>
              <w:t>版块</w:t>
            </w:r>
          </w:p>
        </w:tc>
        <w:tc>
          <w:tcPr>
            <w:tcW w:w="3671" w:type="dxa"/>
            <w:vAlign w:val="center"/>
          </w:tcPr>
          <w:p>
            <w:pPr>
              <w:jc w:val="center"/>
              <w:rPr>
                <w:rFonts w:eastAsia="黑体"/>
                <w:bCs/>
                <w:sz w:val="24"/>
              </w:rPr>
            </w:pPr>
            <w:r>
              <w:rPr>
                <w:rFonts w:hAnsi="黑体" w:eastAsia="黑体"/>
                <w:bCs/>
                <w:sz w:val="24"/>
              </w:rPr>
              <w:t>指</w:t>
            </w:r>
            <w:r>
              <w:rPr>
                <w:rFonts w:hint="eastAsia" w:hAnsi="黑体" w:eastAsia="黑体"/>
                <w:bCs/>
                <w:sz w:val="24"/>
              </w:rPr>
              <w:t xml:space="preserve">    </w:t>
            </w:r>
            <w:r>
              <w:rPr>
                <w:rFonts w:hAnsi="黑体" w:eastAsia="黑体"/>
                <w:bCs/>
                <w:sz w:val="24"/>
              </w:rPr>
              <w:t>标</w:t>
            </w:r>
          </w:p>
        </w:tc>
        <w:tc>
          <w:tcPr>
            <w:tcW w:w="1082" w:type="dxa"/>
            <w:vAlign w:val="center"/>
          </w:tcPr>
          <w:p>
            <w:pPr>
              <w:jc w:val="center"/>
              <w:rPr>
                <w:rFonts w:eastAsia="黑体"/>
                <w:bCs/>
                <w:sz w:val="24"/>
              </w:rPr>
            </w:pPr>
            <w:r>
              <w:rPr>
                <w:rFonts w:hAnsi="黑体" w:eastAsia="黑体"/>
                <w:bCs/>
                <w:sz w:val="24"/>
              </w:rPr>
              <w:t>单位</w:t>
            </w:r>
          </w:p>
        </w:tc>
        <w:tc>
          <w:tcPr>
            <w:tcW w:w="1217" w:type="dxa"/>
            <w:vAlign w:val="center"/>
          </w:tcPr>
          <w:p>
            <w:pPr>
              <w:jc w:val="center"/>
              <w:rPr>
                <w:rFonts w:eastAsia="黑体"/>
                <w:bCs/>
                <w:sz w:val="24"/>
              </w:rPr>
            </w:pPr>
            <w:r>
              <w:rPr>
                <w:rFonts w:eastAsia="黑体"/>
                <w:bCs/>
                <w:sz w:val="24"/>
              </w:rPr>
              <w:t>2020</w:t>
            </w:r>
            <w:r>
              <w:rPr>
                <w:rFonts w:hAnsi="黑体" w:eastAsia="黑体"/>
                <w:bCs/>
                <w:sz w:val="24"/>
              </w:rPr>
              <w:t>年</w:t>
            </w:r>
          </w:p>
        </w:tc>
        <w:tc>
          <w:tcPr>
            <w:tcW w:w="1082" w:type="dxa"/>
            <w:vAlign w:val="center"/>
          </w:tcPr>
          <w:p>
            <w:pPr>
              <w:jc w:val="center"/>
              <w:rPr>
                <w:rFonts w:eastAsia="黑体"/>
                <w:bCs/>
                <w:sz w:val="24"/>
              </w:rPr>
            </w:pPr>
            <w:r>
              <w:rPr>
                <w:rFonts w:eastAsia="黑体"/>
                <w:bCs/>
                <w:sz w:val="24"/>
              </w:rPr>
              <w:t>2025</w:t>
            </w:r>
            <w:r>
              <w:rPr>
                <w:rFonts w:hAnsi="黑体" w:eastAsia="黑体"/>
                <w:bCs/>
                <w:sz w:val="24"/>
              </w:rPr>
              <w:t>年</w:t>
            </w:r>
          </w:p>
        </w:tc>
        <w:tc>
          <w:tcPr>
            <w:tcW w:w="1048" w:type="dxa"/>
            <w:vAlign w:val="center"/>
          </w:tcPr>
          <w:p>
            <w:pPr>
              <w:jc w:val="center"/>
              <w:rPr>
                <w:rFonts w:eastAsia="黑体"/>
                <w:bCs/>
                <w:sz w:val="24"/>
              </w:rPr>
            </w:pPr>
            <w:r>
              <w:rPr>
                <w:rFonts w:hAnsi="黑体" w:eastAsia="黑体"/>
                <w:bCs/>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restart"/>
            <w:vAlign w:val="center"/>
          </w:tcPr>
          <w:p>
            <w:pPr>
              <w:jc w:val="center"/>
              <w:rPr>
                <w:sz w:val="24"/>
              </w:rPr>
            </w:pPr>
            <w:r>
              <w:rPr>
                <w:sz w:val="24"/>
              </w:rPr>
              <w:t>生产体系</w:t>
            </w:r>
          </w:p>
        </w:tc>
        <w:tc>
          <w:tcPr>
            <w:tcW w:w="3671" w:type="dxa"/>
            <w:vAlign w:val="center"/>
          </w:tcPr>
          <w:p>
            <w:pPr>
              <w:rPr>
                <w:sz w:val="24"/>
              </w:rPr>
            </w:pPr>
            <w:r>
              <w:rPr>
                <w:sz w:val="24"/>
              </w:rPr>
              <w:t>生猪存栏</w:t>
            </w:r>
          </w:p>
        </w:tc>
        <w:tc>
          <w:tcPr>
            <w:tcW w:w="1082" w:type="dxa"/>
            <w:vAlign w:val="center"/>
          </w:tcPr>
          <w:p>
            <w:pPr>
              <w:jc w:val="center"/>
              <w:rPr>
                <w:sz w:val="24"/>
              </w:rPr>
            </w:pPr>
            <w:r>
              <w:rPr>
                <w:sz w:val="24"/>
              </w:rPr>
              <w:t>万头</w:t>
            </w:r>
          </w:p>
        </w:tc>
        <w:tc>
          <w:tcPr>
            <w:tcW w:w="1217" w:type="dxa"/>
            <w:vAlign w:val="center"/>
          </w:tcPr>
          <w:p>
            <w:pPr>
              <w:jc w:val="center"/>
              <w:rPr>
                <w:sz w:val="24"/>
              </w:rPr>
            </w:pPr>
            <w:r>
              <w:rPr>
                <w:sz w:val="24"/>
              </w:rPr>
              <w:t>627.58</w:t>
            </w:r>
          </w:p>
        </w:tc>
        <w:tc>
          <w:tcPr>
            <w:tcW w:w="1082" w:type="dxa"/>
            <w:vAlign w:val="center"/>
          </w:tcPr>
          <w:p>
            <w:pPr>
              <w:jc w:val="center"/>
              <w:rPr>
                <w:sz w:val="24"/>
              </w:rPr>
            </w:pPr>
            <w:r>
              <w:rPr>
                <w:sz w:val="24"/>
              </w:rPr>
              <w:t>780</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猪肉产量</w:t>
            </w:r>
          </w:p>
        </w:tc>
        <w:tc>
          <w:tcPr>
            <w:tcW w:w="1082" w:type="dxa"/>
            <w:vAlign w:val="center"/>
          </w:tcPr>
          <w:p>
            <w:pPr>
              <w:jc w:val="center"/>
              <w:rPr>
                <w:sz w:val="24"/>
              </w:rPr>
            </w:pPr>
            <w:r>
              <w:rPr>
                <w:sz w:val="24"/>
              </w:rPr>
              <w:t>万吨</w:t>
            </w:r>
          </w:p>
        </w:tc>
        <w:tc>
          <w:tcPr>
            <w:tcW w:w="1217" w:type="dxa"/>
            <w:vAlign w:val="center"/>
          </w:tcPr>
          <w:p>
            <w:pPr>
              <w:jc w:val="center"/>
              <w:rPr>
                <w:sz w:val="24"/>
              </w:rPr>
            </w:pPr>
            <w:r>
              <w:rPr>
                <w:sz w:val="24"/>
              </w:rPr>
              <w:t>54.2</w:t>
            </w:r>
          </w:p>
        </w:tc>
        <w:tc>
          <w:tcPr>
            <w:tcW w:w="1082" w:type="dxa"/>
            <w:vAlign w:val="center"/>
          </w:tcPr>
          <w:p>
            <w:pPr>
              <w:jc w:val="center"/>
              <w:rPr>
                <w:sz w:val="24"/>
              </w:rPr>
            </w:pPr>
            <w:r>
              <w:rPr>
                <w:sz w:val="24"/>
              </w:rPr>
              <w:t>120</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猪肉自给率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40</w:t>
            </w:r>
          </w:p>
        </w:tc>
        <w:tc>
          <w:tcPr>
            <w:tcW w:w="1082" w:type="dxa"/>
            <w:vAlign w:val="center"/>
          </w:tcPr>
          <w:p>
            <w:pPr>
              <w:jc w:val="center"/>
              <w:rPr>
                <w:sz w:val="24"/>
              </w:rPr>
            </w:pPr>
            <w:r>
              <w:rPr>
                <w:sz w:val="24"/>
              </w:rPr>
              <w:t>70</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家禽出栏</w:t>
            </w:r>
          </w:p>
        </w:tc>
        <w:tc>
          <w:tcPr>
            <w:tcW w:w="1082" w:type="dxa"/>
            <w:vAlign w:val="center"/>
          </w:tcPr>
          <w:p>
            <w:pPr>
              <w:jc w:val="center"/>
              <w:rPr>
                <w:sz w:val="24"/>
              </w:rPr>
            </w:pPr>
            <w:r>
              <w:rPr>
                <w:sz w:val="24"/>
              </w:rPr>
              <w:t>亿只</w:t>
            </w:r>
          </w:p>
        </w:tc>
        <w:tc>
          <w:tcPr>
            <w:tcW w:w="1217" w:type="dxa"/>
            <w:vAlign w:val="center"/>
          </w:tcPr>
          <w:p>
            <w:pPr>
              <w:jc w:val="center"/>
              <w:rPr>
                <w:sz w:val="24"/>
              </w:rPr>
            </w:pPr>
            <w:r>
              <w:rPr>
                <w:sz w:val="24"/>
              </w:rPr>
              <w:t>2.1</w:t>
            </w:r>
          </w:p>
        </w:tc>
        <w:tc>
          <w:tcPr>
            <w:tcW w:w="1082" w:type="dxa"/>
            <w:vAlign w:val="center"/>
          </w:tcPr>
          <w:p>
            <w:pPr>
              <w:jc w:val="center"/>
              <w:rPr>
                <w:sz w:val="24"/>
              </w:rPr>
            </w:pPr>
            <w:r>
              <w:rPr>
                <w:sz w:val="24"/>
              </w:rPr>
              <w:t>2.2</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牛羊禽肉产量</w:t>
            </w:r>
          </w:p>
        </w:tc>
        <w:tc>
          <w:tcPr>
            <w:tcW w:w="1082" w:type="dxa"/>
            <w:vAlign w:val="center"/>
          </w:tcPr>
          <w:p>
            <w:pPr>
              <w:jc w:val="center"/>
              <w:rPr>
                <w:sz w:val="24"/>
              </w:rPr>
            </w:pPr>
            <w:r>
              <w:rPr>
                <w:sz w:val="24"/>
              </w:rPr>
              <w:t>万吨</w:t>
            </w:r>
          </w:p>
        </w:tc>
        <w:tc>
          <w:tcPr>
            <w:tcW w:w="1217" w:type="dxa"/>
            <w:vAlign w:val="center"/>
          </w:tcPr>
          <w:p>
            <w:pPr>
              <w:jc w:val="center"/>
              <w:rPr>
                <w:sz w:val="24"/>
              </w:rPr>
            </w:pPr>
            <w:r>
              <w:rPr>
                <w:sz w:val="24"/>
              </w:rPr>
              <w:t>35.32</w:t>
            </w:r>
          </w:p>
        </w:tc>
        <w:tc>
          <w:tcPr>
            <w:tcW w:w="1082" w:type="dxa"/>
            <w:vAlign w:val="center"/>
          </w:tcPr>
          <w:p>
            <w:pPr>
              <w:jc w:val="center"/>
              <w:rPr>
                <w:sz w:val="24"/>
              </w:rPr>
            </w:pPr>
            <w:r>
              <w:rPr>
                <w:sz w:val="24"/>
              </w:rPr>
              <w:t>36</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奶牛存栏</w:t>
            </w:r>
          </w:p>
        </w:tc>
        <w:tc>
          <w:tcPr>
            <w:tcW w:w="1082" w:type="dxa"/>
            <w:vAlign w:val="center"/>
          </w:tcPr>
          <w:p>
            <w:pPr>
              <w:jc w:val="center"/>
              <w:rPr>
                <w:sz w:val="24"/>
              </w:rPr>
            </w:pPr>
            <w:r>
              <w:rPr>
                <w:sz w:val="24"/>
              </w:rPr>
              <w:t>万头</w:t>
            </w:r>
          </w:p>
        </w:tc>
        <w:tc>
          <w:tcPr>
            <w:tcW w:w="1217" w:type="dxa"/>
            <w:vAlign w:val="center"/>
          </w:tcPr>
          <w:p>
            <w:pPr>
              <w:jc w:val="center"/>
              <w:rPr>
                <w:sz w:val="24"/>
              </w:rPr>
            </w:pPr>
            <w:r>
              <w:rPr>
                <w:sz w:val="24"/>
              </w:rPr>
              <w:t>4.04</w:t>
            </w:r>
          </w:p>
        </w:tc>
        <w:tc>
          <w:tcPr>
            <w:tcW w:w="1082" w:type="dxa"/>
            <w:vAlign w:val="center"/>
          </w:tcPr>
          <w:p>
            <w:pPr>
              <w:jc w:val="center"/>
              <w:rPr>
                <w:sz w:val="24"/>
              </w:rPr>
            </w:pPr>
            <w:r>
              <w:rPr>
                <w:sz w:val="24"/>
              </w:rPr>
              <w:t>5.1</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生鲜乳产量</w:t>
            </w:r>
          </w:p>
        </w:tc>
        <w:tc>
          <w:tcPr>
            <w:tcW w:w="1082" w:type="dxa"/>
            <w:vAlign w:val="center"/>
          </w:tcPr>
          <w:p>
            <w:pPr>
              <w:jc w:val="center"/>
              <w:rPr>
                <w:sz w:val="24"/>
              </w:rPr>
            </w:pPr>
            <w:r>
              <w:rPr>
                <w:sz w:val="24"/>
              </w:rPr>
              <w:t>万吨</w:t>
            </w:r>
          </w:p>
        </w:tc>
        <w:tc>
          <w:tcPr>
            <w:tcW w:w="1217" w:type="dxa"/>
            <w:vAlign w:val="center"/>
          </w:tcPr>
          <w:p>
            <w:pPr>
              <w:jc w:val="center"/>
              <w:rPr>
                <w:sz w:val="24"/>
              </w:rPr>
            </w:pPr>
            <w:r>
              <w:rPr>
                <w:sz w:val="24"/>
              </w:rPr>
              <w:t>18.33</w:t>
            </w:r>
          </w:p>
        </w:tc>
        <w:tc>
          <w:tcPr>
            <w:tcW w:w="1082" w:type="dxa"/>
            <w:vAlign w:val="center"/>
          </w:tcPr>
          <w:p>
            <w:pPr>
              <w:jc w:val="center"/>
              <w:rPr>
                <w:sz w:val="24"/>
              </w:rPr>
            </w:pPr>
            <w:r>
              <w:rPr>
                <w:sz w:val="24"/>
              </w:rPr>
              <w:t>23</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蛋禽存栏</w:t>
            </w:r>
          </w:p>
        </w:tc>
        <w:tc>
          <w:tcPr>
            <w:tcW w:w="1082" w:type="dxa"/>
            <w:vAlign w:val="center"/>
          </w:tcPr>
          <w:p>
            <w:pPr>
              <w:jc w:val="center"/>
              <w:rPr>
                <w:sz w:val="24"/>
              </w:rPr>
            </w:pPr>
            <w:r>
              <w:rPr>
                <w:sz w:val="24"/>
              </w:rPr>
              <w:t>万只</w:t>
            </w:r>
          </w:p>
        </w:tc>
        <w:tc>
          <w:tcPr>
            <w:tcW w:w="1217" w:type="dxa"/>
            <w:vAlign w:val="center"/>
          </w:tcPr>
          <w:p>
            <w:pPr>
              <w:jc w:val="center"/>
              <w:rPr>
                <w:sz w:val="24"/>
              </w:rPr>
            </w:pPr>
            <w:r>
              <w:rPr>
                <w:sz w:val="24"/>
              </w:rPr>
              <w:t>2600</w:t>
            </w:r>
          </w:p>
        </w:tc>
        <w:tc>
          <w:tcPr>
            <w:tcW w:w="1082" w:type="dxa"/>
            <w:vAlign w:val="center"/>
          </w:tcPr>
          <w:p>
            <w:pPr>
              <w:jc w:val="center"/>
              <w:rPr>
                <w:sz w:val="24"/>
              </w:rPr>
            </w:pPr>
            <w:r>
              <w:rPr>
                <w:sz w:val="24"/>
              </w:rPr>
              <w:t>3000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禽蛋产量</w:t>
            </w:r>
          </w:p>
        </w:tc>
        <w:tc>
          <w:tcPr>
            <w:tcW w:w="1082" w:type="dxa"/>
            <w:vAlign w:val="center"/>
          </w:tcPr>
          <w:p>
            <w:pPr>
              <w:jc w:val="center"/>
              <w:rPr>
                <w:sz w:val="24"/>
              </w:rPr>
            </w:pPr>
            <w:r>
              <w:rPr>
                <w:sz w:val="24"/>
              </w:rPr>
              <w:t>万吨</w:t>
            </w:r>
          </w:p>
        </w:tc>
        <w:tc>
          <w:tcPr>
            <w:tcW w:w="1217" w:type="dxa"/>
            <w:vAlign w:val="center"/>
          </w:tcPr>
          <w:p>
            <w:pPr>
              <w:jc w:val="center"/>
              <w:rPr>
                <w:sz w:val="24"/>
              </w:rPr>
            </w:pPr>
            <w:r>
              <w:rPr>
                <w:sz w:val="24"/>
              </w:rPr>
              <w:t>33.17</w:t>
            </w:r>
          </w:p>
        </w:tc>
        <w:tc>
          <w:tcPr>
            <w:tcW w:w="1082" w:type="dxa"/>
            <w:vAlign w:val="center"/>
          </w:tcPr>
          <w:p>
            <w:pPr>
              <w:jc w:val="center"/>
              <w:rPr>
                <w:sz w:val="24"/>
              </w:rPr>
            </w:pPr>
            <w:r>
              <w:rPr>
                <w:sz w:val="24"/>
              </w:rPr>
              <w:t>44.7</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湖羊存栏</w:t>
            </w:r>
          </w:p>
        </w:tc>
        <w:tc>
          <w:tcPr>
            <w:tcW w:w="1082" w:type="dxa"/>
            <w:vAlign w:val="center"/>
          </w:tcPr>
          <w:p>
            <w:pPr>
              <w:jc w:val="center"/>
              <w:rPr>
                <w:sz w:val="24"/>
              </w:rPr>
            </w:pPr>
            <w:r>
              <w:rPr>
                <w:sz w:val="24"/>
              </w:rPr>
              <w:t>万只</w:t>
            </w:r>
          </w:p>
        </w:tc>
        <w:tc>
          <w:tcPr>
            <w:tcW w:w="1217" w:type="dxa"/>
            <w:vAlign w:val="center"/>
          </w:tcPr>
          <w:p>
            <w:pPr>
              <w:jc w:val="center"/>
              <w:rPr>
                <w:sz w:val="24"/>
              </w:rPr>
            </w:pPr>
            <w:r>
              <w:rPr>
                <w:sz w:val="24"/>
              </w:rPr>
              <w:t>114.82</w:t>
            </w:r>
          </w:p>
        </w:tc>
        <w:tc>
          <w:tcPr>
            <w:tcW w:w="1082" w:type="dxa"/>
            <w:vAlign w:val="center"/>
          </w:tcPr>
          <w:p>
            <w:pPr>
              <w:jc w:val="center"/>
              <w:rPr>
                <w:sz w:val="24"/>
              </w:rPr>
            </w:pPr>
            <w:r>
              <w:rPr>
                <w:sz w:val="24"/>
              </w:rPr>
              <w:t>136.5</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蜜蜂饲养量</w:t>
            </w:r>
          </w:p>
        </w:tc>
        <w:tc>
          <w:tcPr>
            <w:tcW w:w="1082" w:type="dxa"/>
            <w:vAlign w:val="center"/>
          </w:tcPr>
          <w:p>
            <w:pPr>
              <w:jc w:val="center"/>
              <w:rPr>
                <w:sz w:val="24"/>
              </w:rPr>
            </w:pPr>
            <w:r>
              <w:rPr>
                <w:sz w:val="24"/>
              </w:rPr>
              <w:t>万箱</w:t>
            </w:r>
          </w:p>
        </w:tc>
        <w:tc>
          <w:tcPr>
            <w:tcW w:w="1217" w:type="dxa"/>
            <w:vAlign w:val="center"/>
          </w:tcPr>
          <w:p>
            <w:pPr>
              <w:jc w:val="center"/>
              <w:rPr>
                <w:sz w:val="24"/>
              </w:rPr>
            </w:pPr>
            <w:r>
              <w:rPr>
                <w:sz w:val="24"/>
              </w:rPr>
              <w:t>153</w:t>
            </w:r>
          </w:p>
        </w:tc>
        <w:tc>
          <w:tcPr>
            <w:tcW w:w="1082" w:type="dxa"/>
            <w:vAlign w:val="center"/>
          </w:tcPr>
          <w:p>
            <w:pPr>
              <w:jc w:val="center"/>
              <w:rPr>
                <w:sz w:val="24"/>
              </w:rPr>
            </w:pPr>
            <w:r>
              <w:rPr>
                <w:sz w:val="24"/>
              </w:rPr>
              <w:t>150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省级美丽牧场</w:t>
            </w:r>
          </w:p>
        </w:tc>
        <w:tc>
          <w:tcPr>
            <w:tcW w:w="1082" w:type="dxa"/>
            <w:vAlign w:val="center"/>
          </w:tcPr>
          <w:p>
            <w:pPr>
              <w:jc w:val="center"/>
              <w:rPr>
                <w:sz w:val="24"/>
              </w:rPr>
            </w:pPr>
            <w:r>
              <w:rPr>
                <w:sz w:val="24"/>
              </w:rPr>
              <w:t>家</w:t>
            </w:r>
          </w:p>
        </w:tc>
        <w:tc>
          <w:tcPr>
            <w:tcW w:w="1217" w:type="dxa"/>
            <w:vAlign w:val="center"/>
          </w:tcPr>
          <w:p>
            <w:pPr>
              <w:jc w:val="center"/>
              <w:rPr>
                <w:sz w:val="24"/>
              </w:rPr>
            </w:pPr>
            <w:r>
              <w:rPr>
                <w:sz w:val="24"/>
              </w:rPr>
              <w:t>1321</w:t>
            </w:r>
          </w:p>
        </w:tc>
        <w:tc>
          <w:tcPr>
            <w:tcW w:w="1082" w:type="dxa"/>
            <w:vAlign w:val="center"/>
          </w:tcPr>
          <w:p>
            <w:pPr>
              <w:jc w:val="center"/>
              <w:rPr>
                <w:sz w:val="24"/>
              </w:rPr>
            </w:pPr>
            <w:r>
              <w:rPr>
                <w:sz w:val="24"/>
              </w:rPr>
              <w:t>1500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畜禽养殖标准化示范场</w:t>
            </w:r>
          </w:p>
        </w:tc>
        <w:tc>
          <w:tcPr>
            <w:tcW w:w="1082" w:type="dxa"/>
            <w:vAlign w:val="center"/>
          </w:tcPr>
          <w:p>
            <w:pPr>
              <w:jc w:val="center"/>
              <w:rPr>
                <w:sz w:val="24"/>
              </w:rPr>
            </w:pPr>
            <w:r>
              <w:rPr>
                <w:sz w:val="24"/>
              </w:rPr>
              <w:t>家</w:t>
            </w:r>
          </w:p>
        </w:tc>
        <w:tc>
          <w:tcPr>
            <w:tcW w:w="1217" w:type="dxa"/>
            <w:vAlign w:val="center"/>
          </w:tcPr>
          <w:p>
            <w:pPr>
              <w:jc w:val="center"/>
              <w:rPr>
                <w:sz w:val="24"/>
              </w:rPr>
            </w:pPr>
            <w:r>
              <w:rPr>
                <w:sz w:val="24"/>
              </w:rPr>
              <w:t>12</w:t>
            </w:r>
          </w:p>
        </w:tc>
        <w:tc>
          <w:tcPr>
            <w:tcW w:w="1082" w:type="dxa"/>
            <w:vAlign w:val="center"/>
          </w:tcPr>
          <w:p>
            <w:pPr>
              <w:jc w:val="center"/>
              <w:rPr>
                <w:sz w:val="24"/>
              </w:rPr>
            </w:pPr>
            <w:r>
              <w:rPr>
                <w:sz w:val="24"/>
              </w:rPr>
              <w:t>20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产值超10亿元全产业链</w:t>
            </w:r>
          </w:p>
        </w:tc>
        <w:tc>
          <w:tcPr>
            <w:tcW w:w="1082" w:type="dxa"/>
            <w:vAlign w:val="center"/>
          </w:tcPr>
          <w:p>
            <w:pPr>
              <w:jc w:val="center"/>
              <w:rPr>
                <w:sz w:val="24"/>
              </w:rPr>
            </w:pPr>
            <w:r>
              <w:rPr>
                <w:sz w:val="24"/>
              </w:rPr>
              <w:t>条</w:t>
            </w:r>
          </w:p>
        </w:tc>
        <w:tc>
          <w:tcPr>
            <w:tcW w:w="1217" w:type="dxa"/>
            <w:vAlign w:val="center"/>
          </w:tcPr>
          <w:p>
            <w:pPr>
              <w:jc w:val="center"/>
              <w:rPr>
                <w:sz w:val="24"/>
              </w:rPr>
            </w:pPr>
            <w:r>
              <w:rPr>
                <w:sz w:val="24"/>
              </w:rPr>
              <w:t>6</w:t>
            </w:r>
          </w:p>
        </w:tc>
        <w:tc>
          <w:tcPr>
            <w:tcW w:w="1082" w:type="dxa"/>
            <w:vAlign w:val="center"/>
          </w:tcPr>
          <w:p>
            <w:pPr>
              <w:jc w:val="center"/>
              <w:rPr>
                <w:sz w:val="24"/>
              </w:rPr>
            </w:pPr>
            <w:r>
              <w:rPr>
                <w:sz w:val="24"/>
              </w:rPr>
              <w:t>10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区域性知名品牌</w:t>
            </w:r>
          </w:p>
        </w:tc>
        <w:tc>
          <w:tcPr>
            <w:tcW w:w="1082" w:type="dxa"/>
            <w:vAlign w:val="center"/>
          </w:tcPr>
          <w:p>
            <w:pPr>
              <w:jc w:val="center"/>
              <w:rPr>
                <w:sz w:val="24"/>
              </w:rPr>
            </w:pPr>
            <w:r>
              <w:rPr>
                <w:sz w:val="24"/>
              </w:rPr>
              <w:t>个</w:t>
            </w:r>
          </w:p>
        </w:tc>
        <w:tc>
          <w:tcPr>
            <w:tcW w:w="1217" w:type="dxa"/>
            <w:vAlign w:val="center"/>
          </w:tcPr>
          <w:p>
            <w:pPr>
              <w:jc w:val="center"/>
              <w:rPr>
                <w:sz w:val="24"/>
              </w:rPr>
            </w:pPr>
            <w:r>
              <w:rPr>
                <w:sz w:val="24"/>
              </w:rPr>
              <w:t>20</w:t>
            </w:r>
          </w:p>
        </w:tc>
        <w:tc>
          <w:tcPr>
            <w:tcW w:w="1082" w:type="dxa"/>
            <w:vAlign w:val="center"/>
          </w:tcPr>
          <w:p>
            <w:pPr>
              <w:jc w:val="center"/>
              <w:rPr>
                <w:sz w:val="24"/>
              </w:rPr>
            </w:pPr>
            <w:r>
              <w:rPr>
                <w:sz w:val="24"/>
              </w:rPr>
              <w:t>30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省级以上休闲观光牧场</w:t>
            </w:r>
          </w:p>
        </w:tc>
        <w:tc>
          <w:tcPr>
            <w:tcW w:w="1082" w:type="dxa"/>
            <w:vAlign w:val="center"/>
          </w:tcPr>
          <w:p>
            <w:pPr>
              <w:jc w:val="center"/>
              <w:rPr>
                <w:sz w:val="24"/>
              </w:rPr>
            </w:pPr>
            <w:r>
              <w:rPr>
                <w:sz w:val="24"/>
              </w:rPr>
              <w:t>家</w:t>
            </w:r>
          </w:p>
        </w:tc>
        <w:tc>
          <w:tcPr>
            <w:tcW w:w="1217" w:type="dxa"/>
            <w:vAlign w:val="center"/>
          </w:tcPr>
          <w:p>
            <w:pPr>
              <w:jc w:val="center"/>
              <w:rPr>
                <w:sz w:val="24"/>
              </w:rPr>
            </w:pPr>
            <w:r>
              <w:rPr>
                <w:sz w:val="24"/>
              </w:rPr>
              <w:t>5</w:t>
            </w:r>
          </w:p>
        </w:tc>
        <w:tc>
          <w:tcPr>
            <w:tcW w:w="1082" w:type="dxa"/>
            <w:vAlign w:val="center"/>
          </w:tcPr>
          <w:p>
            <w:pPr>
              <w:jc w:val="center"/>
              <w:rPr>
                <w:sz w:val="24"/>
              </w:rPr>
            </w:pPr>
            <w:r>
              <w:rPr>
                <w:sz w:val="24"/>
              </w:rPr>
              <w:t>30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主要畜禽品种规模化率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86</w:t>
            </w:r>
          </w:p>
        </w:tc>
        <w:tc>
          <w:tcPr>
            <w:tcW w:w="1082" w:type="dxa"/>
            <w:vAlign w:val="center"/>
          </w:tcPr>
          <w:p>
            <w:pPr>
              <w:jc w:val="center"/>
              <w:rPr>
                <w:sz w:val="24"/>
              </w:rPr>
            </w:pPr>
            <w:r>
              <w:rPr>
                <w:sz w:val="24"/>
              </w:rPr>
              <w:t>90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745" w:type="dxa"/>
            <w:vMerge w:val="restart"/>
            <w:vAlign w:val="center"/>
          </w:tcPr>
          <w:p>
            <w:pPr>
              <w:jc w:val="center"/>
              <w:rPr>
                <w:sz w:val="24"/>
              </w:rPr>
            </w:pPr>
            <w:r>
              <w:rPr>
                <w:sz w:val="24"/>
              </w:rPr>
              <w:t>防疫体系</w:t>
            </w:r>
          </w:p>
        </w:tc>
        <w:tc>
          <w:tcPr>
            <w:tcW w:w="3671" w:type="dxa"/>
            <w:vAlign w:val="center"/>
          </w:tcPr>
          <w:p>
            <w:pPr>
              <w:rPr>
                <w:sz w:val="24"/>
              </w:rPr>
            </w:pPr>
            <w:r>
              <w:rPr>
                <w:sz w:val="24"/>
              </w:rPr>
              <w:t>强制免疫病种免疫密度</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90</w:t>
            </w:r>
          </w:p>
        </w:tc>
        <w:tc>
          <w:tcPr>
            <w:tcW w:w="1082" w:type="dxa"/>
            <w:vAlign w:val="center"/>
          </w:tcPr>
          <w:p>
            <w:pPr>
              <w:jc w:val="center"/>
              <w:rPr>
                <w:sz w:val="24"/>
              </w:rPr>
            </w:pPr>
            <w:r>
              <w:rPr>
                <w:sz w:val="24"/>
              </w:rPr>
              <w:t>90</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强制免疫病种抗体合格率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70</w:t>
            </w:r>
          </w:p>
        </w:tc>
        <w:tc>
          <w:tcPr>
            <w:tcW w:w="1082" w:type="dxa"/>
            <w:vAlign w:val="center"/>
          </w:tcPr>
          <w:p>
            <w:pPr>
              <w:jc w:val="center"/>
              <w:rPr>
                <w:sz w:val="24"/>
              </w:rPr>
            </w:pPr>
            <w:r>
              <w:rPr>
                <w:sz w:val="24"/>
              </w:rPr>
              <w:t>80</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病死畜禽专业无害化处理率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90</w:t>
            </w:r>
          </w:p>
        </w:tc>
        <w:tc>
          <w:tcPr>
            <w:tcW w:w="1082" w:type="dxa"/>
            <w:vAlign w:val="center"/>
          </w:tcPr>
          <w:p>
            <w:pPr>
              <w:jc w:val="center"/>
              <w:rPr>
                <w:sz w:val="24"/>
              </w:rPr>
            </w:pPr>
            <w:r>
              <w:rPr>
                <w:sz w:val="24"/>
              </w:rPr>
              <w:t>95</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具备非洲猪瘟等病原学检测能力县级兽医实验室比重</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75</w:t>
            </w:r>
          </w:p>
        </w:tc>
        <w:tc>
          <w:tcPr>
            <w:tcW w:w="1082" w:type="dxa"/>
            <w:vAlign w:val="center"/>
          </w:tcPr>
          <w:p>
            <w:pPr>
              <w:jc w:val="center"/>
              <w:rPr>
                <w:sz w:val="24"/>
              </w:rPr>
            </w:pPr>
            <w:r>
              <w:rPr>
                <w:sz w:val="24"/>
              </w:rPr>
              <w:t>95</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非洲猪瘟无疫小区</w:t>
            </w:r>
          </w:p>
        </w:tc>
        <w:tc>
          <w:tcPr>
            <w:tcW w:w="1082" w:type="dxa"/>
            <w:vAlign w:val="center"/>
          </w:tcPr>
          <w:p>
            <w:pPr>
              <w:jc w:val="center"/>
              <w:rPr>
                <w:sz w:val="24"/>
              </w:rPr>
            </w:pPr>
            <w:r>
              <w:rPr>
                <w:sz w:val="24"/>
              </w:rPr>
              <w:t>个</w:t>
            </w:r>
          </w:p>
        </w:tc>
        <w:tc>
          <w:tcPr>
            <w:tcW w:w="1217" w:type="dxa"/>
            <w:vAlign w:val="center"/>
          </w:tcPr>
          <w:p>
            <w:pPr>
              <w:jc w:val="center"/>
              <w:rPr>
                <w:sz w:val="24"/>
              </w:rPr>
            </w:pPr>
            <w:r>
              <w:rPr>
                <w:sz w:val="24"/>
              </w:rPr>
              <w:t>2</w:t>
            </w:r>
          </w:p>
        </w:tc>
        <w:tc>
          <w:tcPr>
            <w:tcW w:w="1082" w:type="dxa"/>
            <w:vAlign w:val="center"/>
          </w:tcPr>
          <w:p>
            <w:pPr>
              <w:jc w:val="center"/>
              <w:rPr>
                <w:sz w:val="24"/>
              </w:rPr>
            </w:pPr>
            <w:r>
              <w:rPr>
                <w:sz w:val="24"/>
              </w:rPr>
              <w:t>50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培育第三方兽医服务组织</w:t>
            </w:r>
          </w:p>
        </w:tc>
        <w:tc>
          <w:tcPr>
            <w:tcW w:w="1082" w:type="dxa"/>
            <w:vAlign w:val="center"/>
          </w:tcPr>
          <w:p>
            <w:pPr>
              <w:jc w:val="center"/>
              <w:rPr>
                <w:sz w:val="24"/>
              </w:rPr>
            </w:pPr>
            <w:r>
              <w:rPr>
                <w:sz w:val="24"/>
              </w:rPr>
              <w:t>家</w:t>
            </w:r>
          </w:p>
        </w:tc>
        <w:tc>
          <w:tcPr>
            <w:tcW w:w="1217" w:type="dxa"/>
            <w:vAlign w:val="center"/>
          </w:tcPr>
          <w:p>
            <w:pPr>
              <w:jc w:val="center"/>
              <w:rPr>
                <w:sz w:val="24"/>
              </w:rPr>
            </w:pPr>
            <w:r>
              <w:rPr>
                <w:sz w:val="24"/>
              </w:rPr>
              <w:t>20</w:t>
            </w:r>
          </w:p>
        </w:tc>
        <w:tc>
          <w:tcPr>
            <w:tcW w:w="1082" w:type="dxa"/>
            <w:vAlign w:val="center"/>
          </w:tcPr>
          <w:p>
            <w:pPr>
              <w:jc w:val="center"/>
              <w:rPr>
                <w:sz w:val="24"/>
              </w:rPr>
            </w:pPr>
            <w:r>
              <w:rPr>
                <w:sz w:val="24"/>
              </w:rPr>
              <w:t>100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restart"/>
            <w:vAlign w:val="center"/>
          </w:tcPr>
          <w:p>
            <w:pPr>
              <w:jc w:val="center"/>
              <w:rPr>
                <w:sz w:val="24"/>
              </w:rPr>
            </w:pPr>
            <w:r>
              <w:rPr>
                <w:sz w:val="24"/>
              </w:rPr>
              <w:t>产品体系</w:t>
            </w:r>
          </w:p>
        </w:tc>
        <w:tc>
          <w:tcPr>
            <w:tcW w:w="3671" w:type="dxa"/>
            <w:vAlign w:val="center"/>
          </w:tcPr>
          <w:p>
            <w:pPr>
              <w:rPr>
                <w:sz w:val="24"/>
              </w:rPr>
            </w:pPr>
            <w:r>
              <w:rPr>
                <w:sz w:val="24"/>
              </w:rPr>
              <w:t>兽用抗菌药减量化和饲料环保化试点场</w:t>
            </w:r>
          </w:p>
        </w:tc>
        <w:tc>
          <w:tcPr>
            <w:tcW w:w="1082" w:type="dxa"/>
            <w:vAlign w:val="center"/>
          </w:tcPr>
          <w:p>
            <w:pPr>
              <w:jc w:val="center"/>
              <w:rPr>
                <w:sz w:val="24"/>
              </w:rPr>
            </w:pPr>
            <w:r>
              <w:rPr>
                <w:sz w:val="24"/>
              </w:rPr>
              <w:t>个</w:t>
            </w:r>
          </w:p>
        </w:tc>
        <w:tc>
          <w:tcPr>
            <w:tcW w:w="1217" w:type="dxa"/>
            <w:vAlign w:val="center"/>
          </w:tcPr>
          <w:p>
            <w:pPr>
              <w:jc w:val="center"/>
              <w:rPr>
                <w:sz w:val="24"/>
              </w:rPr>
            </w:pPr>
            <w:r>
              <w:rPr>
                <w:sz w:val="24"/>
              </w:rPr>
              <w:t>/</w:t>
            </w:r>
          </w:p>
        </w:tc>
        <w:tc>
          <w:tcPr>
            <w:tcW w:w="1082" w:type="dxa"/>
            <w:vAlign w:val="center"/>
          </w:tcPr>
          <w:p>
            <w:pPr>
              <w:jc w:val="center"/>
              <w:rPr>
                <w:sz w:val="24"/>
              </w:rPr>
            </w:pPr>
            <w:r>
              <w:rPr>
                <w:sz w:val="24"/>
              </w:rPr>
              <w:t>1000</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主要畜产品抽检合格率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99</w:t>
            </w:r>
          </w:p>
        </w:tc>
        <w:tc>
          <w:tcPr>
            <w:tcW w:w="1082" w:type="dxa"/>
            <w:vAlign w:val="center"/>
          </w:tcPr>
          <w:p>
            <w:pPr>
              <w:jc w:val="center"/>
              <w:rPr>
                <w:sz w:val="24"/>
              </w:rPr>
            </w:pPr>
            <w:r>
              <w:rPr>
                <w:rFonts w:hint="eastAsia" w:ascii="方正书宋简体" w:eastAsia="方正书宋简体"/>
                <w:sz w:val="24"/>
              </w:rPr>
              <w:t>≥</w:t>
            </w:r>
            <w:r>
              <w:rPr>
                <w:sz w:val="24"/>
              </w:rPr>
              <w:t>99</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饲料兽药产品抽检合格率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93.8</w:t>
            </w:r>
          </w:p>
        </w:tc>
        <w:tc>
          <w:tcPr>
            <w:tcW w:w="1082" w:type="dxa"/>
            <w:vAlign w:val="center"/>
          </w:tcPr>
          <w:p>
            <w:pPr>
              <w:jc w:val="center"/>
              <w:rPr>
                <w:sz w:val="24"/>
              </w:rPr>
            </w:pPr>
            <w:r>
              <w:rPr>
                <w:rFonts w:hint="eastAsia" w:ascii="方正书宋简体" w:eastAsia="方正书宋简体"/>
                <w:sz w:val="24"/>
              </w:rPr>
              <w:t>≥</w:t>
            </w:r>
            <w:r>
              <w:rPr>
                <w:sz w:val="24"/>
              </w:rPr>
              <w:t>96</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屠宰企业数量</w:t>
            </w:r>
          </w:p>
        </w:tc>
        <w:tc>
          <w:tcPr>
            <w:tcW w:w="1082" w:type="dxa"/>
            <w:vAlign w:val="center"/>
          </w:tcPr>
          <w:p>
            <w:pPr>
              <w:jc w:val="center"/>
              <w:rPr>
                <w:sz w:val="24"/>
              </w:rPr>
            </w:pPr>
            <w:r>
              <w:rPr>
                <w:sz w:val="24"/>
              </w:rPr>
              <w:t>家</w:t>
            </w:r>
          </w:p>
        </w:tc>
        <w:tc>
          <w:tcPr>
            <w:tcW w:w="1217" w:type="dxa"/>
            <w:vAlign w:val="center"/>
          </w:tcPr>
          <w:p>
            <w:pPr>
              <w:jc w:val="center"/>
              <w:rPr>
                <w:sz w:val="24"/>
              </w:rPr>
            </w:pPr>
            <w:r>
              <w:rPr>
                <w:sz w:val="24"/>
              </w:rPr>
              <w:t>130</w:t>
            </w:r>
          </w:p>
        </w:tc>
        <w:tc>
          <w:tcPr>
            <w:tcW w:w="1082" w:type="dxa"/>
            <w:vAlign w:val="center"/>
          </w:tcPr>
          <w:p>
            <w:pPr>
              <w:jc w:val="center"/>
              <w:rPr>
                <w:sz w:val="24"/>
              </w:rPr>
            </w:pPr>
            <w:r>
              <w:rPr>
                <w:sz w:val="24"/>
              </w:rPr>
              <w:t>100</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屠宰企业自营率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32</w:t>
            </w:r>
          </w:p>
        </w:tc>
        <w:tc>
          <w:tcPr>
            <w:tcW w:w="1082" w:type="dxa"/>
            <w:vAlign w:val="center"/>
          </w:tcPr>
          <w:p>
            <w:pPr>
              <w:jc w:val="center"/>
              <w:rPr>
                <w:sz w:val="24"/>
              </w:rPr>
            </w:pPr>
            <w:r>
              <w:rPr>
                <w:sz w:val="24"/>
              </w:rPr>
              <w:t>40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省级以上生猪屠宰标准化企业</w:t>
            </w:r>
          </w:p>
        </w:tc>
        <w:tc>
          <w:tcPr>
            <w:tcW w:w="1082" w:type="dxa"/>
            <w:vAlign w:val="center"/>
          </w:tcPr>
          <w:p>
            <w:pPr>
              <w:jc w:val="center"/>
              <w:rPr>
                <w:sz w:val="24"/>
              </w:rPr>
            </w:pPr>
            <w:r>
              <w:rPr>
                <w:sz w:val="24"/>
              </w:rPr>
              <w:t>家</w:t>
            </w:r>
          </w:p>
        </w:tc>
        <w:tc>
          <w:tcPr>
            <w:tcW w:w="1217" w:type="dxa"/>
            <w:vAlign w:val="center"/>
          </w:tcPr>
          <w:p>
            <w:pPr>
              <w:jc w:val="center"/>
              <w:rPr>
                <w:sz w:val="24"/>
              </w:rPr>
            </w:pPr>
            <w:r>
              <w:rPr>
                <w:sz w:val="24"/>
              </w:rPr>
              <w:t>12</w:t>
            </w:r>
          </w:p>
        </w:tc>
        <w:tc>
          <w:tcPr>
            <w:tcW w:w="1082" w:type="dxa"/>
            <w:vAlign w:val="center"/>
          </w:tcPr>
          <w:p>
            <w:pPr>
              <w:jc w:val="center"/>
              <w:rPr>
                <w:sz w:val="24"/>
              </w:rPr>
            </w:pPr>
            <w:r>
              <w:rPr>
                <w:sz w:val="24"/>
              </w:rPr>
              <w:t>30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restart"/>
            <w:vAlign w:val="center"/>
          </w:tcPr>
          <w:p>
            <w:pPr>
              <w:jc w:val="center"/>
              <w:rPr>
                <w:sz w:val="24"/>
              </w:rPr>
            </w:pPr>
            <w:r>
              <w:rPr>
                <w:sz w:val="24"/>
              </w:rPr>
              <w:t>技术体系</w:t>
            </w:r>
          </w:p>
        </w:tc>
        <w:tc>
          <w:tcPr>
            <w:tcW w:w="3671" w:type="dxa"/>
            <w:vAlign w:val="center"/>
          </w:tcPr>
          <w:p>
            <w:pPr>
              <w:rPr>
                <w:sz w:val="24"/>
              </w:rPr>
            </w:pPr>
            <w:r>
              <w:rPr>
                <w:sz w:val="24"/>
              </w:rPr>
              <w:t>畜禽粪污资源化利用和无害化处理率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90</w:t>
            </w:r>
          </w:p>
        </w:tc>
        <w:tc>
          <w:tcPr>
            <w:tcW w:w="1082" w:type="dxa"/>
            <w:vAlign w:val="center"/>
          </w:tcPr>
          <w:p>
            <w:pPr>
              <w:jc w:val="center"/>
              <w:rPr>
                <w:sz w:val="24"/>
              </w:rPr>
            </w:pPr>
            <w:r>
              <w:rPr>
                <w:rFonts w:hint="eastAsia" w:ascii="方正书宋简体" w:eastAsia="方正书宋简体"/>
                <w:sz w:val="24"/>
              </w:rPr>
              <w:t>≥</w:t>
            </w:r>
            <w:r>
              <w:rPr>
                <w:sz w:val="24"/>
              </w:rPr>
              <w:t>92</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畜牧业机械化率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40</w:t>
            </w:r>
          </w:p>
        </w:tc>
        <w:tc>
          <w:tcPr>
            <w:tcW w:w="1082" w:type="dxa"/>
            <w:vAlign w:val="center"/>
          </w:tcPr>
          <w:p>
            <w:pPr>
              <w:jc w:val="center"/>
              <w:rPr>
                <w:sz w:val="24"/>
              </w:rPr>
            </w:pPr>
            <w:r>
              <w:rPr>
                <w:sz w:val="24"/>
              </w:rPr>
              <w:t>50</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万头猪场节水设备安装率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w:t>
            </w:r>
          </w:p>
        </w:tc>
        <w:tc>
          <w:tcPr>
            <w:tcW w:w="1082" w:type="dxa"/>
            <w:vAlign w:val="center"/>
          </w:tcPr>
          <w:p>
            <w:pPr>
              <w:jc w:val="center"/>
              <w:rPr>
                <w:sz w:val="24"/>
              </w:rPr>
            </w:pPr>
            <w:r>
              <w:rPr>
                <w:sz w:val="24"/>
              </w:rPr>
              <w:t>100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重点场所视频监控率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w:t>
            </w:r>
          </w:p>
        </w:tc>
        <w:tc>
          <w:tcPr>
            <w:tcW w:w="1082" w:type="dxa"/>
            <w:vAlign w:val="center"/>
          </w:tcPr>
          <w:p>
            <w:pPr>
              <w:jc w:val="center"/>
              <w:rPr>
                <w:sz w:val="24"/>
              </w:rPr>
            </w:pPr>
            <w:r>
              <w:rPr>
                <w:sz w:val="24"/>
              </w:rPr>
              <w:t>90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restart"/>
            <w:vAlign w:val="center"/>
          </w:tcPr>
          <w:p>
            <w:pPr>
              <w:jc w:val="center"/>
              <w:rPr>
                <w:sz w:val="24"/>
              </w:rPr>
            </w:pPr>
            <w:r>
              <w:rPr>
                <w:sz w:val="24"/>
              </w:rPr>
              <w:t>现代种业</w:t>
            </w:r>
          </w:p>
          <w:p>
            <w:pPr>
              <w:jc w:val="center"/>
              <w:rPr>
                <w:sz w:val="24"/>
              </w:rPr>
            </w:pPr>
            <w:r>
              <w:rPr>
                <w:sz w:val="24"/>
              </w:rPr>
              <w:t>体系</w:t>
            </w:r>
          </w:p>
        </w:tc>
        <w:tc>
          <w:tcPr>
            <w:tcW w:w="3671" w:type="dxa"/>
            <w:vAlign w:val="center"/>
          </w:tcPr>
          <w:p>
            <w:pPr>
              <w:rPr>
                <w:sz w:val="24"/>
              </w:rPr>
            </w:pPr>
            <w:r>
              <w:rPr>
                <w:sz w:val="24"/>
              </w:rPr>
              <w:t>培育核心种业企业</w:t>
            </w:r>
          </w:p>
        </w:tc>
        <w:tc>
          <w:tcPr>
            <w:tcW w:w="1082" w:type="dxa"/>
            <w:vAlign w:val="center"/>
          </w:tcPr>
          <w:p>
            <w:pPr>
              <w:jc w:val="center"/>
              <w:rPr>
                <w:sz w:val="24"/>
              </w:rPr>
            </w:pPr>
            <w:r>
              <w:rPr>
                <w:sz w:val="24"/>
              </w:rPr>
              <w:t>家</w:t>
            </w:r>
          </w:p>
        </w:tc>
        <w:tc>
          <w:tcPr>
            <w:tcW w:w="1217" w:type="dxa"/>
            <w:vAlign w:val="center"/>
          </w:tcPr>
          <w:p>
            <w:pPr>
              <w:jc w:val="center"/>
              <w:rPr>
                <w:sz w:val="24"/>
              </w:rPr>
            </w:pPr>
            <w:r>
              <w:rPr>
                <w:sz w:val="24"/>
              </w:rPr>
              <w:t>5</w:t>
            </w:r>
          </w:p>
        </w:tc>
        <w:tc>
          <w:tcPr>
            <w:tcW w:w="1082" w:type="dxa"/>
            <w:vAlign w:val="center"/>
          </w:tcPr>
          <w:p>
            <w:pPr>
              <w:jc w:val="center"/>
              <w:rPr>
                <w:sz w:val="24"/>
              </w:rPr>
            </w:pPr>
            <w:r>
              <w:rPr>
                <w:sz w:val="24"/>
              </w:rPr>
              <w:t>12</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培育新品种（配套系）</w:t>
            </w:r>
          </w:p>
        </w:tc>
        <w:tc>
          <w:tcPr>
            <w:tcW w:w="1082" w:type="dxa"/>
            <w:vAlign w:val="center"/>
          </w:tcPr>
          <w:p>
            <w:pPr>
              <w:jc w:val="center"/>
              <w:rPr>
                <w:sz w:val="24"/>
              </w:rPr>
            </w:pPr>
            <w:r>
              <w:rPr>
                <w:sz w:val="24"/>
              </w:rPr>
              <w:t>个</w:t>
            </w:r>
          </w:p>
        </w:tc>
        <w:tc>
          <w:tcPr>
            <w:tcW w:w="1217" w:type="dxa"/>
            <w:vAlign w:val="center"/>
          </w:tcPr>
          <w:p>
            <w:pPr>
              <w:jc w:val="center"/>
              <w:rPr>
                <w:sz w:val="24"/>
              </w:rPr>
            </w:pPr>
            <w:r>
              <w:rPr>
                <w:sz w:val="24"/>
              </w:rPr>
              <w:t>/</w:t>
            </w:r>
          </w:p>
        </w:tc>
        <w:tc>
          <w:tcPr>
            <w:tcW w:w="1082" w:type="dxa"/>
            <w:vAlign w:val="center"/>
          </w:tcPr>
          <w:p>
            <w:pPr>
              <w:jc w:val="center"/>
              <w:rPr>
                <w:sz w:val="24"/>
              </w:rPr>
            </w:pPr>
            <w:r>
              <w:rPr>
                <w:sz w:val="24"/>
              </w:rPr>
              <w:t>3-4</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新建省级以上保种场</w:t>
            </w:r>
          </w:p>
        </w:tc>
        <w:tc>
          <w:tcPr>
            <w:tcW w:w="1082" w:type="dxa"/>
            <w:vAlign w:val="center"/>
          </w:tcPr>
          <w:p>
            <w:pPr>
              <w:jc w:val="center"/>
              <w:rPr>
                <w:sz w:val="24"/>
              </w:rPr>
            </w:pPr>
            <w:r>
              <w:rPr>
                <w:sz w:val="24"/>
              </w:rPr>
              <w:t>个</w:t>
            </w:r>
          </w:p>
        </w:tc>
        <w:tc>
          <w:tcPr>
            <w:tcW w:w="1217" w:type="dxa"/>
            <w:vAlign w:val="center"/>
          </w:tcPr>
          <w:p>
            <w:pPr>
              <w:jc w:val="center"/>
              <w:rPr>
                <w:sz w:val="24"/>
              </w:rPr>
            </w:pPr>
            <w:r>
              <w:rPr>
                <w:sz w:val="24"/>
              </w:rPr>
              <w:t>/</w:t>
            </w:r>
          </w:p>
        </w:tc>
        <w:tc>
          <w:tcPr>
            <w:tcW w:w="1082" w:type="dxa"/>
            <w:vAlign w:val="center"/>
          </w:tcPr>
          <w:p>
            <w:pPr>
              <w:jc w:val="center"/>
              <w:rPr>
                <w:sz w:val="24"/>
              </w:rPr>
            </w:pPr>
            <w:r>
              <w:rPr>
                <w:sz w:val="24"/>
              </w:rPr>
              <w:t>5</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新建省级以上备份场</w:t>
            </w:r>
          </w:p>
        </w:tc>
        <w:tc>
          <w:tcPr>
            <w:tcW w:w="1082" w:type="dxa"/>
            <w:vAlign w:val="center"/>
          </w:tcPr>
          <w:p>
            <w:pPr>
              <w:jc w:val="center"/>
              <w:rPr>
                <w:sz w:val="24"/>
              </w:rPr>
            </w:pPr>
            <w:r>
              <w:rPr>
                <w:sz w:val="24"/>
              </w:rPr>
              <w:t>个</w:t>
            </w:r>
          </w:p>
        </w:tc>
        <w:tc>
          <w:tcPr>
            <w:tcW w:w="1217" w:type="dxa"/>
            <w:vAlign w:val="center"/>
          </w:tcPr>
          <w:p>
            <w:pPr>
              <w:jc w:val="center"/>
              <w:rPr>
                <w:sz w:val="24"/>
              </w:rPr>
            </w:pPr>
            <w:r>
              <w:rPr>
                <w:sz w:val="24"/>
              </w:rPr>
              <w:t>/</w:t>
            </w:r>
          </w:p>
        </w:tc>
        <w:tc>
          <w:tcPr>
            <w:tcW w:w="1082" w:type="dxa"/>
            <w:vAlign w:val="center"/>
          </w:tcPr>
          <w:p>
            <w:pPr>
              <w:jc w:val="center"/>
              <w:rPr>
                <w:sz w:val="24"/>
              </w:rPr>
            </w:pPr>
            <w:r>
              <w:rPr>
                <w:sz w:val="24"/>
              </w:rPr>
              <w:t>6</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全省种畜禽场</w:t>
            </w:r>
          </w:p>
        </w:tc>
        <w:tc>
          <w:tcPr>
            <w:tcW w:w="1082" w:type="dxa"/>
            <w:vAlign w:val="center"/>
          </w:tcPr>
          <w:p>
            <w:pPr>
              <w:jc w:val="center"/>
              <w:rPr>
                <w:sz w:val="24"/>
              </w:rPr>
            </w:pPr>
            <w:r>
              <w:rPr>
                <w:sz w:val="24"/>
              </w:rPr>
              <w:t>家</w:t>
            </w:r>
          </w:p>
        </w:tc>
        <w:tc>
          <w:tcPr>
            <w:tcW w:w="1217" w:type="dxa"/>
            <w:vAlign w:val="center"/>
          </w:tcPr>
          <w:p>
            <w:pPr>
              <w:jc w:val="center"/>
              <w:rPr>
                <w:sz w:val="24"/>
              </w:rPr>
            </w:pPr>
            <w:r>
              <w:rPr>
                <w:sz w:val="24"/>
              </w:rPr>
              <w:t>175</w:t>
            </w:r>
          </w:p>
        </w:tc>
        <w:tc>
          <w:tcPr>
            <w:tcW w:w="1082" w:type="dxa"/>
            <w:vAlign w:val="center"/>
          </w:tcPr>
          <w:p>
            <w:pPr>
              <w:jc w:val="center"/>
              <w:rPr>
                <w:sz w:val="24"/>
              </w:rPr>
            </w:pPr>
            <w:r>
              <w:rPr>
                <w:sz w:val="24"/>
              </w:rPr>
              <w:t>180</w:t>
            </w:r>
          </w:p>
        </w:tc>
        <w:tc>
          <w:tcPr>
            <w:tcW w:w="1048" w:type="dxa"/>
            <w:vAlign w:val="center"/>
          </w:tcPr>
          <w:p>
            <w:pPr>
              <w:jc w:val="center"/>
              <w:rPr>
                <w:sz w:val="24"/>
              </w:rPr>
            </w:pPr>
            <w:r>
              <w:rPr>
                <w:sz w:val="24"/>
              </w:rPr>
              <w:t>预期性</w:t>
            </w:r>
          </w:p>
        </w:tc>
      </w:tr>
    </w:tbl>
    <w:p>
      <w:pPr>
        <w:pStyle w:val="16"/>
        <w:spacing w:before="120" w:beforeLines="50" w:after="0" w:line="590" w:lineRule="exact"/>
        <w:ind w:firstLine="640" w:firstLineChars="200"/>
        <w:jc w:val="both"/>
        <w:rPr>
          <w:rFonts w:ascii="Times New Roman" w:hAnsi="Times New Roman" w:eastAsia="黑体"/>
          <w:b w:val="0"/>
          <w:bCs w:val="0"/>
        </w:rPr>
      </w:pPr>
      <w:bookmarkStart w:id="13" w:name="_Toc74061127"/>
      <w:r>
        <w:rPr>
          <w:rFonts w:ascii="Times New Roman" w:hAnsi="黑体" w:eastAsia="黑体"/>
          <w:b w:val="0"/>
          <w:bCs w:val="0"/>
        </w:rPr>
        <w:t>三、总体布局</w:t>
      </w:r>
      <w:bookmarkEnd w:id="13"/>
    </w:p>
    <w:p>
      <w:pPr>
        <w:spacing w:line="590" w:lineRule="exact"/>
        <w:ind w:firstLine="640" w:firstLineChars="200"/>
        <w:rPr>
          <w:szCs w:val="32"/>
        </w:rPr>
      </w:pPr>
      <w:r>
        <w:rPr>
          <w:szCs w:val="32"/>
        </w:rPr>
        <w:t>立足浙江自然资源禀赋和现有产业基础，结合人口结构变化和市场消费升级，以生猪、家禽、奶牛和地方特色畜禽等为重点，兼顾饲料兽药产业发展，不断优化区域布局和产品结构，满足人民群众对美好生活的需求。</w:t>
      </w:r>
    </w:p>
    <w:p>
      <w:pPr>
        <w:pStyle w:val="4"/>
        <w:keepNext w:val="0"/>
        <w:keepLines w:val="0"/>
        <w:numPr>
          <w:ilvl w:val="0"/>
          <w:numId w:val="0"/>
        </w:numPr>
        <w:spacing w:line="590" w:lineRule="exact"/>
        <w:ind w:left="640"/>
        <w:rPr>
          <w:rFonts w:ascii="Times New Roman" w:hAnsi="Times New Roman"/>
        </w:rPr>
      </w:pPr>
      <w:bookmarkStart w:id="14" w:name="_Toc74061128"/>
      <w:r>
        <w:rPr>
          <w:rFonts w:ascii="Times New Roman" w:hAnsi="楷体_GB2312"/>
        </w:rPr>
        <w:t>（一）生猪</w:t>
      </w:r>
      <w:bookmarkEnd w:id="14"/>
    </w:p>
    <w:p>
      <w:pPr>
        <w:spacing w:line="590" w:lineRule="exact"/>
        <w:ind w:firstLine="643" w:firstLineChars="200"/>
        <w:rPr>
          <w:rFonts w:eastAsia="黑体"/>
          <w:szCs w:val="32"/>
        </w:rPr>
      </w:pPr>
      <w:r>
        <w:rPr>
          <w:b/>
          <w:szCs w:val="32"/>
        </w:rPr>
        <w:t>主产区，</w:t>
      </w:r>
      <w:r>
        <w:rPr>
          <w:szCs w:val="32"/>
        </w:rPr>
        <w:t>包括</w:t>
      </w:r>
      <w:r>
        <w:rPr>
          <w:bCs/>
          <w:szCs w:val="32"/>
        </w:rPr>
        <w:t>杭州市萧山区、杭州市富阳区、杭州市临安区、淳安县、建德市、宁波市奉化区、余姚市、慈溪市、宁海县、象山县、乐清市、瑞安市、永嘉县、平阳县、苍南县、湖州市南浔区、长兴县、海盐县、桐乡市、绍兴市柯桥区、绍兴市上虞区、诸暨市、嵊州市、金华市婺城区、金华市金东区、兰溪市、义乌市、东阳市、浦江县、武义县、金华市经济开发区、衢州市衢江区、龙游县、江山市、舟山市定海区、台州市路桥区、临海市、温岭市、天台县、丽水市莲都区、青田县、缙云县等42个县（市、区）。其他为</w:t>
      </w:r>
      <w:r>
        <w:rPr>
          <w:b/>
          <w:szCs w:val="32"/>
        </w:rPr>
        <w:t>适度发展区</w:t>
      </w:r>
      <w:r>
        <w:rPr>
          <w:szCs w:val="32"/>
        </w:rPr>
        <w:t>。</w:t>
      </w:r>
    </w:p>
    <w:p>
      <w:pPr>
        <w:spacing w:before="240" w:beforeLines="100" w:after="240" w:afterLines="100" w:line="360" w:lineRule="exact"/>
        <w:jc w:val="center"/>
        <w:rPr>
          <w:rFonts w:eastAsia="黑体"/>
          <w:sz w:val="28"/>
          <w:szCs w:val="28"/>
        </w:rPr>
      </w:pPr>
      <w:r>
        <w:rPr>
          <w:rFonts w:eastAsia="黑体"/>
          <w:sz w:val="28"/>
          <w:szCs w:val="28"/>
        </w:rPr>
        <w:t xml:space="preserve">                   表2 </w:t>
      </w:r>
      <w:r>
        <w:rPr>
          <w:rFonts w:hint="eastAsia" w:eastAsia="黑体"/>
          <w:sz w:val="28"/>
          <w:szCs w:val="28"/>
        </w:rPr>
        <w:t xml:space="preserve"> </w:t>
      </w:r>
      <w:r>
        <w:rPr>
          <w:rFonts w:eastAsia="黑体"/>
          <w:sz w:val="28"/>
          <w:szCs w:val="28"/>
        </w:rPr>
        <w:t xml:space="preserve">生猪存栏目标任务            </w:t>
      </w:r>
      <w:r>
        <w:rPr>
          <w:rFonts w:hint="eastAsia" w:ascii="楷体_GB2312" w:eastAsia="楷体_GB2312"/>
          <w:sz w:val="24"/>
        </w:rPr>
        <w:t>单位：万头</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727"/>
        <w:gridCol w:w="2373"/>
        <w:gridCol w:w="2373"/>
        <w:gridCol w:w="23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tblHeader/>
          <w:jc w:val="center"/>
        </w:trPr>
        <w:tc>
          <w:tcPr>
            <w:tcW w:w="1727" w:type="dxa"/>
            <w:vAlign w:val="center"/>
          </w:tcPr>
          <w:p>
            <w:pPr>
              <w:jc w:val="center"/>
              <w:rPr>
                <w:rFonts w:eastAsia="黑体"/>
                <w:sz w:val="24"/>
              </w:rPr>
            </w:pPr>
            <w:r>
              <w:rPr>
                <w:rFonts w:hAnsi="黑体" w:eastAsia="黑体"/>
                <w:sz w:val="24"/>
              </w:rPr>
              <w:t>地</w:t>
            </w:r>
            <w:r>
              <w:rPr>
                <w:rFonts w:eastAsia="黑体"/>
                <w:sz w:val="24"/>
              </w:rPr>
              <w:t xml:space="preserve">  </w:t>
            </w:r>
            <w:r>
              <w:rPr>
                <w:rFonts w:hAnsi="黑体" w:eastAsia="黑体"/>
                <w:sz w:val="24"/>
              </w:rPr>
              <w:t>区</w:t>
            </w:r>
          </w:p>
        </w:tc>
        <w:tc>
          <w:tcPr>
            <w:tcW w:w="2373" w:type="dxa"/>
            <w:vAlign w:val="center"/>
          </w:tcPr>
          <w:p>
            <w:pPr>
              <w:jc w:val="center"/>
              <w:rPr>
                <w:rFonts w:eastAsia="黑体"/>
                <w:sz w:val="24"/>
              </w:rPr>
            </w:pPr>
            <w:r>
              <w:rPr>
                <w:rFonts w:eastAsia="黑体"/>
                <w:sz w:val="24"/>
              </w:rPr>
              <w:t>2020</w:t>
            </w:r>
            <w:r>
              <w:rPr>
                <w:rFonts w:hAnsi="黑体" w:eastAsia="黑体"/>
                <w:sz w:val="24"/>
              </w:rPr>
              <w:t>年</w:t>
            </w:r>
          </w:p>
        </w:tc>
        <w:tc>
          <w:tcPr>
            <w:tcW w:w="2373" w:type="dxa"/>
            <w:vAlign w:val="center"/>
          </w:tcPr>
          <w:p>
            <w:pPr>
              <w:jc w:val="center"/>
              <w:rPr>
                <w:rFonts w:eastAsia="黑体"/>
                <w:sz w:val="24"/>
              </w:rPr>
            </w:pPr>
            <w:r>
              <w:rPr>
                <w:rFonts w:eastAsia="黑体"/>
                <w:sz w:val="24"/>
              </w:rPr>
              <w:t>2022</w:t>
            </w:r>
            <w:r>
              <w:rPr>
                <w:rFonts w:hAnsi="黑体" w:eastAsia="黑体"/>
                <w:sz w:val="24"/>
              </w:rPr>
              <w:t>年</w:t>
            </w:r>
          </w:p>
        </w:tc>
        <w:tc>
          <w:tcPr>
            <w:tcW w:w="2372" w:type="dxa"/>
            <w:vAlign w:val="center"/>
          </w:tcPr>
          <w:p>
            <w:pPr>
              <w:jc w:val="center"/>
              <w:rPr>
                <w:rFonts w:eastAsia="黑体"/>
                <w:sz w:val="24"/>
              </w:rPr>
            </w:pPr>
            <w:r>
              <w:rPr>
                <w:rFonts w:eastAsia="黑体"/>
                <w:sz w:val="24"/>
              </w:rPr>
              <w:t>2025</w:t>
            </w:r>
            <w:r>
              <w:rPr>
                <w:rFonts w:hAnsi="黑体" w:eastAsia="黑体"/>
                <w:sz w:val="24"/>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shd w:val="clear" w:color="auto" w:fill="auto"/>
            <w:vAlign w:val="center"/>
          </w:tcPr>
          <w:p>
            <w:pPr>
              <w:jc w:val="center"/>
              <w:rPr>
                <w:sz w:val="24"/>
              </w:rPr>
            </w:pPr>
            <w:r>
              <w:rPr>
                <w:sz w:val="24"/>
              </w:rPr>
              <w:t>杭州市</w:t>
            </w:r>
          </w:p>
        </w:tc>
        <w:tc>
          <w:tcPr>
            <w:tcW w:w="2373" w:type="dxa"/>
            <w:shd w:val="clear" w:color="000000" w:fill="FFFFFF"/>
            <w:vAlign w:val="center"/>
          </w:tcPr>
          <w:p>
            <w:pPr>
              <w:jc w:val="center"/>
              <w:rPr>
                <w:sz w:val="24"/>
              </w:rPr>
            </w:pPr>
            <w:r>
              <w:rPr>
                <w:sz w:val="24"/>
              </w:rPr>
              <w:t>104.51</w:t>
            </w:r>
          </w:p>
        </w:tc>
        <w:tc>
          <w:tcPr>
            <w:tcW w:w="2373" w:type="dxa"/>
            <w:vAlign w:val="center"/>
          </w:tcPr>
          <w:p>
            <w:pPr>
              <w:jc w:val="center"/>
              <w:rPr>
                <w:sz w:val="24"/>
              </w:rPr>
            </w:pPr>
            <w:r>
              <w:rPr>
                <w:sz w:val="24"/>
              </w:rPr>
              <w:t>130</w:t>
            </w:r>
          </w:p>
        </w:tc>
        <w:tc>
          <w:tcPr>
            <w:tcW w:w="2372" w:type="dxa"/>
            <w:vAlign w:val="center"/>
          </w:tcPr>
          <w:p>
            <w:pPr>
              <w:jc w:val="center"/>
              <w:rPr>
                <w:sz w:val="24"/>
              </w:rPr>
            </w:pPr>
            <w:r>
              <w:rPr>
                <w:sz w:val="24"/>
              </w:rPr>
              <w:t>130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shd w:val="clear" w:color="auto" w:fill="auto"/>
            <w:vAlign w:val="center"/>
          </w:tcPr>
          <w:p>
            <w:pPr>
              <w:jc w:val="center"/>
              <w:rPr>
                <w:sz w:val="24"/>
              </w:rPr>
            </w:pPr>
            <w:r>
              <w:rPr>
                <w:sz w:val="24"/>
              </w:rPr>
              <w:t>宁波市</w:t>
            </w:r>
          </w:p>
        </w:tc>
        <w:tc>
          <w:tcPr>
            <w:tcW w:w="2373" w:type="dxa"/>
            <w:shd w:val="clear" w:color="000000" w:fill="FFFFFF"/>
            <w:vAlign w:val="center"/>
          </w:tcPr>
          <w:p>
            <w:pPr>
              <w:jc w:val="center"/>
              <w:rPr>
                <w:sz w:val="24"/>
              </w:rPr>
            </w:pPr>
            <w:r>
              <w:rPr>
                <w:sz w:val="24"/>
              </w:rPr>
              <w:t>61.14</w:t>
            </w:r>
          </w:p>
        </w:tc>
        <w:tc>
          <w:tcPr>
            <w:tcW w:w="2373" w:type="dxa"/>
            <w:vAlign w:val="center"/>
          </w:tcPr>
          <w:p>
            <w:pPr>
              <w:jc w:val="center"/>
              <w:rPr>
                <w:sz w:val="24"/>
              </w:rPr>
            </w:pPr>
            <w:r>
              <w:rPr>
                <w:sz w:val="24"/>
              </w:rPr>
              <w:t>83</w:t>
            </w:r>
          </w:p>
        </w:tc>
        <w:tc>
          <w:tcPr>
            <w:tcW w:w="2372" w:type="dxa"/>
            <w:vAlign w:val="center"/>
          </w:tcPr>
          <w:p>
            <w:pPr>
              <w:jc w:val="center"/>
              <w:rPr>
                <w:sz w:val="24"/>
              </w:rPr>
            </w:pPr>
            <w:r>
              <w:rPr>
                <w:sz w:val="24"/>
              </w:rPr>
              <w:t>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shd w:val="clear" w:color="auto" w:fill="auto"/>
            <w:vAlign w:val="center"/>
          </w:tcPr>
          <w:p>
            <w:pPr>
              <w:jc w:val="center"/>
              <w:rPr>
                <w:sz w:val="24"/>
              </w:rPr>
            </w:pPr>
            <w:r>
              <w:rPr>
                <w:sz w:val="24"/>
              </w:rPr>
              <w:t>温州市</w:t>
            </w:r>
          </w:p>
        </w:tc>
        <w:tc>
          <w:tcPr>
            <w:tcW w:w="2373" w:type="dxa"/>
            <w:shd w:val="clear" w:color="000000" w:fill="FFFFFF"/>
            <w:vAlign w:val="center"/>
          </w:tcPr>
          <w:p>
            <w:pPr>
              <w:jc w:val="center"/>
              <w:rPr>
                <w:sz w:val="24"/>
              </w:rPr>
            </w:pPr>
            <w:r>
              <w:rPr>
                <w:sz w:val="24"/>
              </w:rPr>
              <w:t>70.65</w:t>
            </w:r>
          </w:p>
        </w:tc>
        <w:tc>
          <w:tcPr>
            <w:tcW w:w="2373" w:type="dxa"/>
            <w:vAlign w:val="center"/>
          </w:tcPr>
          <w:p>
            <w:pPr>
              <w:jc w:val="center"/>
              <w:rPr>
                <w:sz w:val="24"/>
              </w:rPr>
            </w:pPr>
            <w:r>
              <w:rPr>
                <w:sz w:val="24"/>
              </w:rPr>
              <w:t>107</w:t>
            </w:r>
          </w:p>
        </w:tc>
        <w:tc>
          <w:tcPr>
            <w:tcW w:w="2372" w:type="dxa"/>
            <w:vAlign w:val="center"/>
          </w:tcPr>
          <w:p>
            <w:pPr>
              <w:jc w:val="center"/>
              <w:rPr>
                <w:sz w:val="24"/>
              </w:rPr>
            </w:pPr>
            <w:r>
              <w:rPr>
                <w:sz w:val="24"/>
              </w:rPr>
              <w:t>107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shd w:val="clear" w:color="auto" w:fill="auto"/>
            <w:vAlign w:val="center"/>
          </w:tcPr>
          <w:p>
            <w:pPr>
              <w:jc w:val="center"/>
              <w:rPr>
                <w:sz w:val="24"/>
              </w:rPr>
            </w:pPr>
            <w:r>
              <w:rPr>
                <w:sz w:val="24"/>
              </w:rPr>
              <w:t>湖州市</w:t>
            </w:r>
          </w:p>
        </w:tc>
        <w:tc>
          <w:tcPr>
            <w:tcW w:w="2373" w:type="dxa"/>
            <w:shd w:val="clear" w:color="000000" w:fill="FFFFFF"/>
            <w:vAlign w:val="center"/>
          </w:tcPr>
          <w:p>
            <w:pPr>
              <w:jc w:val="center"/>
              <w:rPr>
                <w:sz w:val="24"/>
              </w:rPr>
            </w:pPr>
            <w:r>
              <w:rPr>
                <w:sz w:val="24"/>
              </w:rPr>
              <w:t>28.41</w:t>
            </w:r>
          </w:p>
        </w:tc>
        <w:tc>
          <w:tcPr>
            <w:tcW w:w="2373" w:type="dxa"/>
            <w:vAlign w:val="center"/>
          </w:tcPr>
          <w:p>
            <w:pPr>
              <w:jc w:val="center"/>
              <w:rPr>
                <w:sz w:val="24"/>
              </w:rPr>
            </w:pPr>
            <w:r>
              <w:rPr>
                <w:sz w:val="24"/>
              </w:rPr>
              <w:t>35</w:t>
            </w:r>
          </w:p>
        </w:tc>
        <w:tc>
          <w:tcPr>
            <w:tcW w:w="2372" w:type="dxa"/>
            <w:vAlign w:val="center"/>
          </w:tcPr>
          <w:p>
            <w:pPr>
              <w:jc w:val="center"/>
              <w:rPr>
                <w:sz w:val="24"/>
              </w:rPr>
            </w:pPr>
            <w:r>
              <w:rPr>
                <w:sz w:val="24"/>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shd w:val="clear" w:color="auto" w:fill="auto"/>
            <w:vAlign w:val="center"/>
          </w:tcPr>
          <w:p>
            <w:pPr>
              <w:jc w:val="center"/>
              <w:rPr>
                <w:sz w:val="24"/>
              </w:rPr>
            </w:pPr>
            <w:r>
              <w:rPr>
                <w:sz w:val="24"/>
              </w:rPr>
              <w:t>嘉兴市</w:t>
            </w:r>
          </w:p>
        </w:tc>
        <w:tc>
          <w:tcPr>
            <w:tcW w:w="2373" w:type="dxa"/>
            <w:shd w:val="clear" w:color="000000" w:fill="FFFFFF"/>
            <w:vAlign w:val="center"/>
          </w:tcPr>
          <w:p>
            <w:pPr>
              <w:jc w:val="center"/>
              <w:rPr>
                <w:sz w:val="24"/>
              </w:rPr>
            </w:pPr>
            <w:r>
              <w:rPr>
                <w:sz w:val="24"/>
              </w:rPr>
              <w:t>27.21</w:t>
            </w:r>
          </w:p>
        </w:tc>
        <w:tc>
          <w:tcPr>
            <w:tcW w:w="2373" w:type="dxa"/>
            <w:vAlign w:val="center"/>
          </w:tcPr>
          <w:p>
            <w:pPr>
              <w:jc w:val="center"/>
              <w:rPr>
                <w:sz w:val="24"/>
              </w:rPr>
            </w:pPr>
            <w:r>
              <w:rPr>
                <w:sz w:val="24"/>
              </w:rPr>
              <w:t>42</w:t>
            </w:r>
          </w:p>
        </w:tc>
        <w:tc>
          <w:tcPr>
            <w:tcW w:w="2372" w:type="dxa"/>
            <w:vAlign w:val="center"/>
          </w:tcPr>
          <w:p>
            <w:pPr>
              <w:jc w:val="center"/>
              <w:rPr>
                <w:sz w:val="24"/>
              </w:rPr>
            </w:pPr>
            <w:r>
              <w:rPr>
                <w:sz w:val="24"/>
              </w:rPr>
              <w:t>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shd w:val="clear" w:color="auto" w:fill="auto"/>
            <w:vAlign w:val="center"/>
          </w:tcPr>
          <w:p>
            <w:pPr>
              <w:jc w:val="center"/>
              <w:rPr>
                <w:sz w:val="24"/>
              </w:rPr>
            </w:pPr>
            <w:r>
              <w:rPr>
                <w:sz w:val="24"/>
              </w:rPr>
              <w:t>绍兴市</w:t>
            </w:r>
          </w:p>
        </w:tc>
        <w:tc>
          <w:tcPr>
            <w:tcW w:w="2373" w:type="dxa"/>
            <w:shd w:val="clear" w:color="000000" w:fill="FFFFFF"/>
            <w:vAlign w:val="center"/>
          </w:tcPr>
          <w:p>
            <w:pPr>
              <w:jc w:val="center"/>
              <w:rPr>
                <w:sz w:val="24"/>
              </w:rPr>
            </w:pPr>
            <w:r>
              <w:rPr>
                <w:sz w:val="24"/>
              </w:rPr>
              <w:t>51.39</w:t>
            </w:r>
          </w:p>
        </w:tc>
        <w:tc>
          <w:tcPr>
            <w:tcW w:w="2373" w:type="dxa"/>
            <w:vAlign w:val="center"/>
          </w:tcPr>
          <w:p>
            <w:pPr>
              <w:jc w:val="center"/>
              <w:rPr>
                <w:sz w:val="24"/>
              </w:rPr>
            </w:pPr>
            <w:r>
              <w:rPr>
                <w:sz w:val="24"/>
              </w:rPr>
              <w:t>67</w:t>
            </w:r>
          </w:p>
        </w:tc>
        <w:tc>
          <w:tcPr>
            <w:tcW w:w="2372" w:type="dxa"/>
            <w:vAlign w:val="center"/>
          </w:tcPr>
          <w:p>
            <w:pPr>
              <w:jc w:val="center"/>
              <w:rPr>
                <w:sz w:val="24"/>
              </w:rPr>
            </w:pPr>
            <w:r>
              <w:rPr>
                <w:sz w:val="24"/>
              </w:rPr>
              <w:t>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shd w:val="clear" w:color="auto" w:fill="auto"/>
            <w:vAlign w:val="center"/>
          </w:tcPr>
          <w:p>
            <w:pPr>
              <w:jc w:val="center"/>
              <w:rPr>
                <w:sz w:val="24"/>
              </w:rPr>
            </w:pPr>
            <w:r>
              <w:rPr>
                <w:sz w:val="24"/>
              </w:rPr>
              <w:t>金华市</w:t>
            </w:r>
          </w:p>
        </w:tc>
        <w:tc>
          <w:tcPr>
            <w:tcW w:w="2373" w:type="dxa"/>
            <w:shd w:val="clear" w:color="000000" w:fill="FFFFFF"/>
            <w:vAlign w:val="center"/>
          </w:tcPr>
          <w:p>
            <w:pPr>
              <w:jc w:val="center"/>
              <w:rPr>
                <w:sz w:val="24"/>
              </w:rPr>
            </w:pPr>
            <w:r>
              <w:rPr>
                <w:sz w:val="24"/>
              </w:rPr>
              <w:t>93.72</w:t>
            </w:r>
          </w:p>
        </w:tc>
        <w:tc>
          <w:tcPr>
            <w:tcW w:w="2373" w:type="dxa"/>
            <w:vAlign w:val="center"/>
          </w:tcPr>
          <w:p>
            <w:pPr>
              <w:jc w:val="center"/>
              <w:rPr>
                <w:sz w:val="24"/>
              </w:rPr>
            </w:pPr>
            <w:r>
              <w:rPr>
                <w:sz w:val="24"/>
              </w:rPr>
              <w:t>96</w:t>
            </w:r>
          </w:p>
        </w:tc>
        <w:tc>
          <w:tcPr>
            <w:tcW w:w="2372" w:type="dxa"/>
            <w:vAlign w:val="center"/>
          </w:tcPr>
          <w:p>
            <w:pPr>
              <w:jc w:val="center"/>
              <w:rPr>
                <w:sz w:val="24"/>
              </w:rPr>
            </w:pPr>
            <w:r>
              <w:rPr>
                <w:sz w:val="24"/>
              </w:rPr>
              <w:t>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shd w:val="clear" w:color="auto" w:fill="auto"/>
            <w:vAlign w:val="center"/>
          </w:tcPr>
          <w:p>
            <w:pPr>
              <w:jc w:val="center"/>
              <w:rPr>
                <w:sz w:val="24"/>
              </w:rPr>
            </w:pPr>
            <w:r>
              <w:rPr>
                <w:sz w:val="24"/>
              </w:rPr>
              <w:t>衢州市</w:t>
            </w:r>
          </w:p>
        </w:tc>
        <w:tc>
          <w:tcPr>
            <w:tcW w:w="2373" w:type="dxa"/>
            <w:shd w:val="clear" w:color="000000" w:fill="FFFFFF"/>
            <w:vAlign w:val="center"/>
          </w:tcPr>
          <w:p>
            <w:pPr>
              <w:jc w:val="center"/>
              <w:rPr>
                <w:sz w:val="24"/>
              </w:rPr>
            </w:pPr>
            <w:r>
              <w:rPr>
                <w:sz w:val="24"/>
              </w:rPr>
              <w:t>92.73</w:t>
            </w:r>
          </w:p>
        </w:tc>
        <w:tc>
          <w:tcPr>
            <w:tcW w:w="2373" w:type="dxa"/>
            <w:vAlign w:val="center"/>
          </w:tcPr>
          <w:p>
            <w:pPr>
              <w:jc w:val="center"/>
              <w:rPr>
                <w:sz w:val="24"/>
              </w:rPr>
            </w:pPr>
            <w:r>
              <w:rPr>
                <w:sz w:val="24"/>
              </w:rPr>
              <w:t>100</w:t>
            </w:r>
          </w:p>
        </w:tc>
        <w:tc>
          <w:tcPr>
            <w:tcW w:w="2372" w:type="dxa"/>
            <w:vAlign w:val="center"/>
          </w:tcPr>
          <w:p>
            <w:pPr>
              <w:jc w:val="center"/>
              <w:rPr>
                <w:sz w:val="24"/>
              </w:rPr>
            </w:pPr>
            <w:r>
              <w:rPr>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shd w:val="clear" w:color="auto" w:fill="auto"/>
            <w:vAlign w:val="center"/>
          </w:tcPr>
          <w:p>
            <w:pPr>
              <w:jc w:val="center"/>
              <w:rPr>
                <w:sz w:val="24"/>
              </w:rPr>
            </w:pPr>
            <w:r>
              <w:rPr>
                <w:sz w:val="24"/>
              </w:rPr>
              <w:t>舟山市</w:t>
            </w:r>
          </w:p>
        </w:tc>
        <w:tc>
          <w:tcPr>
            <w:tcW w:w="2373" w:type="dxa"/>
            <w:shd w:val="clear" w:color="000000" w:fill="FFFFFF"/>
            <w:vAlign w:val="center"/>
          </w:tcPr>
          <w:p>
            <w:pPr>
              <w:jc w:val="center"/>
              <w:rPr>
                <w:sz w:val="24"/>
              </w:rPr>
            </w:pPr>
            <w:r>
              <w:rPr>
                <w:sz w:val="24"/>
              </w:rPr>
              <w:t>6.3</w:t>
            </w:r>
          </w:p>
        </w:tc>
        <w:tc>
          <w:tcPr>
            <w:tcW w:w="2373" w:type="dxa"/>
            <w:vAlign w:val="center"/>
          </w:tcPr>
          <w:p>
            <w:pPr>
              <w:jc w:val="center"/>
              <w:rPr>
                <w:sz w:val="24"/>
              </w:rPr>
            </w:pPr>
            <w:r>
              <w:rPr>
                <w:sz w:val="24"/>
              </w:rPr>
              <w:t>6</w:t>
            </w:r>
          </w:p>
        </w:tc>
        <w:tc>
          <w:tcPr>
            <w:tcW w:w="2372" w:type="dxa"/>
            <w:vAlign w:val="center"/>
          </w:tcPr>
          <w:p>
            <w:pPr>
              <w:jc w:val="center"/>
              <w:rPr>
                <w:sz w:val="24"/>
              </w:rPr>
            </w:pPr>
            <w:r>
              <w:rPr>
                <w:sz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shd w:val="clear" w:color="auto" w:fill="auto"/>
            <w:vAlign w:val="center"/>
          </w:tcPr>
          <w:p>
            <w:pPr>
              <w:jc w:val="center"/>
              <w:rPr>
                <w:sz w:val="24"/>
              </w:rPr>
            </w:pPr>
            <w:r>
              <w:rPr>
                <w:sz w:val="24"/>
              </w:rPr>
              <w:t>台州市</w:t>
            </w:r>
          </w:p>
        </w:tc>
        <w:tc>
          <w:tcPr>
            <w:tcW w:w="2373" w:type="dxa"/>
            <w:shd w:val="clear" w:color="000000" w:fill="FFFFFF"/>
            <w:vAlign w:val="center"/>
          </w:tcPr>
          <w:p>
            <w:pPr>
              <w:jc w:val="center"/>
              <w:rPr>
                <w:sz w:val="24"/>
              </w:rPr>
            </w:pPr>
            <w:r>
              <w:rPr>
                <w:sz w:val="24"/>
              </w:rPr>
              <w:t>47.39</w:t>
            </w:r>
          </w:p>
        </w:tc>
        <w:tc>
          <w:tcPr>
            <w:tcW w:w="2373" w:type="dxa"/>
            <w:vAlign w:val="center"/>
          </w:tcPr>
          <w:p>
            <w:pPr>
              <w:jc w:val="center"/>
              <w:rPr>
                <w:sz w:val="24"/>
              </w:rPr>
            </w:pPr>
            <w:r>
              <w:rPr>
                <w:sz w:val="24"/>
              </w:rPr>
              <w:t>72</w:t>
            </w:r>
          </w:p>
        </w:tc>
        <w:tc>
          <w:tcPr>
            <w:tcW w:w="2372" w:type="dxa"/>
            <w:vAlign w:val="center"/>
          </w:tcPr>
          <w:p>
            <w:pPr>
              <w:jc w:val="center"/>
              <w:rPr>
                <w:sz w:val="24"/>
              </w:rPr>
            </w:pPr>
            <w:r>
              <w:rPr>
                <w:sz w:val="24"/>
              </w:rPr>
              <w:t>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shd w:val="clear" w:color="auto" w:fill="auto"/>
            <w:vAlign w:val="center"/>
          </w:tcPr>
          <w:p>
            <w:pPr>
              <w:jc w:val="center"/>
              <w:rPr>
                <w:sz w:val="24"/>
              </w:rPr>
            </w:pPr>
            <w:r>
              <w:rPr>
                <w:sz w:val="24"/>
              </w:rPr>
              <w:t>丽水市</w:t>
            </w:r>
          </w:p>
        </w:tc>
        <w:tc>
          <w:tcPr>
            <w:tcW w:w="2373" w:type="dxa"/>
            <w:shd w:val="clear" w:color="000000" w:fill="FFFFFF"/>
            <w:vAlign w:val="center"/>
          </w:tcPr>
          <w:p>
            <w:pPr>
              <w:jc w:val="center"/>
              <w:rPr>
                <w:sz w:val="24"/>
              </w:rPr>
            </w:pPr>
            <w:r>
              <w:rPr>
                <w:sz w:val="24"/>
              </w:rPr>
              <w:t>44.13</w:t>
            </w:r>
          </w:p>
        </w:tc>
        <w:tc>
          <w:tcPr>
            <w:tcW w:w="2373" w:type="dxa"/>
            <w:vAlign w:val="center"/>
          </w:tcPr>
          <w:p>
            <w:pPr>
              <w:jc w:val="center"/>
              <w:rPr>
                <w:sz w:val="24"/>
              </w:rPr>
            </w:pPr>
            <w:r>
              <w:rPr>
                <w:sz w:val="24"/>
              </w:rPr>
              <w:t>40</w:t>
            </w:r>
          </w:p>
        </w:tc>
        <w:tc>
          <w:tcPr>
            <w:tcW w:w="2372" w:type="dxa"/>
            <w:vAlign w:val="center"/>
          </w:tcPr>
          <w:p>
            <w:pPr>
              <w:jc w:val="center"/>
              <w:rPr>
                <w:sz w:val="24"/>
              </w:rPr>
            </w:pPr>
            <w:r>
              <w:rPr>
                <w:sz w:val="24"/>
              </w:rPr>
              <w:t>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b/>
                <w:sz w:val="24"/>
              </w:rPr>
            </w:pPr>
            <w:r>
              <w:rPr>
                <w:b/>
                <w:sz w:val="24"/>
              </w:rPr>
              <w:t>合  计</w:t>
            </w:r>
          </w:p>
        </w:tc>
        <w:tc>
          <w:tcPr>
            <w:tcW w:w="2373" w:type="dxa"/>
            <w:vAlign w:val="center"/>
          </w:tcPr>
          <w:p>
            <w:pPr>
              <w:jc w:val="center"/>
              <w:rPr>
                <w:b/>
                <w:kern w:val="0"/>
                <w:sz w:val="24"/>
              </w:rPr>
            </w:pPr>
            <w:r>
              <w:rPr>
                <w:b/>
                <w:sz w:val="24"/>
              </w:rPr>
              <w:t>627.58</w:t>
            </w:r>
          </w:p>
        </w:tc>
        <w:tc>
          <w:tcPr>
            <w:tcW w:w="2373" w:type="dxa"/>
            <w:vAlign w:val="center"/>
          </w:tcPr>
          <w:p>
            <w:pPr>
              <w:jc w:val="center"/>
              <w:rPr>
                <w:b/>
                <w:sz w:val="24"/>
              </w:rPr>
            </w:pPr>
            <w:r>
              <w:rPr>
                <w:b/>
                <w:sz w:val="24"/>
              </w:rPr>
              <w:t>778</w:t>
            </w:r>
          </w:p>
        </w:tc>
        <w:tc>
          <w:tcPr>
            <w:tcW w:w="2372" w:type="dxa"/>
            <w:vAlign w:val="center"/>
          </w:tcPr>
          <w:p>
            <w:pPr>
              <w:jc w:val="center"/>
              <w:rPr>
                <w:b/>
                <w:sz w:val="24"/>
              </w:rPr>
            </w:pPr>
            <w:r>
              <w:rPr>
                <w:b/>
                <w:sz w:val="24"/>
              </w:rPr>
              <w:t>780</w:t>
            </w:r>
          </w:p>
        </w:tc>
      </w:tr>
    </w:tbl>
    <w:p>
      <w:pPr>
        <w:pStyle w:val="4"/>
        <w:keepNext w:val="0"/>
        <w:keepLines w:val="0"/>
        <w:numPr>
          <w:ilvl w:val="0"/>
          <w:numId w:val="0"/>
        </w:numPr>
        <w:spacing w:line="590" w:lineRule="exact"/>
        <w:ind w:left="640"/>
        <w:rPr>
          <w:rFonts w:ascii="Times New Roman" w:hAnsi="Times New Roman"/>
        </w:rPr>
      </w:pPr>
      <w:bookmarkStart w:id="15" w:name="_Toc74061129"/>
      <w:r>
        <w:rPr>
          <w:rFonts w:ascii="Times New Roman" w:hAnsi="楷体_GB2312"/>
        </w:rPr>
        <w:t>（二）家禽</w:t>
      </w:r>
      <w:bookmarkEnd w:id="15"/>
    </w:p>
    <w:p>
      <w:pPr>
        <w:spacing w:line="590" w:lineRule="exact"/>
        <w:ind w:firstLine="643" w:firstLineChars="200"/>
        <w:rPr>
          <w:szCs w:val="32"/>
        </w:rPr>
      </w:pPr>
      <w:r>
        <w:rPr>
          <w:b/>
          <w:szCs w:val="32"/>
        </w:rPr>
        <w:t>主产区，</w:t>
      </w:r>
      <w:r>
        <w:rPr>
          <w:szCs w:val="32"/>
        </w:rPr>
        <w:t>包括杭州市萧山区、杭州市余杭区、杭州市富阳区、建德市、慈溪市、宁海县、象山县、温州市鹿城区、乐清市、永嘉县、平阳县、湖州市吴兴区、湖州市南浔区、德清县、长兴县、海盐县、海宁市、桐乡</w:t>
      </w:r>
      <w:r>
        <w:rPr>
          <w:rFonts w:hint="eastAsia"/>
          <w:szCs w:val="32"/>
        </w:rPr>
        <w:t>市</w:t>
      </w:r>
      <w:r>
        <w:rPr>
          <w:szCs w:val="32"/>
        </w:rPr>
        <w:t>、嵊州市、兰溪市、义乌市、龙游县、江山市、常山县、临海市、温岭市、天台县、丽水市莲都区等28个县（市、区）。</w:t>
      </w:r>
      <w:r>
        <w:rPr>
          <w:bCs/>
          <w:szCs w:val="32"/>
        </w:rPr>
        <w:t>其他为</w:t>
      </w:r>
      <w:r>
        <w:rPr>
          <w:b/>
          <w:szCs w:val="32"/>
        </w:rPr>
        <w:t>适度发展区</w:t>
      </w:r>
      <w:r>
        <w:rPr>
          <w:szCs w:val="32"/>
        </w:rPr>
        <w:t>。</w:t>
      </w:r>
    </w:p>
    <w:p>
      <w:pPr>
        <w:spacing w:before="240" w:beforeLines="100" w:after="240" w:afterLines="100" w:line="360" w:lineRule="exact"/>
        <w:jc w:val="center"/>
        <w:rPr>
          <w:rFonts w:eastAsia="黑体"/>
          <w:sz w:val="28"/>
          <w:szCs w:val="28"/>
        </w:rPr>
      </w:pPr>
      <w:r>
        <w:rPr>
          <w:rFonts w:eastAsia="黑体"/>
          <w:sz w:val="28"/>
          <w:szCs w:val="28"/>
        </w:rPr>
        <w:t xml:space="preserve">                  表3 </w:t>
      </w:r>
      <w:r>
        <w:rPr>
          <w:rFonts w:hint="eastAsia" w:eastAsia="黑体"/>
          <w:sz w:val="28"/>
          <w:szCs w:val="28"/>
        </w:rPr>
        <w:t xml:space="preserve"> </w:t>
      </w:r>
      <w:r>
        <w:rPr>
          <w:rFonts w:eastAsia="黑体"/>
          <w:sz w:val="28"/>
          <w:szCs w:val="28"/>
        </w:rPr>
        <w:t xml:space="preserve">家禽出栏目标任务               </w:t>
      </w:r>
      <w:r>
        <w:rPr>
          <w:rFonts w:ascii="楷体_GB2312" w:eastAsia="楷体_GB2312"/>
          <w:sz w:val="24"/>
        </w:rPr>
        <w:t>单位：万只</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727"/>
        <w:gridCol w:w="2373"/>
        <w:gridCol w:w="2373"/>
        <w:gridCol w:w="23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tblHeader/>
          <w:jc w:val="center"/>
        </w:trPr>
        <w:tc>
          <w:tcPr>
            <w:tcW w:w="1727" w:type="dxa"/>
            <w:vAlign w:val="center"/>
          </w:tcPr>
          <w:p>
            <w:pPr>
              <w:jc w:val="center"/>
              <w:rPr>
                <w:rFonts w:eastAsia="黑体"/>
                <w:sz w:val="24"/>
              </w:rPr>
            </w:pPr>
            <w:r>
              <w:rPr>
                <w:rFonts w:hAnsi="黑体" w:eastAsia="黑体"/>
                <w:sz w:val="24"/>
              </w:rPr>
              <w:t>地</w:t>
            </w:r>
            <w:r>
              <w:rPr>
                <w:rFonts w:eastAsia="黑体"/>
                <w:sz w:val="24"/>
              </w:rPr>
              <w:t xml:space="preserve">  </w:t>
            </w:r>
            <w:r>
              <w:rPr>
                <w:rFonts w:hAnsi="黑体" w:eastAsia="黑体"/>
                <w:sz w:val="24"/>
              </w:rPr>
              <w:t>区</w:t>
            </w:r>
          </w:p>
        </w:tc>
        <w:tc>
          <w:tcPr>
            <w:tcW w:w="2373" w:type="dxa"/>
            <w:vAlign w:val="center"/>
          </w:tcPr>
          <w:p>
            <w:pPr>
              <w:jc w:val="center"/>
              <w:rPr>
                <w:rFonts w:eastAsia="黑体"/>
                <w:sz w:val="24"/>
              </w:rPr>
            </w:pPr>
            <w:r>
              <w:rPr>
                <w:rFonts w:eastAsia="黑体"/>
                <w:sz w:val="24"/>
              </w:rPr>
              <w:t>2020</w:t>
            </w:r>
            <w:r>
              <w:rPr>
                <w:rFonts w:hAnsi="黑体" w:eastAsia="黑体"/>
                <w:sz w:val="24"/>
              </w:rPr>
              <w:t>年</w:t>
            </w:r>
          </w:p>
        </w:tc>
        <w:tc>
          <w:tcPr>
            <w:tcW w:w="2373" w:type="dxa"/>
            <w:vAlign w:val="center"/>
          </w:tcPr>
          <w:p>
            <w:pPr>
              <w:jc w:val="center"/>
              <w:rPr>
                <w:rFonts w:eastAsia="黑体"/>
                <w:sz w:val="24"/>
              </w:rPr>
            </w:pPr>
            <w:r>
              <w:rPr>
                <w:rFonts w:eastAsia="黑体"/>
                <w:sz w:val="24"/>
              </w:rPr>
              <w:t>2022</w:t>
            </w:r>
            <w:r>
              <w:rPr>
                <w:rFonts w:hAnsi="黑体" w:eastAsia="黑体"/>
                <w:sz w:val="24"/>
              </w:rPr>
              <w:t>年</w:t>
            </w:r>
          </w:p>
        </w:tc>
        <w:tc>
          <w:tcPr>
            <w:tcW w:w="2372" w:type="dxa"/>
            <w:vAlign w:val="center"/>
          </w:tcPr>
          <w:p>
            <w:pPr>
              <w:jc w:val="center"/>
              <w:rPr>
                <w:rFonts w:eastAsia="黑体"/>
                <w:sz w:val="24"/>
              </w:rPr>
            </w:pPr>
            <w:r>
              <w:rPr>
                <w:rFonts w:eastAsia="黑体"/>
                <w:sz w:val="24"/>
              </w:rPr>
              <w:t>2025</w:t>
            </w:r>
            <w:r>
              <w:rPr>
                <w:rFonts w:hAnsi="黑体" w:eastAsia="黑体"/>
                <w:sz w:val="24"/>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杭州市</w:t>
            </w:r>
          </w:p>
        </w:tc>
        <w:tc>
          <w:tcPr>
            <w:tcW w:w="2373" w:type="dxa"/>
            <w:vAlign w:val="center"/>
          </w:tcPr>
          <w:p>
            <w:pPr>
              <w:jc w:val="center"/>
              <w:rPr>
                <w:sz w:val="24"/>
              </w:rPr>
            </w:pPr>
            <w:r>
              <w:rPr>
                <w:sz w:val="24"/>
              </w:rPr>
              <w:t>1546.63</w:t>
            </w:r>
          </w:p>
        </w:tc>
        <w:tc>
          <w:tcPr>
            <w:tcW w:w="2373" w:type="dxa"/>
            <w:vAlign w:val="center"/>
          </w:tcPr>
          <w:p>
            <w:pPr>
              <w:jc w:val="center"/>
              <w:rPr>
                <w:sz w:val="24"/>
              </w:rPr>
            </w:pPr>
            <w:r>
              <w:rPr>
                <w:sz w:val="24"/>
              </w:rPr>
              <w:t>1840</w:t>
            </w:r>
          </w:p>
        </w:tc>
        <w:tc>
          <w:tcPr>
            <w:tcW w:w="2372" w:type="dxa"/>
            <w:vAlign w:val="center"/>
          </w:tcPr>
          <w:p>
            <w:pPr>
              <w:jc w:val="center"/>
              <w:rPr>
                <w:sz w:val="24"/>
              </w:rPr>
            </w:pPr>
            <w:r>
              <w:rPr>
                <w:sz w:val="24"/>
              </w:rPr>
              <w:t>1900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宁波市</w:t>
            </w:r>
          </w:p>
        </w:tc>
        <w:tc>
          <w:tcPr>
            <w:tcW w:w="2373" w:type="dxa"/>
            <w:vAlign w:val="center"/>
          </w:tcPr>
          <w:p>
            <w:pPr>
              <w:jc w:val="center"/>
              <w:rPr>
                <w:sz w:val="24"/>
              </w:rPr>
            </w:pPr>
            <w:r>
              <w:rPr>
                <w:sz w:val="24"/>
              </w:rPr>
              <w:t>781.1</w:t>
            </w:r>
          </w:p>
        </w:tc>
        <w:tc>
          <w:tcPr>
            <w:tcW w:w="2373" w:type="dxa"/>
            <w:vAlign w:val="center"/>
          </w:tcPr>
          <w:p>
            <w:pPr>
              <w:jc w:val="center"/>
              <w:rPr>
                <w:sz w:val="24"/>
              </w:rPr>
            </w:pPr>
            <w:r>
              <w:rPr>
                <w:sz w:val="24"/>
              </w:rPr>
              <w:t>680</w:t>
            </w:r>
          </w:p>
        </w:tc>
        <w:tc>
          <w:tcPr>
            <w:tcW w:w="2372" w:type="dxa"/>
            <w:vAlign w:val="center"/>
          </w:tcPr>
          <w:p>
            <w:pPr>
              <w:jc w:val="center"/>
              <w:rPr>
                <w:sz w:val="24"/>
              </w:rPr>
            </w:pPr>
            <w:r>
              <w:rPr>
                <w:sz w:val="24"/>
              </w:rPr>
              <w:t>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温州市</w:t>
            </w:r>
          </w:p>
        </w:tc>
        <w:tc>
          <w:tcPr>
            <w:tcW w:w="2373" w:type="dxa"/>
            <w:vAlign w:val="center"/>
          </w:tcPr>
          <w:p>
            <w:pPr>
              <w:jc w:val="center"/>
              <w:rPr>
                <w:sz w:val="24"/>
              </w:rPr>
            </w:pPr>
            <w:r>
              <w:rPr>
                <w:sz w:val="24"/>
              </w:rPr>
              <w:t>2146.01</w:t>
            </w:r>
          </w:p>
        </w:tc>
        <w:tc>
          <w:tcPr>
            <w:tcW w:w="2373" w:type="dxa"/>
            <w:vAlign w:val="center"/>
          </w:tcPr>
          <w:p>
            <w:pPr>
              <w:jc w:val="center"/>
              <w:rPr>
                <w:sz w:val="24"/>
              </w:rPr>
            </w:pPr>
            <w:r>
              <w:rPr>
                <w:sz w:val="24"/>
              </w:rPr>
              <w:t>2450</w:t>
            </w:r>
          </w:p>
        </w:tc>
        <w:tc>
          <w:tcPr>
            <w:tcW w:w="2372" w:type="dxa"/>
            <w:vAlign w:val="center"/>
          </w:tcPr>
          <w:p>
            <w:pPr>
              <w:jc w:val="center"/>
              <w:rPr>
                <w:sz w:val="24"/>
              </w:rPr>
            </w:pPr>
            <w:r>
              <w:rPr>
                <w:sz w:val="24"/>
              </w:rPr>
              <w:t>2500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湖州市</w:t>
            </w:r>
          </w:p>
        </w:tc>
        <w:tc>
          <w:tcPr>
            <w:tcW w:w="2373" w:type="dxa"/>
            <w:vAlign w:val="center"/>
          </w:tcPr>
          <w:p>
            <w:pPr>
              <w:jc w:val="center"/>
              <w:rPr>
                <w:sz w:val="24"/>
              </w:rPr>
            </w:pPr>
            <w:r>
              <w:rPr>
                <w:sz w:val="24"/>
              </w:rPr>
              <w:t>2628.95</w:t>
            </w:r>
          </w:p>
        </w:tc>
        <w:tc>
          <w:tcPr>
            <w:tcW w:w="2373" w:type="dxa"/>
            <w:vAlign w:val="center"/>
          </w:tcPr>
          <w:p>
            <w:pPr>
              <w:jc w:val="center"/>
              <w:rPr>
                <w:sz w:val="24"/>
              </w:rPr>
            </w:pPr>
            <w:r>
              <w:rPr>
                <w:sz w:val="24"/>
              </w:rPr>
              <w:t>2580</w:t>
            </w:r>
          </w:p>
        </w:tc>
        <w:tc>
          <w:tcPr>
            <w:tcW w:w="2372" w:type="dxa"/>
            <w:vAlign w:val="center"/>
          </w:tcPr>
          <w:p>
            <w:pPr>
              <w:jc w:val="center"/>
              <w:rPr>
                <w:sz w:val="24"/>
              </w:rPr>
            </w:pPr>
            <w:r>
              <w:rPr>
                <w:sz w:val="24"/>
              </w:rPr>
              <w:t>2600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嘉兴市</w:t>
            </w:r>
          </w:p>
        </w:tc>
        <w:tc>
          <w:tcPr>
            <w:tcW w:w="2373" w:type="dxa"/>
            <w:vAlign w:val="center"/>
          </w:tcPr>
          <w:p>
            <w:pPr>
              <w:jc w:val="center"/>
              <w:rPr>
                <w:sz w:val="24"/>
              </w:rPr>
            </w:pPr>
            <w:r>
              <w:rPr>
                <w:sz w:val="24"/>
              </w:rPr>
              <w:t>3417.14</w:t>
            </w:r>
          </w:p>
        </w:tc>
        <w:tc>
          <w:tcPr>
            <w:tcW w:w="2373" w:type="dxa"/>
            <w:vAlign w:val="center"/>
          </w:tcPr>
          <w:p>
            <w:pPr>
              <w:jc w:val="center"/>
              <w:rPr>
                <w:sz w:val="24"/>
              </w:rPr>
            </w:pPr>
            <w:r>
              <w:rPr>
                <w:sz w:val="24"/>
              </w:rPr>
              <w:t>3050</w:t>
            </w:r>
          </w:p>
        </w:tc>
        <w:tc>
          <w:tcPr>
            <w:tcW w:w="2372" w:type="dxa"/>
            <w:vAlign w:val="center"/>
          </w:tcPr>
          <w:p>
            <w:pPr>
              <w:jc w:val="center"/>
              <w:rPr>
                <w:sz w:val="24"/>
              </w:rPr>
            </w:pPr>
            <w:r>
              <w:rPr>
                <w:sz w:val="24"/>
              </w:rPr>
              <w:t>3150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绍兴市</w:t>
            </w:r>
          </w:p>
        </w:tc>
        <w:tc>
          <w:tcPr>
            <w:tcW w:w="2373" w:type="dxa"/>
            <w:vAlign w:val="center"/>
          </w:tcPr>
          <w:p>
            <w:pPr>
              <w:jc w:val="center"/>
              <w:rPr>
                <w:sz w:val="24"/>
              </w:rPr>
            </w:pPr>
            <w:r>
              <w:rPr>
                <w:sz w:val="24"/>
              </w:rPr>
              <w:t>1414.76</w:t>
            </w:r>
          </w:p>
        </w:tc>
        <w:tc>
          <w:tcPr>
            <w:tcW w:w="2373" w:type="dxa"/>
            <w:vAlign w:val="center"/>
          </w:tcPr>
          <w:p>
            <w:pPr>
              <w:jc w:val="center"/>
              <w:rPr>
                <w:sz w:val="24"/>
              </w:rPr>
            </w:pPr>
            <w:r>
              <w:rPr>
                <w:sz w:val="24"/>
              </w:rPr>
              <w:t>1558</w:t>
            </w:r>
          </w:p>
        </w:tc>
        <w:tc>
          <w:tcPr>
            <w:tcW w:w="2372" w:type="dxa"/>
            <w:vAlign w:val="center"/>
          </w:tcPr>
          <w:p>
            <w:pPr>
              <w:jc w:val="center"/>
              <w:rPr>
                <w:sz w:val="24"/>
              </w:rPr>
            </w:pPr>
            <w:r>
              <w:rPr>
                <w:sz w:val="24"/>
              </w:rPr>
              <w:t>1660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金华市</w:t>
            </w:r>
          </w:p>
        </w:tc>
        <w:tc>
          <w:tcPr>
            <w:tcW w:w="2373" w:type="dxa"/>
            <w:vAlign w:val="center"/>
          </w:tcPr>
          <w:p>
            <w:pPr>
              <w:jc w:val="center"/>
              <w:rPr>
                <w:sz w:val="24"/>
              </w:rPr>
            </w:pPr>
            <w:r>
              <w:rPr>
                <w:sz w:val="24"/>
              </w:rPr>
              <w:t>1890.14</w:t>
            </w:r>
          </w:p>
        </w:tc>
        <w:tc>
          <w:tcPr>
            <w:tcW w:w="2373" w:type="dxa"/>
            <w:vAlign w:val="center"/>
          </w:tcPr>
          <w:p>
            <w:pPr>
              <w:jc w:val="center"/>
              <w:rPr>
                <w:sz w:val="24"/>
              </w:rPr>
            </w:pPr>
            <w:r>
              <w:rPr>
                <w:sz w:val="24"/>
              </w:rPr>
              <w:t>1750</w:t>
            </w:r>
          </w:p>
        </w:tc>
        <w:tc>
          <w:tcPr>
            <w:tcW w:w="2372" w:type="dxa"/>
            <w:vAlign w:val="center"/>
          </w:tcPr>
          <w:p>
            <w:pPr>
              <w:jc w:val="center"/>
              <w:rPr>
                <w:sz w:val="24"/>
              </w:rPr>
            </w:pPr>
            <w:r>
              <w:rPr>
                <w:sz w:val="24"/>
              </w:rPr>
              <w:t>1885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衢州市</w:t>
            </w:r>
          </w:p>
        </w:tc>
        <w:tc>
          <w:tcPr>
            <w:tcW w:w="2373" w:type="dxa"/>
            <w:vAlign w:val="center"/>
          </w:tcPr>
          <w:p>
            <w:pPr>
              <w:jc w:val="center"/>
              <w:rPr>
                <w:sz w:val="24"/>
              </w:rPr>
            </w:pPr>
            <w:r>
              <w:rPr>
                <w:sz w:val="24"/>
              </w:rPr>
              <w:t>3653.29</w:t>
            </w:r>
          </w:p>
        </w:tc>
        <w:tc>
          <w:tcPr>
            <w:tcW w:w="2373" w:type="dxa"/>
            <w:vAlign w:val="center"/>
          </w:tcPr>
          <w:p>
            <w:pPr>
              <w:jc w:val="center"/>
              <w:rPr>
                <w:sz w:val="24"/>
              </w:rPr>
            </w:pPr>
            <w:r>
              <w:rPr>
                <w:sz w:val="24"/>
              </w:rPr>
              <w:t>4200</w:t>
            </w:r>
          </w:p>
        </w:tc>
        <w:tc>
          <w:tcPr>
            <w:tcW w:w="2372" w:type="dxa"/>
            <w:vAlign w:val="center"/>
          </w:tcPr>
          <w:p>
            <w:pPr>
              <w:jc w:val="center"/>
              <w:rPr>
                <w:sz w:val="24"/>
              </w:rPr>
            </w:pPr>
            <w:r>
              <w:rPr>
                <w:sz w:val="24"/>
              </w:rPr>
              <w:t>4360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舟山市</w:t>
            </w:r>
          </w:p>
        </w:tc>
        <w:tc>
          <w:tcPr>
            <w:tcW w:w="2373" w:type="dxa"/>
            <w:vAlign w:val="center"/>
          </w:tcPr>
          <w:p>
            <w:pPr>
              <w:jc w:val="center"/>
              <w:rPr>
                <w:sz w:val="24"/>
              </w:rPr>
            </w:pPr>
            <w:r>
              <w:rPr>
                <w:sz w:val="24"/>
              </w:rPr>
              <w:t>47.88</w:t>
            </w:r>
          </w:p>
        </w:tc>
        <w:tc>
          <w:tcPr>
            <w:tcW w:w="2373" w:type="dxa"/>
            <w:vAlign w:val="center"/>
          </w:tcPr>
          <w:p>
            <w:pPr>
              <w:jc w:val="center"/>
              <w:rPr>
                <w:sz w:val="24"/>
              </w:rPr>
            </w:pPr>
            <w:r>
              <w:rPr>
                <w:sz w:val="24"/>
              </w:rPr>
              <w:t>42</w:t>
            </w:r>
          </w:p>
        </w:tc>
        <w:tc>
          <w:tcPr>
            <w:tcW w:w="2372" w:type="dxa"/>
            <w:vAlign w:val="center"/>
          </w:tcPr>
          <w:p>
            <w:pPr>
              <w:jc w:val="center"/>
              <w:rPr>
                <w:sz w:val="24"/>
              </w:rPr>
            </w:pPr>
            <w:r>
              <w:rPr>
                <w:sz w:val="24"/>
              </w:rPr>
              <w:t>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台州市</w:t>
            </w:r>
          </w:p>
        </w:tc>
        <w:tc>
          <w:tcPr>
            <w:tcW w:w="2373" w:type="dxa"/>
            <w:vAlign w:val="center"/>
          </w:tcPr>
          <w:p>
            <w:pPr>
              <w:jc w:val="center"/>
              <w:rPr>
                <w:sz w:val="24"/>
              </w:rPr>
            </w:pPr>
            <w:r>
              <w:rPr>
                <w:sz w:val="24"/>
              </w:rPr>
              <w:t>2594.98</w:t>
            </w:r>
          </w:p>
        </w:tc>
        <w:tc>
          <w:tcPr>
            <w:tcW w:w="2373" w:type="dxa"/>
            <w:vAlign w:val="center"/>
          </w:tcPr>
          <w:p>
            <w:pPr>
              <w:jc w:val="center"/>
              <w:rPr>
                <w:sz w:val="24"/>
              </w:rPr>
            </w:pPr>
            <w:r>
              <w:rPr>
                <w:sz w:val="24"/>
              </w:rPr>
              <w:t>2050</w:t>
            </w:r>
          </w:p>
        </w:tc>
        <w:tc>
          <w:tcPr>
            <w:tcW w:w="2372" w:type="dxa"/>
            <w:vAlign w:val="center"/>
          </w:tcPr>
          <w:p>
            <w:pPr>
              <w:jc w:val="center"/>
              <w:rPr>
                <w:sz w:val="24"/>
              </w:rPr>
            </w:pPr>
            <w:r>
              <w:rPr>
                <w:sz w:val="24"/>
              </w:rPr>
              <w:t>2250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丽水市</w:t>
            </w:r>
          </w:p>
        </w:tc>
        <w:tc>
          <w:tcPr>
            <w:tcW w:w="2373" w:type="dxa"/>
            <w:vAlign w:val="center"/>
          </w:tcPr>
          <w:p>
            <w:pPr>
              <w:jc w:val="center"/>
              <w:rPr>
                <w:sz w:val="24"/>
              </w:rPr>
            </w:pPr>
            <w:r>
              <w:rPr>
                <w:sz w:val="24"/>
              </w:rPr>
              <w:t>858.34</w:t>
            </w:r>
          </w:p>
        </w:tc>
        <w:tc>
          <w:tcPr>
            <w:tcW w:w="2373" w:type="dxa"/>
            <w:vAlign w:val="center"/>
          </w:tcPr>
          <w:p>
            <w:pPr>
              <w:jc w:val="center"/>
              <w:rPr>
                <w:sz w:val="24"/>
              </w:rPr>
            </w:pPr>
            <w:r>
              <w:rPr>
                <w:sz w:val="24"/>
              </w:rPr>
              <w:t>800</w:t>
            </w:r>
          </w:p>
        </w:tc>
        <w:tc>
          <w:tcPr>
            <w:tcW w:w="2372" w:type="dxa"/>
            <w:vAlign w:val="center"/>
          </w:tcPr>
          <w:p>
            <w:pPr>
              <w:jc w:val="center"/>
              <w:rPr>
                <w:sz w:val="24"/>
              </w:rPr>
            </w:pPr>
            <w:r>
              <w:rPr>
                <w:sz w:val="24"/>
              </w:rPr>
              <w:t>950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b/>
                <w:sz w:val="24"/>
              </w:rPr>
            </w:pPr>
            <w:r>
              <w:rPr>
                <w:b/>
                <w:sz w:val="24"/>
              </w:rPr>
              <w:t>合  计</w:t>
            </w:r>
          </w:p>
        </w:tc>
        <w:tc>
          <w:tcPr>
            <w:tcW w:w="2373" w:type="dxa"/>
            <w:vAlign w:val="center"/>
          </w:tcPr>
          <w:p>
            <w:pPr>
              <w:jc w:val="center"/>
              <w:rPr>
                <w:b/>
                <w:sz w:val="24"/>
              </w:rPr>
            </w:pPr>
            <w:r>
              <w:rPr>
                <w:b/>
                <w:kern w:val="0"/>
                <w:sz w:val="24"/>
              </w:rPr>
              <w:t>20979.21</w:t>
            </w:r>
          </w:p>
        </w:tc>
        <w:tc>
          <w:tcPr>
            <w:tcW w:w="2373" w:type="dxa"/>
            <w:vAlign w:val="center"/>
          </w:tcPr>
          <w:p>
            <w:pPr>
              <w:jc w:val="center"/>
              <w:rPr>
                <w:b/>
                <w:sz w:val="24"/>
              </w:rPr>
            </w:pPr>
            <w:r>
              <w:rPr>
                <w:b/>
                <w:sz w:val="24"/>
              </w:rPr>
              <w:t>21000</w:t>
            </w:r>
          </w:p>
        </w:tc>
        <w:tc>
          <w:tcPr>
            <w:tcW w:w="2372" w:type="dxa"/>
            <w:vAlign w:val="center"/>
          </w:tcPr>
          <w:p>
            <w:pPr>
              <w:jc w:val="center"/>
              <w:rPr>
                <w:b/>
                <w:sz w:val="24"/>
              </w:rPr>
            </w:pPr>
            <w:r>
              <w:rPr>
                <w:b/>
                <w:sz w:val="24"/>
              </w:rPr>
              <w:t>22000</w:t>
            </w:r>
          </w:p>
        </w:tc>
      </w:tr>
    </w:tbl>
    <w:p>
      <w:pPr>
        <w:pStyle w:val="4"/>
        <w:keepNext w:val="0"/>
        <w:keepLines w:val="0"/>
        <w:numPr>
          <w:ilvl w:val="0"/>
          <w:numId w:val="0"/>
        </w:numPr>
        <w:spacing w:line="590" w:lineRule="exact"/>
        <w:ind w:left="640"/>
        <w:rPr>
          <w:rFonts w:ascii="Times New Roman" w:hAnsi="Times New Roman"/>
        </w:rPr>
      </w:pPr>
      <w:bookmarkStart w:id="16" w:name="_Toc74061130"/>
      <w:r>
        <w:rPr>
          <w:rFonts w:ascii="Times New Roman" w:hAnsi="楷体_GB2312"/>
        </w:rPr>
        <w:t>（三）奶牛</w:t>
      </w:r>
      <w:bookmarkEnd w:id="16"/>
    </w:p>
    <w:p>
      <w:pPr>
        <w:spacing w:line="590" w:lineRule="exact"/>
        <w:ind w:firstLine="643" w:firstLineChars="200"/>
        <w:rPr>
          <w:szCs w:val="32"/>
        </w:rPr>
      </w:pPr>
      <w:r>
        <w:rPr>
          <w:b/>
          <w:bCs/>
          <w:szCs w:val="32"/>
        </w:rPr>
        <w:t>主产区，</w:t>
      </w:r>
      <w:r>
        <w:rPr>
          <w:szCs w:val="32"/>
        </w:rPr>
        <w:t>包括杭州市萧山区、杭州市临安区、杭州市钱塘区、宁波市江北区、余姚市、慈溪市、宁海县、乐清市、泰顺县、德清</w:t>
      </w:r>
      <w:r>
        <w:rPr>
          <w:rFonts w:hint="eastAsia"/>
          <w:szCs w:val="32"/>
        </w:rPr>
        <w:t>县</w:t>
      </w:r>
      <w:r>
        <w:rPr>
          <w:szCs w:val="32"/>
        </w:rPr>
        <w:t>、嘉兴市秀洲区、绍兴市上虞区、金华市婺城区、金华市金东区、金华市经济技术开发区、台州市椒江区等16个县（市、区）。</w:t>
      </w:r>
      <w:r>
        <w:rPr>
          <w:bCs/>
          <w:szCs w:val="32"/>
        </w:rPr>
        <w:t>其他为</w:t>
      </w:r>
      <w:r>
        <w:rPr>
          <w:b/>
          <w:szCs w:val="32"/>
        </w:rPr>
        <w:t>适度发展区</w:t>
      </w:r>
      <w:r>
        <w:rPr>
          <w:szCs w:val="32"/>
        </w:rPr>
        <w:t>。</w:t>
      </w:r>
    </w:p>
    <w:p>
      <w:pPr>
        <w:spacing w:before="240" w:beforeLines="100" w:after="240" w:afterLines="100" w:line="360" w:lineRule="exact"/>
        <w:jc w:val="center"/>
        <w:rPr>
          <w:rFonts w:eastAsia="黑体"/>
          <w:sz w:val="28"/>
          <w:szCs w:val="28"/>
        </w:rPr>
      </w:pPr>
      <w:r>
        <w:rPr>
          <w:rFonts w:eastAsia="黑体"/>
          <w:sz w:val="28"/>
          <w:szCs w:val="28"/>
        </w:rPr>
        <w:t xml:space="preserve">                    表4 </w:t>
      </w:r>
      <w:r>
        <w:rPr>
          <w:rFonts w:hint="eastAsia" w:eastAsia="黑体"/>
          <w:sz w:val="28"/>
          <w:szCs w:val="28"/>
        </w:rPr>
        <w:t xml:space="preserve"> </w:t>
      </w:r>
      <w:r>
        <w:rPr>
          <w:rFonts w:eastAsia="黑体"/>
          <w:sz w:val="28"/>
          <w:szCs w:val="28"/>
        </w:rPr>
        <w:t xml:space="preserve">奶牛存栏目标任务               </w:t>
      </w:r>
      <w:r>
        <w:rPr>
          <w:rFonts w:ascii="楷体_GB2312" w:eastAsia="楷体_GB2312"/>
          <w:sz w:val="24"/>
        </w:rPr>
        <w:t>单位：头</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727"/>
        <w:gridCol w:w="2373"/>
        <w:gridCol w:w="2373"/>
        <w:gridCol w:w="23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rFonts w:eastAsia="黑体"/>
                <w:sz w:val="24"/>
              </w:rPr>
            </w:pPr>
            <w:r>
              <w:rPr>
                <w:rFonts w:hAnsi="黑体" w:eastAsia="黑体"/>
                <w:sz w:val="24"/>
              </w:rPr>
              <w:t>地</w:t>
            </w:r>
            <w:r>
              <w:rPr>
                <w:rFonts w:eastAsia="黑体"/>
                <w:sz w:val="24"/>
              </w:rPr>
              <w:t xml:space="preserve">  </w:t>
            </w:r>
            <w:r>
              <w:rPr>
                <w:rFonts w:hAnsi="黑体" w:eastAsia="黑体"/>
                <w:sz w:val="24"/>
              </w:rPr>
              <w:t>区</w:t>
            </w:r>
          </w:p>
        </w:tc>
        <w:tc>
          <w:tcPr>
            <w:tcW w:w="2373" w:type="dxa"/>
            <w:vAlign w:val="center"/>
          </w:tcPr>
          <w:p>
            <w:pPr>
              <w:jc w:val="center"/>
              <w:rPr>
                <w:rFonts w:eastAsia="黑体"/>
                <w:sz w:val="24"/>
              </w:rPr>
            </w:pPr>
            <w:r>
              <w:rPr>
                <w:rFonts w:eastAsia="黑体"/>
                <w:sz w:val="24"/>
              </w:rPr>
              <w:t>2020</w:t>
            </w:r>
            <w:r>
              <w:rPr>
                <w:rFonts w:hAnsi="黑体" w:eastAsia="黑体"/>
                <w:sz w:val="24"/>
              </w:rPr>
              <w:t>年</w:t>
            </w:r>
          </w:p>
        </w:tc>
        <w:tc>
          <w:tcPr>
            <w:tcW w:w="2373" w:type="dxa"/>
            <w:vAlign w:val="center"/>
          </w:tcPr>
          <w:p>
            <w:pPr>
              <w:jc w:val="center"/>
              <w:rPr>
                <w:rFonts w:eastAsia="黑体"/>
                <w:sz w:val="24"/>
              </w:rPr>
            </w:pPr>
            <w:r>
              <w:rPr>
                <w:rFonts w:eastAsia="黑体"/>
                <w:sz w:val="24"/>
              </w:rPr>
              <w:t>2022</w:t>
            </w:r>
            <w:r>
              <w:rPr>
                <w:rFonts w:hAnsi="黑体" w:eastAsia="黑体"/>
                <w:sz w:val="24"/>
              </w:rPr>
              <w:t>年</w:t>
            </w:r>
          </w:p>
        </w:tc>
        <w:tc>
          <w:tcPr>
            <w:tcW w:w="2372" w:type="dxa"/>
            <w:vAlign w:val="center"/>
          </w:tcPr>
          <w:p>
            <w:pPr>
              <w:jc w:val="center"/>
              <w:rPr>
                <w:rFonts w:eastAsia="黑体"/>
                <w:sz w:val="24"/>
              </w:rPr>
            </w:pPr>
            <w:r>
              <w:rPr>
                <w:rFonts w:eastAsia="黑体"/>
                <w:sz w:val="24"/>
              </w:rPr>
              <w:t>2025</w:t>
            </w:r>
            <w:r>
              <w:rPr>
                <w:rFonts w:hAnsi="黑体" w:eastAsia="黑体"/>
                <w:sz w:val="24"/>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杭州市</w:t>
            </w:r>
          </w:p>
        </w:tc>
        <w:tc>
          <w:tcPr>
            <w:tcW w:w="2373" w:type="dxa"/>
            <w:vAlign w:val="center"/>
          </w:tcPr>
          <w:p>
            <w:pPr>
              <w:jc w:val="center"/>
              <w:rPr>
                <w:sz w:val="24"/>
              </w:rPr>
            </w:pPr>
            <w:r>
              <w:rPr>
                <w:sz w:val="24"/>
              </w:rPr>
              <w:t>6410</w:t>
            </w:r>
          </w:p>
        </w:tc>
        <w:tc>
          <w:tcPr>
            <w:tcW w:w="2373" w:type="dxa"/>
            <w:vAlign w:val="center"/>
          </w:tcPr>
          <w:p>
            <w:pPr>
              <w:jc w:val="center"/>
              <w:rPr>
                <w:sz w:val="24"/>
              </w:rPr>
            </w:pPr>
            <w:r>
              <w:rPr>
                <w:sz w:val="24"/>
              </w:rPr>
              <w:t>6900</w:t>
            </w:r>
          </w:p>
        </w:tc>
        <w:tc>
          <w:tcPr>
            <w:tcW w:w="2372" w:type="dxa"/>
            <w:vAlign w:val="center"/>
          </w:tcPr>
          <w:p>
            <w:pPr>
              <w:jc w:val="center"/>
              <w:rPr>
                <w:sz w:val="24"/>
              </w:rPr>
            </w:pPr>
            <w:r>
              <w:rPr>
                <w:sz w:val="24"/>
              </w:rPr>
              <w:t>7900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宁波市</w:t>
            </w:r>
          </w:p>
        </w:tc>
        <w:tc>
          <w:tcPr>
            <w:tcW w:w="2373" w:type="dxa"/>
            <w:vAlign w:val="center"/>
          </w:tcPr>
          <w:p>
            <w:pPr>
              <w:jc w:val="center"/>
              <w:rPr>
                <w:sz w:val="24"/>
              </w:rPr>
            </w:pPr>
            <w:r>
              <w:rPr>
                <w:sz w:val="24"/>
              </w:rPr>
              <w:t>6604</w:t>
            </w:r>
          </w:p>
        </w:tc>
        <w:tc>
          <w:tcPr>
            <w:tcW w:w="2373" w:type="dxa"/>
            <w:vAlign w:val="center"/>
          </w:tcPr>
          <w:p>
            <w:pPr>
              <w:jc w:val="center"/>
              <w:rPr>
                <w:sz w:val="24"/>
              </w:rPr>
            </w:pPr>
            <w:r>
              <w:rPr>
                <w:sz w:val="24"/>
              </w:rPr>
              <w:t>7800</w:t>
            </w:r>
          </w:p>
        </w:tc>
        <w:tc>
          <w:tcPr>
            <w:tcW w:w="2372" w:type="dxa"/>
            <w:vAlign w:val="center"/>
          </w:tcPr>
          <w:p>
            <w:pPr>
              <w:jc w:val="center"/>
              <w:rPr>
                <w:sz w:val="24"/>
              </w:rPr>
            </w:pPr>
            <w:r>
              <w:rPr>
                <w:sz w:val="24"/>
              </w:rPr>
              <w:t>8650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温州市</w:t>
            </w:r>
          </w:p>
        </w:tc>
        <w:tc>
          <w:tcPr>
            <w:tcW w:w="2373" w:type="dxa"/>
            <w:vAlign w:val="center"/>
          </w:tcPr>
          <w:p>
            <w:pPr>
              <w:jc w:val="center"/>
              <w:rPr>
                <w:sz w:val="24"/>
              </w:rPr>
            </w:pPr>
            <w:r>
              <w:rPr>
                <w:sz w:val="24"/>
              </w:rPr>
              <w:t>2596</w:t>
            </w:r>
          </w:p>
        </w:tc>
        <w:tc>
          <w:tcPr>
            <w:tcW w:w="2373" w:type="dxa"/>
            <w:vAlign w:val="center"/>
          </w:tcPr>
          <w:p>
            <w:pPr>
              <w:jc w:val="center"/>
              <w:rPr>
                <w:sz w:val="24"/>
              </w:rPr>
            </w:pPr>
            <w:r>
              <w:rPr>
                <w:sz w:val="24"/>
              </w:rPr>
              <w:t>2900</w:t>
            </w:r>
          </w:p>
        </w:tc>
        <w:tc>
          <w:tcPr>
            <w:tcW w:w="2372" w:type="dxa"/>
            <w:vAlign w:val="center"/>
          </w:tcPr>
          <w:p>
            <w:pPr>
              <w:jc w:val="center"/>
              <w:rPr>
                <w:sz w:val="24"/>
              </w:rPr>
            </w:pPr>
            <w:r>
              <w:rPr>
                <w:sz w:val="24"/>
              </w:rPr>
              <w:t>3300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湖州市</w:t>
            </w:r>
          </w:p>
        </w:tc>
        <w:tc>
          <w:tcPr>
            <w:tcW w:w="2373" w:type="dxa"/>
            <w:vAlign w:val="center"/>
          </w:tcPr>
          <w:p>
            <w:pPr>
              <w:jc w:val="center"/>
              <w:rPr>
                <w:sz w:val="24"/>
              </w:rPr>
            </w:pPr>
            <w:r>
              <w:rPr>
                <w:sz w:val="24"/>
              </w:rPr>
              <w:t>1340</w:t>
            </w:r>
          </w:p>
        </w:tc>
        <w:tc>
          <w:tcPr>
            <w:tcW w:w="2373" w:type="dxa"/>
            <w:vAlign w:val="center"/>
          </w:tcPr>
          <w:p>
            <w:pPr>
              <w:jc w:val="center"/>
              <w:rPr>
                <w:sz w:val="24"/>
              </w:rPr>
            </w:pPr>
            <w:r>
              <w:rPr>
                <w:sz w:val="24"/>
              </w:rPr>
              <w:t>1500</w:t>
            </w:r>
          </w:p>
        </w:tc>
        <w:tc>
          <w:tcPr>
            <w:tcW w:w="2372" w:type="dxa"/>
            <w:vAlign w:val="center"/>
          </w:tcPr>
          <w:p>
            <w:pPr>
              <w:jc w:val="center"/>
              <w:rPr>
                <w:sz w:val="24"/>
              </w:rPr>
            </w:pPr>
            <w:r>
              <w:rPr>
                <w:sz w:val="24"/>
              </w:rPr>
              <w:t>1700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嘉兴市</w:t>
            </w:r>
          </w:p>
        </w:tc>
        <w:tc>
          <w:tcPr>
            <w:tcW w:w="2373" w:type="dxa"/>
            <w:vAlign w:val="center"/>
          </w:tcPr>
          <w:p>
            <w:pPr>
              <w:jc w:val="center"/>
              <w:rPr>
                <w:sz w:val="24"/>
              </w:rPr>
            </w:pPr>
            <w:r>
              <w:rPr>
                <w:sz w:val="24"/>
              </w:rPr>
              <w:t>1308</w:t>
            </w:r>
          </w:p>
        </w:tc>
        <w:tc>
          <w:tcPr>
            <w:tcW w:w="2373" w:type="dxa"/>
            <w:vAlign w:val="center"/>
          </w:tcPr>
          <w:p>
            <w:pPr>
              <w:jc w:val="center"/>
              <w:rPr>
                <w:sz w:val="24"/>
              </w:rPr>
            </w:pPr>
            <w:r>
              <w:rPr>
                <w:sz w:val="24"/>
              </w:rPr>
              <w:t>1300</w:t>
            </w:r>
          </w:p>
        </w:tc>
        <w:tc>
          <w:tcPr>
            <w:tcW w:w="2372" w:type="dxa"/>
            <w:vAlign w:val="center"/>
          </w:tcPr>
          <w:p>
            <w:pPr>
              <w:jc w:val="center"/>
              <w:rPr>
                <w:sz w:val="24"/>
              </w:rPr>
            </w:pPr>
            <w:r>
              <w:rPr>
                <w:sz w:val="24"/>
              </w:rPr>
              <w:t>1600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绍兴市</w:t>
            </w:r>
          </w:p>
        </w:tc>
        <w:tc>
          <w:tcPr>
            <w:tcW w:w="2373" w:type="dxa"/>
            <w:vAlign w:val="center"/>
          </w:tcPr>
          <w:p>
            <w:pPr>
              <w:jc w:val="center"/>
              <w:rPr>
                <w:sz w:val="24"/>
              </w:rPr>
            </w:pPr>
            <w:r>
              <w:rPr>
                <w:sz w:val="24"/>
              </w:rPr>
              <w:t>4482</w:t>
            </w:r>
          </w:p>
        </w:tc>
        <w:tc>
          <w:tcPr>
            <w:tcW w:w="2373" w:type="dxa"/>
            <w:vAlign w:val="center"/>
          </w:tcPr>
          <w:p>
            <w:pPr>
              <w:jc w:val="center"/>
              <w:rPr>
                <w:sz w:val="24"/>
              </w:rPr>
            </w:pPr>
            <w:r>
              <w:rPr>
                <w:sz w:val="24"/>
              </w:rPr>
              <w:t>5000</w:t>
            </w:r>
          </w:p>
        </w:tc>
        <w:tc>
          <w:tcPr>
            <w:tcW w:w="2372" w:type="dxa"/>
            <w:vAlign w:val="center"/>
          </w:tcPr>
          <w:p>
            <w:pPr>
              <w:jc w:val="center"/>
              <w:rPr>
                <w:sz w:val="24"/>
              </w:rPr>
            </w:pPr>
            <w:r>
              <w:rPr>
                <w:sz w:val="24"/>
              </w:rPr>
              <w:t>5650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金华市</w:t>
            </w:r>
          </w:p>
        </w:tc>
        <w:tc>
          <w:tcPr>
            <w:tcW w:w="2373" w:type="dxa"/>
            <w:vAlign w:val="center"/>
          </w:tcPr>
          <w:p>
            <w:pPr>
              <w:jc w:val="center"/>
              <w:rPr>
                <w:sz w:val="24"/>
              </w:rPr>
            </w:pPr>
            <w:r>
              <w:rPr>
                <w:sz w:val="24"/>
              </w:rPr>
              <w:t>14854</w:t>
            </w:r>
          </w:p>
        </w:tc>
        <w:tc>
          <w:tcPr>
            <w:tcW w:w="2373" w:type="dxa"/>
            <w:vAlign w:val="center"/>
          </w:tcPr>
          <w:p>
            <w:pPr>
              <w:jc w:val="center"/>
              <w:rPr>
                <w:sz w:val="24"/>
              </w:rPr>
            </w:pPr>
            <w:r>
              <w:rPr>
                <w:sz w:val="24"/>
              </w:rPr>
              <w:t>16500</w:t>
            </w:r>
          </w:p>
        </w:tc>
        <w:tc>
          <w:tcPr>
            <w:tcW w:w="2372" w:type="dxa"/>
            <w:vAlign w:val="center"/>
          </w:tcPr>
          <w:p>
            <w:pPr>
              <w:jc w:val="center"/>
              <w:rPr>
                <w:color w:val="FF0000"/>
                <w:sz w:val="24"/>
              </w:rPr>
            </w:pPr>
            <w:r>
              <w:rPr>
                <w:sz w:val="24"/>
              </w:rPr>
              <w:t>18700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衢州市</w:t>
            </w:r>
          </w:p>
        </w:tc>
        <w:tc>
          <w:tcPr>
            <w:tcW w:w="2373" w:type="dxa"/>
            <w:vAlign w:val="center"/>
          </w:tcPr>
          <w:p>
            <w:pPr>
              <w:jc w:val="center"/>
              <w:rPr>
                <w:sz w:val="24"/>
              </w:rPr>
            </w:pPr>
            <w:r>
              <w:rPr>
                <w:sz w:val="24"/>
              </w:rPr>
              <w:t>1547</w:t>
            </w:r>
          </w:p>
        </w:tc>
        <w:tc>
          <w:tcPr>
            <w:tcW w:w="2373" w:type="dxa"/>
            <w:vAlign w:val="center"/>
          </w:tcPr>
          <w:p>
            <w:pPr>
              <w:jc w:val="center"/>
              <w:rPr>
                <w:sz w:val="24"/>
              </w:rPr>
            </w:pPr>
            <w:r>
              <w:rPr>
                <w:sz w:val="24"/>
              </w:rPr>
              <w:t>1700</w:t>
            </w:r>
          </w:p>
        </w:tc>
        <w:tc>
          <w:tcPr>
            <w:tcW w:w="2372" w:type="dxa"/>
            <w:vAlign w:val="center"/>
          </w:tcPr>
          <w:p>
            <w:pPr>
              <w:jc w:val="center"/>
              <w:rPr>
                <w:sz w:val="24"/>
              </w:rPr>
            </w:pPr>
            <w:r>
              <w:rPr>
                <w:sz w:val="24"/>
              </w:rPr>
              <w:t>1950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台州市</w:t>
            </w:r>
          </w:p>
        </w:tc>
        <w:tc>
          <w:tcPr>
            <w:tcW w:w="2373" w:type="dxa"/>
            <w:vAlign w:val="center"/>
          </w:tcPr>
          <w:p>
            <w:pPr>
              <w:jc w:val="center"/>
              <w:rPr>
                <w:sz w:val="24"/>
              </w:rPr>
            </w:pPr>
            <w:r>
              <w:rPr>
                <w:sz w:val="24"/>
              </w:rPr>
              <w:t>1237</w:t>
            </w:r>
          </w:p>
        </w:tc>
        <w:tc>
          <w:tcPr>
            <w:tcW w:w="2373" w:type="dxa"/>
            <w:vAlign w:val="center"/>
          </w:tcPr>
          <w:p>
            <w:pPr>
              <w:jc w:val="center"/>
              <w:rPr>
                <w:sz w:val="24"/>
              </w:rPr>
            </w:pPr>
            <w:r>
              <w:rPr>
                <w:sz w:val="24"/>
              </w:rPr>
              <w:t>1400</w:t>
            </w:r>
          </w:p>
        </w:tc>
        <w:tc>
          <w:tcPr>
            <w:tcW w:w="2372" w:type="dxa"/>
            <w:vAlign w:val="center"/>
          </w:tcPr>
          <w:p>
            <w:pPr>
              <w:jc w:val="center"/>
              <w:rPr>
                <w:sz w:val="24"/>
              </w:rPr>
            </w:pPr>
            <w:r>
              <w:rPr>
                <w:sz w:val="24"/>
              </w:rPr>
              <w:t>1550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b/>
                <w:sz w:val="24"/>
              </w:rPr>
            </w:pPr>
            <w:r>
              <w:rPr>
                <w:b/>
                <w:sz w:val="24"/>
              </w:rPr>
              <w:t>合  计</w:t>
            </w:r>
          </w:p>
        </w:tc>
        <w:tc>
          <w:tcPr>
            <w:tcW w:w="2373" w:type="dxa"/>
            <w:vAlign w:val="center"/>
          </w:tcPr>
          <w:p>
            <w:pPr>
              <w:jc w:val="center"/>
              <w:rPr>
                <w:b/>
                <w:sz w:val="24"/>
              </w:rPr>
            </w:pPr>
            <w:r>
              <w:rPr>
                <w:b/>
                <w:kern w:val="0"/>
                <w:sz w:val="24"/>
              </w:rPr>
              <w:t>40400</w:t>
            </w:r>
          </w:p>
        </w:tc>
        <w:tc>
          <w:tcPr>
            <w:tcW w:w="2373" w:type="dxa"/>
            <w:vAlign w:val="center"/>
          </w:tcPr>
          <w:p>
            <w:pPr>
              <w:jc w:val="center"/>
              <w:rPr>
                <w:b/>
                <w:sz w:val="24"/>
              </w:rPr>
            </w:pPr>
            <w:r>
              <w:rPr>
                <w:b/>
                <w:kern w:val="0"/>
                <w:sz w:val="24"/>
              </w:rPr>
              <w:t>45000</w:t>
            </w:r>
          </w:p>
        </w:tc>
        <w:tc>
          <w:tcPr>
            <w:tcW w:w="2372" w:type="dxa"/>
            <w:vAlign w:val="center"/>
          </w:tcPr>
          <w:p>
            <w:pPr>
              <w:jc w:val="center"/>
              <w:rPr>
                <w:b/>
                <w:sz w:val="24"/>
              </w:rPr>
            </w:pPr>
            <w:r>
              <w:rPr>
                <w:b/>
                <w:kern w:val="0"/>
                <w:sz w:val="24"/>
              </w:rPr>
              <w:t>51000</w:t>
            </w:r>
          </w:p>
        </w:tc>
      </w:tr>
    </w:tbl>
    <w:p>
      <w:pPr>
        <w:pStyle w:val="4"/>
        <w:keepNext w:val="0"/>
        <w:keepLines w:val="0"/>
        <w:numPr>
          <w:ilvl w:val="0"/>
          <w:numId w:val="0"/>
        </w:numPr>
        <w:spacing w:line="590" w:lineRule="exact"/>
        <w:ind w:left="640"/>
        <w:rPr>
          <w:rFonts w:ascii="Times New Roman" w:hAnsi="Times New Roman"/>
        </w:rPr>
      </w:pPr>
      <w:bookmarkStart w:id="17" w:name="_Toc74061131"/>
      <w:r>
        <w:rPr>
          <w:rFonts w:ascii="Times New Roman" w:hAnsi="楷体_GB2312"/>
        </w:rPr>
        <w:t>（四）特色畜禽</w:t>
      </w:r>
      <w:bookmarkEnd w:id="17"/>
    </w:p>
    <w:p>
      <w:pPr>
        <w:spacing w:line="590" w:lineRule="exact"/>
        <w:ind w:firstLine="640" w:firstLineChars="200"/>
        <w:rPr>
          <w:szCs w:val="32"/>
        </w:rPr>
      </w:pPr>
      <w:r>
        <w:rPr>
          <w:szCs w:val="32"/>
        </w:rPr>
        <w:t>湖羊产业，以杭嘉湖地区为重点，兼顾其他地区。蜜蜂产业，以浙中和浙南山区为重点，以桐庐县、江山市等传统生产县为加工集聚区。鼓励有条件的区域适度发展兔、肉牛、梅花鹿、鸽等特色养殖业。</w:t>
      </w:r>
    </w:p>
    <w:p>
      <w:pPr>
        <w:spacing w:before="240" w:beforeLines="100" w:after="240" w:afterLines="100" w:line="360" w:lineRule="exact"/>
        <w:jc w:val="center"/>
        <w:rPr>
          <w:rFonts w:eastAsia="黑体"/>
          <w:sz w:val="28"/>
          <w:szCs w:val="28"/>
        </w:rPr>
      </w:pPr>
      <w:r>
        <w:rPr>
          <w:rFonts w:hint="eastAsia" w:eastAsia="黑体"/>
          <w:sz w:val="28"/>
          <w:szCs w:val="28"/>
        </w:rPr>
        <w:t xml:space="preserve">                  </w:t>
      </w:r>
      <w:r>
        <w:rPr>
          <w:rFonts w:eastAsia="黑体"/>
          <w:sz w:val="28"/>
          <w:szCs w:val="28"/>
        </w:rPr>
        <w:t>表</w:t>
      </w:r>
      <w:r>
        <w:rPr>
          <w:rFonts w:hint="eastAsia" w:eastAsia="黑体"/>
          <w:sz w:val="28"/>
          <w:szCs w:val="28"/>
        </w:rPr>
        <w:t xml:space="preserve">5 </w:t>
      </w:r>
      <w:r>
        <w:rPr>
          <w:rFonts w:eastAsia="黑体"/>
          <w:sz w:val="28"/>
          <w:szCs w:val="28"/>
        </w:rPr>
        <w:t xml:space="preserve"> 湖羊存栏目标任务               </w:t>
      </w:r>
      <w:r>
        <w:rPr>
          <w:rFonts w:ascii="楷体_GB2312" w:eastAsia="楷体_GB2312"/>
          <w:sz w:val="24"/>
        </w:rPr>
        <w:t>单位：万只</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727"/>
        <w:gridCol w:w="2373"/>
        <w:gridCol w:w="2373"/>
        <w:gridCol w:w="23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tblHeader/>
          <w:jc w:val="center"/>
        </w:trPr>
        <w:tc>
          <w:tcPr>
            <w:tcW w:w="1727" w:type="dxa"/>
            <w:vAlign w:val="center"/>
          </w:tcPr>
          <w:p>
            <w:pPr>
              <w:jc w:val="center"/>
              <w:rPr>
                <w:rFonts w:eastAsia="黑体"/>
                <w:sz w:val="24"/>
              </w:rPr>
            </w:pPr>
            <w:r>
              <w:rPr>
                <w:rFonts w:hAnsi="黑体" w:eastAsia="黑体"/>
                <w:sz w:val="24"/>
              </w:rPr>
              <w:t>地</w:t>
            </w:r>
            <w:r>
              <w:rPr>
                <w:rFonts w:eastAsia="黑体"/>
                <w:sz w:val="24"/>
              </w:rPr>
              <w:t xml:space="preserve">  </w:t>
            </w:r>
            <w:r>
              <w:rPr>
                <w:rFonts w:hAnsi="黑体" w:eastAsia="黑体"/>
                <w:sz w:val="24"/>
              </w:rPr>
              <w:t>区</w:t>
            </w:r>
          </w:p>
        </w:tc>
        <w:tc>
          <w:tcPr>
            <w:tcW w:w="2373" w:type="dxa"/>
            <w:vAlign w:val="center"/>
          </w:tcPr>
          <w:p>
            <w:pPr>
              <w:jc w:val="center"/>
              <w:rPr>
                <w:rFonts w:eastAsia="黑体"/>
                <w:sz w:val="24"/>
              </w:rPr>
            </w:pPr>
            <w:r>
              <w:rPr>
                <w:rFonts w:eastAsia="黑体"/>
                <w:sz w:val="24"/>
              </w:rPr>
              <w:t>2020</w:t>
            </w:r>
            <w:r>
              <w:rPr>
                <w:rFonts w:hAnsi="黑体" w:eastAsia="黑体"/>
                <w:sz w:val="24"/>
              </w:rPr>
              <w:t>年</w:t>
            </w:r>
          </w:p>
        </w:tc>
        <w:tc>
          <w:tcPr>
            <w:tcW w:w="2373" w:type="dxa"/>
            <w:vAlign w:val="center"/>
          </w:tcPr>
          <w:p>
            <w:pPr>
              <w:jc w:val="center"/>
              <w:rPr>
                <w:rFonts w:eastAsia="黑体"/>
                <w:sz w:val="24"/>
              </w:rPr>
            </w:pPr>
            <w:r>
              <w:rPr>
                <w:rFonts w:eastAsia="黑体"/>
                <w:sz w:val="24"/>
              </w:rPr>
              <w:t>2022</w:t>
            </w:r>
            <w:r>
              <w:rPr>
                <w:rFonts w:hAnsi="黑体" w:eastAsia="黑体"/>
                <w:sz w:val="24"/>
              </w:rPr>
              <w:t>年</w:t>
            </w:r>
          </w:p>
        </w:tc>
        <w:tc>
          <w:tcPr>
            <w:tcW w:w="2372" w:type="dxa"/>
            <w:vAlign w:val="center"/>
          </w:tcPr>
          <w:p>
            <w:pPr>
              <w:jc w:val="center"/>
              <w:rPr>
                <w:rFonts w:eastAsia="黑体"/>
                <w:sz w:val="24"/>
              </w:rPr>
            </w:pPr>
            <w:r>
              <w:rPr>
                <w:rFonts w:eastAsia="黑体"/>
                <w:sz w:val="24"/>
              </w:rPr>
              <w:t>2025</w:t>
            </w:r>
            <w:r>
              <w:rPr>
                <w:rFonts w:hAnsi="黑体" w:eastAsia="黑体"/>
                <w:sz w:val="24"/>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杭州市</w:t>
            </w:r>
          </w:p>
        </w:tc>
        <w:tc>
          <w:tcPr>
            <w:tcW w:w="2373" w:type="dxa"/>
            <w:vAlign w:val="center"/>
          </w:tcPr>
          <w:p>
            <w:pPr>
              <w:jc w:val="center"/>
              <w:rPr>
                <w:sz w:val="24"/>
              </w:rPr>
            </w:pPr>
            <w:r>
              <w:rPr>
                <w:color w:val="000000"/>
                <w:sz w:val="24"/>
              </w:rPr>
              <w:t>19.52</w:t>
            </w:r>
          </w:p>
        </w:tc>
        <w:tc>
          <w:tcPr>
            <w:tcW w:w="2373" w:type="dxa"/>
            <w:vAlign w:val="center"/>
          </w:tcPr>
          <w:p>
            <w:pPr>
              <w:jc w:val="center"/>
              <w:rPr>
                <w:sz w:val="24"/>
              </w:rPr>
            </w:pPr>
            <w:r>
              <w:rPr>
                <w:sz w:val="24"/>
              </w:rPr>
              <w:t>18.0</w:t>
            </w:r>
          </w:p>
        </w:tc>
        <w:tc>
          <w:tcPr>
            <w:tcW w:w="2372" w:type="dxa"/>
            <w:vAlign w:val="center"/>
          </w:tcPr>
          <w:p>
            <w:pPr>
              <w:jc w:val="center"/>
              <w:rPr>
                <w:sz w:val="24"/>
              </w:rPr>
            </w:pPr>
            <w:r>
              <w:rPr>
                <w:sz w:val="24"/>
              </w:rPr>
              <w:t>21.0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宁波市</w:t>
            </w:r>
          </w:p>
        </w:tc>
        <w:tc>
          <w:tcPr>
            <w:tcW w:w="2373" w:type="dxa"/>
            <w:vAlign w:val="center"/>
          </w:tcPr>
          <w:p>
            <w:pPr>
              <w:jc w:val="center"/>
              <w:rPr>
                <w:sz w:val="24"/>
              </w:rPr>
            </w:pPr>
            <w:r>
              <w:rPr>
                <w:color w:val="000000"/>
                <w:sz w:val="24"/>
              </w:rPr>
              <w:t>2.86</w:t>
            </w:r>
          </w:p>
        </w:tc>
        <w:tc>
          <w:tcPr>
            <w:tcW w:w="2373" w:type="dxa"/>
            <w:vAlign w:val="center"/>
          </w:tcPr>
          <w:p>
            <w:pPr>
              <w:jc w:val="center"/>
              <w:rPr>
                <w:sz w:val="24"/>
              </w:rPr>
            </w:pPr>
            <w:r>
              <w:rPr>
                <w:sz w:val="24"/>
              </w:rPr>
              <w:t>2.6</w:t>
            </w:r>
          </w:p>
        </w:tc>
        <w:tc>
          <w:tcPr>
            <w:tcW w:w="2372" w:type="dxa"/>
            <w:vAlign w:val="center"/>
          </w:tcPr>
          <w:p>
            <w:pPr>
              <w:jc w:val="center"/>
              <w:rPr>
                <w:sz w:val="24"/>
              </w:rPr>
            </w:pPr>
            <w:r>
              <w:rPr>
                <w:sz w:val="24"/>
              </w:rPr>
              <w:t>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温州市</w:t>
            </w:r>
          </w:p>
        </w:tc>
        <w:tc>
          <w:tcPr>
            <w:tcW w:w="2373" w:type="dxa"/>
            <w:vAlign w:val="center"/>
          </w:tcPr>
          <w:p>
            <w:pPr>
              <w:jc w:val="center"/>
              <w:rPr>
                <w:sz w:val="24"/>
              </w:rPr>
            </w:pPr>
            <w:r>
              <w:rPr>
                <w:color w:val="000000"/>
                <w:sz w:val="24"/>
              </w:rPr>
              <w:t>0.24</w:t>
            </w:r>
          </w:p>
        </w:tc>
        <w:tc>
          <w:tcPr>
            <w:tcW w:w="2373" w:type="dxa"/>
            <w:vAlign w:val="center"/>
          </w:tcPr>
          <w:p>
            <w:pPr>
              <w:jc w:val="center"/>
              <w:rPr>
                <w:sz w:val="24"/>
              </w:rPr>
            </w:pPr>
            <w:r>
              <w:rPr>
                <w:sz w:val="24"/>
              </w:rPr>
              <w:t>0.2</w:t>
            </w:r>
          </w:p>
        </w:tc>
        <w:tc>
          <w:tcPr>
            <w:tcW w:w="2372" w:type="dxa"/>
            <w:vAlign w:val="center"/>
          </w:tcPr>
          <w:p>
            <w:pPr>
              <w:jc w:val="center"/>
              <w:rPr>
                <w:sz w:val="24"/>
              </w:rPr>
            </w:pPr>
            <w:r>
              <w:rPr>
                <w:sz w:val="24"/>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湖州市</w:t>
            </w:r>
          </w:p>
        </w:tc>
        <w:tc>
          <w:tcPr>
            <w:tcW w:w="2373" w:type="dxa"/>
            <w:vAlign w:val="center"/>
          </w:tcPr>
          <w:p>
            <w:pPr>
              <w:jc w:val="center"/>
              <w:rPr>
                <w:sz w:val="24"/>
              </w:rPr>
            </w:pPr>
            <w:r>
              <w:rPr>
                <w:color w:val="000000"/>
                <w:sz w:val="24"/>
              </w:rPr>
              <w:t>42.1</w:t>
            </w:r>
          </w:p>
        </w:tc>
        <w:tc>
          <w:tcPr>
            <w:tcW w:w="2373" w:type="dxa"/>
            <w:vAlign w:val="center"/>
          </w:tcPr>
          <w:p>
            <w:pPr>
              <w:jc w:val="center"/>
              <w:rPr>
                <w:sz w:val="24"/>
              </w:rPr>
            </w:pPr>
            <w:r>
              <w:rPr>
                <w:sz w:val="24"/>
              </w:rPr>
              <w:t>44.0</w:t>
            </w:r>
          </w:p>
        </w:tc>
        <w:tc>
          <w:tcPr>
            <w:tcW w:w="2372" w:type="dxa"/>
            <w:vAlign w:val="center"/>
          </w:tcPr>
          <w:p>
            <w:pPr>
              <w:jc w:val="center"/>
              <w:rPr>
                <w:sz w:val="24"/>
              </w:rPr>
            </w:pPr>
            <w:r>
              <w:rPr>
                <w:sz w:val="24"/>
              </w:rPr>
              <w:t>53.5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嘉兴市</w:t>
            </w:r>
          </w:p>
        </w:tc>
        <w:tc>
          <w:tcPr>
            <w:tcW w:w="2373" w:type="dxa"/>
            <w:vAlign w:val="center"/>
          </w:tcPr>
          <w:p>
            <w:pPr>
              <w:jc w:val="center"/>
              <w:rPr>
                <w:sz w:val="24"/>
              </w:rPr>
            </w:pPr>
            <w:r>
              <w:rPr>
                <w:color w:val="000000"/>
                <w:sz w:val="24"/>
              </w:rPr>
              <w:t>38.82</w:t>
            </w:r>
          </w:p>
        </w:tc>
        <w:tc>
          <w:tcPr>
            <w:tcW w:w="2373" w:type="dxa"/>
            <w:vAlign w:val="center"/>
          </w:tcPr>
          <w:p>
            <w:pPr>
              <w:jc w:val="center"/>
              <w:rPr>
                <w:sz w:val="24"/>
              </w:rPr>
            </w:pPr>
            <w:r>
              <w:rPr>
                <w:sz w:val="24"/>
              </w:rPr>
              <w:t>43.0</w:t>
            </w:r>
          </w:p>
        </w:tc>
        <w:tc>
          <w:tcPr>
            <w:tcW w:w="2372" w:type="dxa"/>
            <w:vAlign w:val="center"/>
          </w:tcPr>
          <w:p>
            <w:pPr>
              <w:jc w:val="center"/>
              <w:rPr>
                <w:sz w:val="24"/>
              </w:rPr>
            </w:pPr>
            <w:r>
              <w:rPr>
                <w:sz w:val="24"/>
              </w:rPr>
              <w:t>46.5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绍兴市</w:t>
            </w:r>
          </w:p>
        </w:tc>
        <w:tc>
          <w:tcPr>
            <w:tcW w:w="2373" w:type="dxa"/>
            <w:vAlign w:val="center"/>
          </w:tcPr>
          <w:p>
            <w:pPr>
              <w:jc w:val="center"/>
              <w:rPr>
                <w:sz w:val="24"/>
              </w:rPr>
            </w:pPr>
            <w:r>
              <w:rPr>
                <w:color w:val="000000"/>
                <w:sz w:val="24"/>
              </w:rPr>
              <w:t>3.54</w:t>
            </w:r>
          </w:p>
        </w:tc>
        <w:tc>
          <w:tcPr>
            <w:tcW w:w="2373" w:type="dxa"/>
            <w:vAlign w:val="center"/>
          </w:tcPr>
          <w:p>
            <w:pPr>
              <w:jc w:val="center"/>
              <w:rPr>
                <w:sz w:val="24"/>
              </w:rPr>
            </w:pPr>
            <w:r>
              <w:rPr>
                <w:sz w:val="24"/>
              </w:rPr>
              <w:t>2.4</w:t>
            </w:r>
          </w:p>
        </w:tc>
        <w:tc>
          <w:tcPr>
            <w:tcW w:w="2372" w:type="dxa"/>
            <w:vAlign w:val="center"/>
          </w:tcPr>
          <w:p>
            <w:pPr>
              <w:jc w:val="center"/>
              <w:rPr>
                <w:sz w:val="24"/>
              </w:rPr>
            </w:pPr>
            <w:r>
              <w:rPr>
                <w:sz w:val="24"/>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金华市</w:t>
            </w:r>
          </w:p>
        </w:tc>
        <w:tc>
          <w:tcPr>
            <w:tcW w:w="2373" w:type="dxa"/>
            <w:vAlign w:val="center"/>
          </w:tcPr>
          <w:p>
            <w:pPr>
              <w:jc w:val="center"/>
              <w:rPr>
                <w:sz w:val="24"/>
              </w:rPr>
            </w:pPr>
            <w:r>
              <w:rPr>
                <w:color w:val="000000"/>
                <w:sz w:val="24"/>
              </w:rPr>
              <w:t>1.38</w:t>
            </w:r>
          </w:p>
        </w:tc>
        <w:tc>
          <w:tcPr>
            <w:tcW w:w="2373" w:type="dxa"/>
            <w:vAlign w:val="center"/>
          </w:tcPr>
          <w:p>
            <w:pPr>
              <w:jc w:val="center"/>
              <w:rPr>
                <w:sz w:val="24"/>
              </w:rPr>
            </w:pPr>
            <w:r>
              <w:rPr>
                <w:sz w:val="24"/>
              </w:rPr>
              <w:t>1.4</w:t>
            </w:r>
          </w:p>
        </w:tc>
        <w:tc>
          <w:tcPr>
            <w:tcW w:w="2372" w:type="dxa"/>
            <w:vAlign w:val="center"/>
          </w:tcPr>
          <w:p>
            <w:pPr>
              <w:jc w:val="center"/>
              <w:rPr>
                <w:sz w:val="24"/>
              </w:rPr>
            </w:pPr>
            <w:r>
              <w:rPr>
                <w:sz w:val="24"/>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衢州市</w:t>
            </w:r>
          </w:p>
        </w:tc>
        <w:tc>
          <w:tcPr>
            <w:tcW w:w="2373" w:type="dxa"/>
            <w:vAlign w:val="center"/>
          </w:tcPr>
          <w:p>
            <w:pPr>
              <w:jc w:val="center"/>
              <w:rPr>
                <w:sz w:val="24"/>
              </w:rPr>
            </w:pPr>
            <w:r>
              <w:rPr>
                <w:color w:val="000000"/>
                <w:sz w:val="24"/>
              </w:rPr>
              <w:t>3.39</w:t>
            </w:r>
          </w:p>
        </w:tc>
        <w:tc>
          <w:tcPr>
            <w:tcW w:w="2373" w:type="dxa"/>
            <w:vAlign w:val="center"/>
          </w:tcPr>
          <w:p>
            <w:pPr>
              <w:jc w:val="center"/>
              <w:rPr>
                <w:sz w:val="24"/>
              </w:rPr>
            </w:pPr>
            <w:r>
              <w:rPr>
                <w:sz w:val="24"/>
              </w:rPr>
              <w:t>4.0</w:t>
            </w:r>
          </w:p>
        </w:tc>
        <w:tc>
          <w:tcPr>
            <w:tcW w:w="2372" w:type="dxa"/>
            <w:vAlign w:val="center"/>
          </w:tcPr>
          <w:p>
            <w:pPr>
              <w:jc w:val="center"/>
              <w:rPr>
                <w:sz w:val="24"/>
              </w:rPr>
            </w:pPr>
            <w:r>
              <w:rPr>
                <w:sz w:val="24"/>
              </w:rPr>
              <w:t>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台州市</w:t>
            </w:r>
          </w:p>
        </w:tc>
        <w:tc>
          <w:tcPr>
            <w:tcW w:w="2373" w:type="dxa"/>
            <w:vAlign w:val="center"/>
          </w:tcPr>
          <w:p>
            <w:pPr>
              <w:jc w:val="center"/>
              <w:rPr>
                <w:sz w:val="24"/>
              </w:rPr>
            </w:pPr>
            <w:r>
              <w:rPr>
                <w:color w:val="000000"/>
                <w:sz w:val="24"/>
              </w:rPr>
              <w:t>1.2</w:t>
            </w:r>
          </w:p>
        </w:tc>
        <w:tc>
          <w:tcPr>
            <w:tcW w:w="2373" w:type="dxa"/>
            <w:vAlign w:val="center"/>
          </w:tcPr>
          <w:p>
            <w:pPr>
              <w:jc w:val="center"/>
              <w:rPr>
                <w:sz w:val="24"/>
              </w:rPr>
            </w:pPr>
            <w:r>
              <w:rPr>
                <w:sz w:val="24"/>
              </w:rPr>
              <w:t>0.7</w:t>
            </w:r>
          </w:p>
        </w:tc>
        <w:tc>
          <w:tcPr>
            <w:tcW w:w="2372" w:type="dxa"/>
            <w:vAlign w:val="center"/>
          </w:tcPr>
          <w:p>
            <w:pPr>
              <w:jc w:val="center"/>
              <w:rPr>
                <w:sz w:val="24"/>
              </w:rPr>
            </w:pPr>
            <w:r>
              <w:rPr>
                <w:sz w:val="24"/>
              </w:rPr>
              <w:t>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sz w:val="24"/>
              </w:rPr>
            </w:pPr>
            <w:r>
              <w:rPr>
                <w:sz w:val="24"/>
              </w:rPr>
              <w:t>丽水市</w:t>
            </w:r>
          </w:p>
        </w:tc>
        <w:tc>
          <w:tcPr>
            <w:tcW w:w="2373" w:type="dxa"/>
            <w:vAlign w:val="center"/>
          </w:tcPr>
          <w:p>
            <w:pPr>
              <w:jc w:val="center"/>
              <w:rPr>
                <w:sz w:val="24"/>
              </w:rPr>
            </w:pPr>
            <w:r>
              <w:rPr>
                <w:color w:val="000000"/>
                <w:sz w:val="24"/>
              </w:rPr>
              <w:t>1.77</w:t>
            </w:r>
          </w:p>
        </w:tc>
        <w:tc>
          <w:tcPr>
            <w:tcW w:w="2373" w:type="dxa"/>
            <w:vAlign w:val="center"/>
          </w:tcPr>
          <w:p>
            <w:pPr>
              <w:jc w:val="center"/>
              <w:rPr>
                <w:sz w:val="24"/>
              </w:rPr>
            </w:pPr>
            <w:r>
              <w:rPr>
                <w:sz w:val="24"/>
              </w:rPr>
              <w:t>1.7</w:t>
            </w:r>
          </w:p>
        </w:tc>
        <w:tc>
          <w:tcPr>
            <w:tcW w:w="2372" w:type="dxa"/>
            <w:vAlign w:val="center"/>
          </w:tcPr>
          <w:p>
            <w:pPr>
              <w:jc w:val="center"/>
              <w:rPr>
                <w:sz w:val="24"/>
              </w:rPr>
            </w:pPr>
            <w:r>
              <w:rPr>
                <w:sz w:val="24"/>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1727" w:type="dxa"/>
            <w:vAlign w:val="center"/>
          </w:tcPr>
          <w:p>
            <w:pPr>
              <w:jc w:val="center"/>
              <w:rPr>
                <w:b/>
                <w:bCs/>
                <w:sz w:val="24"/>
              </w:rPr>
            </w:pPr>
            <w:r>
              <w:rPr>
                <w:b/>
                <w:bCs/>
                <w:sz w:val="24"/>
              </w:rPr>
              <w:t>合  计</w:t>
            </w:r>
          </w:p>
        </w:tc>
        <w:tc>
          <w:tcPr>
            <w:tcW w:w="2373" w:type="dxa"/>
            <w:vAlign w:val="center"/>
          </w:tcPr>
          <w:p>
            <w:pPr>
              <w:jc w:val="center"/>
              <w:rPr>
                <w:b/>
                <w:bCs/>
                <w:color w:val="000000"/>
                <w:sz w:val="24"/>
              </w:rPr>
            </w:pPr>
            <w:r>
              <w:rPr>
                <w:b/>
                <w:bCs/>
                <w:color w:val="000000"/>
                <w:sz w:val="24"/>
              </w:rPr>
              <w:t>114.82</w:t>
            </w:r>
          </w:p>
        </w:tc>
        <w:tc>
          <w:tcPr>
            <w:tcW w:w="2373" w:type="dxa"/>
            <w:vAlign w:val="center"/>
          </w:tcPr>
          <w:p>
            <w:pPr>
              <w:jc w:val="center"/>
              <w:rPr>
                <w:b/>
                <w:bCs/>
                <w:sz w:val="24"/>
              </w:rPr>
            </w:pPr>
            <w:r>
              <w:rPr>
                <w:b/>
                <w:bCs/>
                <w:sz w:val="24"/>
              </w:rPr>
              <w:t>118.0</w:t>
            </w:r>
          </w:p>
        </w:tc>
        <w:tc>
          <w:tcPr>
            <w:tcW w:w="2372" w:type="dxa"/>
            <w:vAlign w:val="center"/>
          </w:tcPr>
          <w:p>
            <w:pPr>
              <w:jc w:val="center"/>
              <w:rPr>
                <w:b/>
                <w:bCs/>
                <w:sz w:val="24"/>
              </w:rPr>
            </w:pPr>
            <w:r>
              <w:rPr>
                <w:b/>
                <w:bCs/>
                <w:sz w:val="24"/>
              </w:rPr>
              <w:t>136.5</w:t>
            </w:r>
          </w:p>
        </w:tc>
      </w:tr>
    </w:tbl>
    <w:p>
      <w:pPr>
        <w:pStyle w:val="4"/>
        <w:keepNext w:val="0"/>
        <w:keepLines w:val="0"/>
        <w:numPr>
          <w:ilvl w:val="0"/>
          <w:numId w:val="0"/>
        </w:numPr>
        <w:spacing w:line="590" w:lineRule="exact"/>
        <w:ind w:left="640"/>
        <w:rPr>
          <w:rFonts w:ascii="Times New Roman" w:hAnsi="Times New Roman"/>
        </w:rPr>
      </w:pPr>
      <w:bookmarkStart w:id="18" w:name="_Toc74061132"/>
      <w:r>
        <w:rPr>
          <w:rFonts w:ascii="Times New Roman" w:hAnsi="楷体_GB2312"/>
        </w:rPr>
        <w:t>（五）饲料兽药</w:t>
      </w:r>
      <w:bookmarkEnd w:id="18"/>
    </w:p>
    <w:p>
      <w:pPr>
        <w:spacing w:line="590" w:lineRule="exact"/>
        <w:ind w:firstLine="640" w:firstLineChars="200"/>
        <w:rPr>
          <w:rFonts w:eastAsia="楷体_GB2312"/>
          <w:b/>
          <w:szCs w:val="32"/>
        </w:rPr>
      </w:pPr>
      <w:r>
        <w:rPr>
          <w:bCs/>
          <w:szCs w:val="32"/>
        </w:rPr>
        <w:t>综合考虑</w:t>
      </w:r>
      <w:bookmarkStart w:id="19" w:name="_Hlk73302210"/>
      <w:r>
        <w:rPr>
          <w:bCs/>
          <w:szCs w:val="32"/>
        </w:rPr>
        <w:t>区域养殖业发展趋势、现有产业基础和区位优势等因素</w:t>
      </w:r>
      <w:bookmarkEnd w:id="19"/>
      <w:r>
        <w:rPr>
          <w:bCs/>
          <w:szCs w:val="32"/>
        </w:rPr>
        <w:t>，杭州市、湖州市、嘉兴市、金华市、衢州市等生猪、家禽主产区，可培育或引进大中型畜禽饲料企业；宁波市、温州市、舟山市等沿海地区，适度布局鱼粉、豆粕等大宗饲料原料企业；绍兴市、金华市、台州市等化工基础较好的地区，持续发展饲料添加剂和兽用原料药产业。</w:t>
      </w:r>
    </w:p>
    <w:p>
      <w:pPr>
        <w:pStyle w:val="16"/>
        <w:spacing w:before="0" w:after="0" w:line="590" w:lineRule="exact"/>
        <w:ind w:firstLine="640" w:firstLineChars="200"/>
        <w:jc w:val="both"/>
        <w:rPr>
          <w:rFonts w:ascii="Times New Roman" w:hAnsi="Times New Roman" w:eastAsia="黑体"/>
          <w:b w:val="0"/>
          <w:bCs w:val="0"/>
        </w:rPr>
      </w:pPr>
      <w:bookmarkStart w:id="20" w:name="_Toc74061133"/>
      <w:r>
        <w:rPr>
          <w:rFonts w:ascii="Times New Roman" w:hAnsi="黑体" w:eastAsia="黑体"/>
          <w:b w:val="0"/>
          <w:bCs w:val="0"/>
        </w:rPr>
        <w:t>四、主要任务</w:t>
      </w:r>
      <w:bookmarkEnd w:id="20"/>
    </w:p>
    <w:p>
      <w:pPr>
        <w:spacing w:line="590" w:lineRule="exact"/>
        <w:ind w:firstLine="640" w:firstLineChars="200"/>
        <w:rPr>
          <w:szCs w:val="32"/>
        </w:rPr>
      </w:pPr>
      <w:r>
        <w:rPr>
          <w:szCs w:val="32"/>
        </w:rPr>
        <w:t>聚焦生物安全、生态安全和产品安全，实施</w:t>
      </w:r>
      <w:bookmarkStart w:id="21" w:name="_Hlk73302263"/>
      <w:r>
        <w:rPr>
          <w:szCs w:val="32"/>
        </w:rPr>
        <w:t>现代畜禽种业创新提升行动、生猪综合生产能力提升行动、浙系特色畜禽振兴行动、重大动物疫病防控强基行动、饲料兽药“两化”行动、屠宰和加工流通升级行动、数字畜牧赋能行动等“七大行动”</w:t>
      </w:r>
      <w:bookmarkEnd w:id="21"/>
      <w:r>
        <w:rPr>
          <w:szCs w:val="32"/>
        </w:rPr>
        <w:t>，完善优化</w:t>
      </w:r>
      <w:bookmarkStart w:id="22" w:name="_Hlk73302306"/>
      <w:r>
        <w:rPr>
          <w:szCs w:val="32"/>
        </w:rPr>
        <w:t>种业体系、生产体系、产品体系、防疫体系、技术体系</w:t>
      </w:r>
      <w:bookmarkEnd w:id="22"/>
      <w:r>
        <w:rPr>
          <w:szCs w:val="32"/>
        </w:rPr>
        <w:t>，全力推进畜牧业高质量发展。</w:t>
      </w:r>
    </w:p>
    <w:p>
      <w:pPr>
        <w:spacing w:line="590" w:lineRule="exact"/>
        <w:ind w:firstLine="640" w:firstLineChars="200"/>
        <w:outlineLvl w:val="1"/>
        <w:rPr>
          <w:rFonts w:eastAsia="楷体_GB2312"/>
          <w:szCs w:val="32"/>
        </w:rPr>
      </w:pPr>
      <w:bookmarkStart w:id="23" w:name="_Toc74727527"/>
      <w:bookmarkStart w:id="24" w:name="_Toc74061134"/>
      <w:r>
        <w:rPr>
          <w:rFonts w:eastAsia="楷体_GB2312"/>
          <w:szCs w:val="32"/>
        </w:rPr>
        <w:t>（一）构建现代化畜禽种业体系</w:t>
      </w:r>
      <w:bookmarkEnd w:id="23"/>
    </w:p>
    <w:p>
      <w:pPr>
        <w:spacing w:line="590" w:lineRule="exact"/>
        <w:ind w:firstLine="643" w:firstLineChars="200"/>
        <w:rPr>
          <w:szCs w:val="32"/>
        </w:rPr>
      </w:pPr>
      <w:r>
        <w:rPr>
          <w:b/>
          <w:szCs w:val="32"/>
        </w:rPr>
        <w:t>1.</w:t>
      </w:r>
      <w:r>
        <w:rPr>
          <w:rFonts w:hint="eastAsia"/>
          <w:b/>
          <w:szCs w:val="32"/>
        </w:rPr>
        <w:t xml:space="preserve"> </w:t>
      </w:r>
      <w:r>
        <w:rPr>
          <w:b/>
          <w:szCs w:val="32"/>
        </w:rPr>
        <w:t>加强地方畜禽遗传资源保护。</w:t>
      </w:r>
      <w:r>
        <w:rPr>
          <w:bCs/>
          <w:szCs w:val="32"/>
        </w:rPr>
        <w:t>完成第三次浙江省畜禽遗传资源普查，摸清全省畜禽遗传资源群体数量和分布情况。</w:t>
      </w:r>
      <w:r>
        <w:rPr>
          <w:szCs w:val="32"/>
        </w:rPr>
        <w:t>加强畜禽遗传资源保种场（保护区、基因库）改造提升，及时开展抢救性保护，确保全省所有畜禽地方品种应保尽保。建立省级畜禽遗传物质保存库，重点保存精液、胚胎、体细胞、DNA等遗传物质，构建活体保护和遗传物质保存相结合的畜禽遗传资源保护体系。利用基因组测序等分子生物技术开展遗传信息分析和评估，建立畜禽遗传信息数据平台，实现数字保种。</w:t>
      </w:r>
    </w:p>
    <w:p>
      <w:pPr>
        <w:spacing w:line="590" w:lineRule="exact"/>
        <w:ind w:firstLine="643" w:firstLineChars="200"/>
        <w:rPr>
          <w:szCs w:val="32"/>
        </w:rPr>
      </w:pPr>
      <w:r>
        <w:rPr>
          <w:b/>
          <w:szCs w:val="32"/>
        </w:rPr>
        <w:t>2.</w:t>
      </w:r>
      <w:r>
        <w:rPr>
          <w:rFonts w:hint="eastAsia"/>
          <w:b/>
          <w:szCs w:val="32"/>
        </w:rPr>
        <w:t xml:space="preserve"> </w:t>
      </w:r>
      <w:r>
        <w:rPr>
          <w:b/>
          <w:szCs w:val="32"/>
        </w:rPr>
        <w:t>加强现代育种体系建设。</w:t>
      </w:r>
      <w:r>
        <w:rPr>
          <w:szCs w:val="32"/>
        </w:rPr>
        <w:t>加快构建“以企业为主体、以市场为导向”的商业化育种机制，支持科研院校开展育种基础性研究。支持生猪养殖企业开展引进品种的本地化选育，基本实现种源省内自给。支持优质肉鸡、绍兴鸭、浙东白鹅等品种的种禽企业，推广新型“公司+基地”等养殖模式。支持金华猪、嘉兴黑猪、岔路黑猪、湖羊等种业企业进一步做大做强。加快分子育种等现代生物育种技术产业化应用。</w:t>
      </w:r>
    </w:p>
    <w:p>
      <w:pPr>
        <w:spacing w:line="590" w:lineRule="exact"/>
        <w:ind w:firstLine="643" w:firstLineChars="200"/>
        <w:rPr>
          <w:szCs w:val="32"/>
        </w:rPr>
      </w:pPr>
      <w:r>
        <w:rPr>
          <w:b/>
          <w:szCs w:val="32"/>
        </w:rPr>
        <w:t>3.</w:t>
      </w:r>
      <w:r>
        <w:rPr>
          <w:rFonts w:hint="eastAsia"/>
          <w:b/>
          <w:szCs w:val="32"/>
        </w:rPr>
        <w:t xml:space="preserve"> </w:t>
      </w:r>
      <w:r>
        <w:rPr>
          <w:b/>
          <w:szCs w:val="32"/>
        </w:rPr>
        <w:t>加强良种推广应用。</w:t>
      </w:r>
      <w:r>
        <w:rPr>
          <w:szCs w:val="32"/>
        </w:rPr>
        <w:t>鼓励大型种业企业建立高代次种畜禽场，优化良种扩繁场布局。深化长三角区域种业合作，加强嘉兴黑猪、湖羊等区域性品种开发利用。加大种畜禽质量监测和监督检验力度，不断提升种畜禽质量。</w:t>
      </w:r>
    </w:p>
    <w:p>
      <w:pPr>
        <w:spacing w:line="590" w:lineRule="exact"/>
        <w:ind w:firstLine="643" w:firstLineChars="200"/>
        <w:rPr>
          <w:szCs w:val="32"/>
        </w:rPr>
      </w:pPr>
      <w:r>
        <w:rPr>
          <w:b/>
          <w:szCs w:val="32"/>
        </w:rPr>
        <w:t>4.</w:t>
      </w:r>
      <w:r>
        <w:rPr>
          <w:rFonts w:hint="eastAsia"/>
          <w:b/>
          <w:szCs w:val="32"/>
        </w:rPr>
        <w:t xml:space="preserve"> </w:t>
      </w:r>
      <w:r>
        <w:rPr>
          <w:b/>
          <w:szCs w:val="32"/>
        </w:rPr>
        <w:t>加强种畜禽质量监管。</w:t>
      </w:r>
      <w:r>
        <w:rPr>
          <w:szCs w:val="32"/>
        </w:rPr>
        <w:t>实施种畜禽质量安全监督检验，规范种畜禽生产经营行为，营造健康有序的市场环境。依托省级种畜禽质量监测机构资源，扩大监测范围，健全种畜禽场内测定、检测机构测定与国家测定相结合的种畜禽质量测定和评价制度。</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专栏1</w:t>
            </w:r>
            <w:r>
              <w:rPr>
                <w:rFonts w:hint="eastAsia" w:eastAsia="黑体"/>
                <w:sz w:val="28"/>
                <w:szCs w:val="28"/>
              </w:rPr>
              <w:t xml:space="preserve">  </w:t>
            </w:r>
            <w:r>
              <w:rPr>
                <w:rFonts w:eastAsia="黑体"/>
                <w:sz w:val="28"/>
                <w:szCs w:val="28"/>
              </w:rPr>
              <w:t>实施现代畜禽种业创新提升行动</w:t>
            </w:r>
          </w:p>
          <w:p>
            <w:pPr>
              <w:spacing w:line="354" w:lineRule="exact"/>
              <w:ind w:firstLine="480" w:firstLineChars="200"/>
              <w:rPr>
                <w:sz w:val="24"/>
              </w:rPr>
            </w:pPr>
            <w:r>
              <w:rPr>
                <w:rFonts w:eastAsia="楷体_GB2312"/>
                <w:sz w:val="24"/>
              </w:rPr>
              <w:t>1. 落实畜禽遗传资源保护制度。</w:t>
            </w:r>
            <w:r>
              <w:rPr>
                <w:sz w:val="24"/>
              </w:rPr>
              <w:t>完成全省畜禽遗传资源普查，摸清省内畜禽遗传资源群体数量和分布情况，发掘鉴定一批新资源，修订完善浙江省畜禽遗传资源保护名录，将原产本省的畜禽遗传资源全部纳入省级畜禽遗传资源保护名录。</w:t>
            </w:r>
          </w:p>
          <w:p>
            <w:pPr>
              <w:spacing w:line="354" w:lineRule="exact"/>
              <w:ind w:firstLine="480" w:firstLineChars="200"/>
              <w:rPr>
                <w:sz w:val="24"/>
              </w:rPr>
            </w:pPr>
            <w:r>
              <w:rPr>
                <w:rFonts w:eastAsia="楷体_GB2312"/>
                <w:sz w:val="24"/>
              </w:rPr>
              <w:t>2.</w:t>
            </w:r>
            <w:r>
              <w:rPr>
                <w:rFonts w:hint="eastAsia" w:eastAsia="楷体_GB2312"/>
                <w:sz w:val="24"/>
              </w:rPr>
              <w:t xml:space="preserve"> </w:t>
            </w:r>
            <w:r>
              <w:rPr>
                <w:rFonts w:eastAsia="楷体_GB2312"/>
                <w:sz w:val="24"/>
              </w:rPr>
              <w:t>完善活体保种。</w:t>
            </w:r>
            <w:r>
              <w:rPr>
                <w:sz w:val="24"/>
              </w:rPr>
              <w:t>改造提升省级以上保种场（保护区、基因库）25个；新建省级以上保种场5个、备份场6个、地方猪活体基因库1个；抢救性保护江山乌猪、兰溪花猪、仙居花猪、江山白鹅等地方品种4个，对我省畜禽遗传资源实施有效活体保护。</w:t>
            </w:r>
          </w:p>
          <w:p>
            <w:pPr>
              <w:spacing w:line="354" w:lineRule="exact"/>
              <w:ind w:firstLine="480" w:firstLineChars="200"/>
              <w:rPr>
                <w:sz w:val="24"/>
              </w:rPr>
            </w:pPr>
            <w:r>
              <w:rPr>
                <w:rFonts w:eastAsia="楷体_GB2312"/>
                <w:sz w:val="24"/>
              </w:rPr>
              <w:t>3.</w:t>
            </w:r>
            <w:r>
              <w:rPr>
                <w:rFonts w:hint="eastAsia" w:eastAsia="楷体_GB2312"/>
                <w:sz w:val="24"/>
              </w:rPr>
              <w:t xml:space="preserve"> </w:t>
            </w:r>
            <w:r>
              <w:rPr>
                <w:rFonts w:eastAsia="楷体_GB2312"/>
                <w:sz w:val="24"/>
              </w:rPr>
              <w:t>建立省级畜禽遗传资源基因库。</w:t>
            </w:r>
            <w:r>
              <w:rPr>
                <w:sz w:val="24"/>
              </w:rPr>
              <w:t>制作家畜冷冻精液10万剂、体细胞1800管以上；建立升级畜禽遗传资源信息库，开展遗传信息分析和评估。</w:t>
            </w:r>
          </w:p>
          <w:p>
            <w:pPr>
              <w:spacing w:line="354" w:lineRule="exact"/>
              <w:ind w:firstLine="480" w:firstLineChars="200"/>
              <w:rPr>
                <w:sz w:val="24"/>
              </w:rPr>
            </w:pPr>
            <w:r>
              <w:rPr>
                <w:rFonts w:eastAsia="楷体_GB2312"/>
                <w:sz w:val="24"/>
              </w:rPr>
              <w:t>4.</w:t>
            </w:r>
            <w:r>
              <w:rPr>
                <w:rFonts w:hint="eastAsia" w:eastAsia="楷体_GB2312"/>
                <w:sz w:val="24"/>
              </w:rPr>
              <w:t xml:space="preserve"> </w:t>
            </w:r>
            <w:r>
              <w:rPr>
                <w:rFonts w:eastAsia="楷体_GB2312"/>
                <w:sz w:val="24"/>
              </w:rPr>
              <w:t>核心种业企业培育。</w:t>
            </w:r>
            <w:r>
              <w:rPr>
                <w:sz w:val="24"/>
              </w:rPr>
              <w:t>着力培育国外引种生猪品种的核心种业企业4-6个，优质肉鸡、绍兴鸭、浙东白鹅等品种的核心种业企业4-5个，金华猪、嘉兴黑猪、湖羊、蜜蜂等地方特色畜种核心种业企业4-6个。支持生猪、肉鸡、水禽、肉羊等优势种业企业积极参与全国畜禽遗传改良计划。</w:t>
            </w:r>
          </w:p>
          <w:p>
            <w:pPr>
              <w:spacing w:line="354" w:lineRule="exact"/>
              <w:ind w:firstLine="480" w:firstLineChars="200"/>
              <w:rPr>
                <w:rFonts w:eastAsia="楷体_GB2312"/>
                <w:sz w:val="24"/>
              </w:rPr>
            </w:pPr>
            <w:r>
              <w:rPr>
                <w:rFonts w:eastAsia="楷体_GB2312"/>
                <w:sz w:val="24"/>
              </w:rPr>
              <w:t>5.</w:t>
            </w:r>
            <w:r>
              <w:rPr>
                <w:rFonts w:hint="eastAsia" w:eastAsia="楷体_GB2312"/>
                <w:sz w:val="24"/>
              </w:rPr>
              <w:t xml:space="preserve"> </w:t>
            </w:r>
            <w:r>
              <w:rPr>
                <w:rFonts w:eastAsia="楷体_GB2312"/>
                <w:sz w:val="24"/>
              </w:rPr>
              <w:t>种畜禽场改造提升。</w:t>
            </w:r>
            <w:r>
              <w:rPr>
                <w:sz w:val="24"/>
              </w:rPr>
              <w:t>优化扩繁场布局，完善良种繁育体系，加大良种扩繁基地建设，每年改造提升种畜禽场（站）20个，至2025年建有种畜禽场（站）180个以上。支持奶牛场使用高性能指数的良种冻精和进口性控冻精，提升母牛繁育水平。</w:t>
            </w:r>
          </w:p>
        </w:tc>
      </w:tr>
    </w:tbl>
    <w:p>
      <w:pPr>
        <w:pStyle w:val="4"/>
        <w:keepNext w:val="0"/>
        <w:keepLines w:val="0"/>
        <w:numPr>
          <w:ilvl w:val="0"/>
          <w:numId w:val="0"/>
        </w:numPr>
        <w:spacing w:line="590" w:lineRule="exact"/>
        <w:ind w:left="640"/>
        <w:rPr>
          <w:rFonts w:ascii="Times New Roman" w:hAnsi="Times New Roman"/>
        </w:rPr>
      </w:pPr>
      <w:r>
        <w:rPr>
          <w:rFonts w:ascii="Times New Roman" w:hAnsi="楷体_GB2312"/>
        </w:rPr>
        <w:t>（二）</w:t>
      </w:r>
      <w:bookmarkStart w:id="25" w:name="_Hlk73302420"/>
      <w:r>
        <w:rPr>
          <w:rFonts w:ascii="Times New Roman" w:hAnsi="楷体_GB2312"/>
        </w:rPr>
        <w:t>构建高效益生产体系</w:t>
      </w:r>
      <w:bookmarkEnd w:id="24"/>
      <w:bookmarkEnd w:id="25"/>
    </w:p>
    <w:p>
      <w:pPr>
        <w:spacing w:line="590" w:lineRule="exact"/>
        <w:ind w:firstLine="643" w:firstLineChars="200"/>
        <w:rPr>
          <w:szCs w:val="32"/>
        </w:rPr>
      </w:pPr>
      <w:r>
        <w:rPr>
          <w:b/>
          <w:szCs w:val="32"/>
        </w:rPr>
        <w:t>1.</w:t>
      </w:r>
      <w:r>
        <w:rPr>
          <w:rFonts w:hint="eastAsia"/>
          <w:b/>
          <w:szCs w:val="32"/>
        </w:rPr>
        <w:t xml:space="preserve"> </w:t>
      </w:r>
      <w:r>
        <w:rPr>
          <w:b/>
          <w:szCs w:val="32"/>
        </w:rPr>
        <w:t>加快主要畜禽发展。</w:t>
      </w:r>
      <w:r>
        <w:rPr>
          <w:szCs w:val="32"/>
        </w:rPr>
        <w:t>坚持“六化”引领，着力打造一批畜牧业保供主渠道企业和区域性产业集群。全省新（扩）建万头以上猪场160家以上，年出栏万头以上生猪规模比重达到75%，到</w:t>
      </w:r>
      <w:r>
        <w:rPr>
          <w:spacing w:val="-4"/>
          <w:szCs w:val="32"/>
        </w:rPr>
        <w:t>2022年，</w:t>
      </w:r>
      <w:bookmarkStart w:id="26" w:name="_Hlk73302587"/>
      <w:r>
        <w:rPr>
          <w:spacing w:val="-4"/>
          <w:szCs w:val="32"/>
        </w:rPr>
        <w:t>生猪存栏和出栏分别稳定在778万头和1400万头以上</w:t>
      </w:r>
      <w:bookmarkEnd w:id="26"/>
      <w:r>
        <w:rPr>
          <w:spacing w:val="-4"/>
          <w:szCs w:val="32"/>
        </w:rPr>
        <w:t>。改造提升规模猪场，打造美丽牧场升级版，“以大带小”推动生猪产业提档升级。以金华猪、嘉兴黑猪、岔路黑猪等为重点，打造“浙猪”品牌，力争出栏占比达10%以上。加快家禽产业发展，支持新建一批年出栏300万只以上肉禽养殖场、存栏50万只以上蛋鸡场和10万只以上蛋鸭场，年出栏家禽2.2亿只，蛋禽存栏3000万只。加快奶业振兴，优化产业布局，奶牛存栏5.1万头以上。</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专栏2</w:t>
            </w:r>
            <w:r>
              <w:rPr>
                <w:rFonts w:hint="eastAsia" w:eastAsia="黑体"/>
                <w:sz w:val="28"/>
                <w:szCs w:val="28"/>
              </w:rPr>
              <w:t xml:space="preserve">  </w:t>
            </w:r>
            <w:r>
              <w:rPr>
                <w:rFonts w:eastAsia="黑体"/>
                <w:sz w:val="28"/>
                <w:szCs w:val="28"/>
              </w:rPr>
              <w:t>实施</w:t>
            </w:r>
            <w:bookmarkStart w:id="27" w:name="_Hlk73302507"/>
            <w:r>
              <w:rPr>
                <w:rFonts w:eastAsia="黑体"/>
                <w:sz w:val="28"/>
                <w:szCs w:val="28"/>
              </w:rPr>
              <w:t>生猪综合生产能力提升</w:t>
            </w:r>
            <w:bookmarkEnd w:id="27"/>
            <w:r>
              <w:rPr>
                <w:rFonts w:eastAsia="黑体"/>
                <w:sz w:val="28"/>
                <w:szCs w:val="28"/>
              </w:rPr>
              <w:t>行动</w:t>
            </w:r>
          </w:p>
          <w:p>
            <w:pPr>
              <w:spacing w:line="360" w:lineRule="exact"/>
              <w:ind w:firstLine="480" w:firstLineChars="200"/>
              <w:rPr>
                <w:sz w:val="24"/>
              </w:rPr>
            </w:pPr>
            <w:r>
              <w:rPr>
                <w:rFonts w:eastAsia="楷体_GB2312"/>
                <w:sz w:val="24"/>
              </w:rPr>
              <w:t>1.</w:t>
            </w:r>
            <w:r>
              <w:rPr>
                <w:rFonts w:hint="eastAsia" w:eastAsia="楷体_GB2312"/>
                <w:sz w:val="24"/>
              </w:rPr>
              <w:t xml:space="preserve"> </w:t>
            </w:r>
            <w:r>
              <w:rPr>
                <w:rFonts w:eastAsia="楷体_GB2312"/>
                <w:sz w:val="24"/>
              </w:rPr>
              <w:t>持续抓好生猪增产保供。</w:t>
            </w:r>
            <w:r>
              <w:rPr>
                <w:sz w:val="24"/>
              </w:rPr>
              <w:t>加快推进万头以上猪场投产，支持改造提升现有养殖场，确保形成780万头以上生产能力。鼓励龙头企业通过收购、托管、技术输出等方式，“以大带小”推动产业升级。推进万头以上猪场创建美丽牧场，促进养殖场与美丽乡村融入融合。持续推进规模猪场“机器换人”，大力推广自动化设备和信息化应用系统，力争到2025年万头以上猪场基本建成美丽牧场和数字化牧场。</w:t>
            </w:r>
          </w:p>
          <w:p>
            <w:pPr>
              <w:spacing w:line="360" w:lineRule="exact"/>
              <w:ind w:firstLine="480" w:firstLineChars="200"/>
              <w:rPr>
                <w:sz w:val="24"/>
              </w:rPr>
            </w:pPr>
            <w:r>
              <w:rPr>
                <w:rFonts w:eastAsia="楷体_GB2312"/>
                <w:sz w:val="24"/>
              </w:rPr>
              <w:t>2.</w:t>
            </w:r>
            <w:r>
              <w:rPr>
                <w:rFonts w:hint="eastAsia" w:eastAsia="楷体_GB2312"/>
                <w:sz w:val="24"/>
              </w:rPr>
              <w:t xml:space="preserve"> </w:t>
            </w:r>
            <w:r>
              <w:rPr>
                <w:rFonts w:eastAsia="楷体_GB2312"/>
                <w:sz w:val="24"/>
              </w:rPr>
              <w:t>大力培育“浙猪”品牌。</w:t>
            </w:r>
            <w:r>
              <w:rPr>
                <w:sz w:val="24"/>
              </w:rPr>
              <w:t>加大力度支持金华猪、嘉兴黑猪、岔路黑猪等地方良种保护和开发利用，鼓励大型企业设立养猪研究院，不断提高“浙猪”饲养比重，力争到2025年，优质“浙猪”出栏占比达10%以上。鼓励大型企业开展生猪产加销一体化经营。加强特色品牌培育，提升“浙猪”产品附加值。</w:t>
            </w:r>
          </w:p>
          <w:p>
            <w:pPr>
              <w:spacing w:line="360" w:lineRule="exact"/>
              <w:ind w:firstLine="480" w:firstLineChars="200"/>
              <w:rPr>
                <w:sz w:val="24"/>
              </w:rPr>
            </w:pPr>
            <w:r>
              <w:rPr>
                <w:rFonts w:eastAsia="楷体_GB2312"/>
                <w:sz w:val="24"/>
              </w:rPr>
              <w:t>3.</w:t>
            </w:r>
            <w:r>
              <w:rPr>
                <w:rFonts w:hint="eastAsia" w:eastAsia="楷体_GB2312"/>
                <w:sz w:val="24"/>
              </w:rPr>
              <w:t xml:space="preserve"> </w:t>
            </w:r>
            <w:r>
              <w:rPr>
                <w:rFonts w:eastAsia="楷体_GB2312"/>
                <w:sz w:val="24"/>
              </w:rPr>
              <w:t>提升应急保障能力。</w:t>
            </w:r>
            <w:r>
              <w:rPr>
                <w:sz w:val="24"/>
              </w:rPr>
              <w:t>完善生猪养殖跨区域调剂补偿政策，探索建立稳定生猪产业托底政策。加强产销衔接，建立生猪及其产品稳定调入和进口的长效机制。建立健全生猪保供“四三二”机制（围绕工作、政策、激励、评价“四个体系”，构建常态、偏紧、严峻三种状态下的响应和运行机制），着力稳定生猪生产供应。</w:t>
            </w:r>
          </w:p>
          <w:p>
            <w:pPr>
              <w:spacing w:line="360" w:lineRule="exact"/>
              <w:ind w:firstLine="480" w:firstLineChars="200"/>
              <w:rPr>
                <w:sz w:val="24"/>
              </w:rPr>
            </w:pPr>
            <w:r>
              <w:rPr>
                <w:rFonts w:eastAsia="楷体_GB2312"/>
                <w:sz w:val="24"/>
              </w:rPr>
              <w:t>4.</w:t>
            </w:r>
            <w:r>
              <w:rPr>
                <w:rFonts w:hint="eastAsia" w:eastAsia="楷体_GB2312"/>
                <w:sz w:val="24"/>
              </w:rPr>
              <w:t xml:space="preserve"> </w:t>
            </w:r>
            <w:r>
              <w:rPr>
                <w:rFonts w:eastAsia="楷体_GB2312"/>
                <w:sz w:val="24"/>
              </w:rPr>
              <w:t>提高疫病防控能力。</w:t>
            </w:r>
            <w:r>
              <w:rPr>
                <w:sz w:val="24"/>
              </w:rPr>
              <w:t>落实主体防疫责任，加快大型规模猪场、种猪场动物防疫基础设施改造提升。引导推进重大动物疫病防控、病死动物无害化处理、畜禽粪污资源化利用等社会化服务，落实联防联控要求。</w:t>
            </w:r>
          </w:p>
        </w:tc>
      </w:tr>
    </w:tbl>
    <w:p>
      <w:pPr>
        <w:spacing w:line="590" w:lineRule="exact"/>
        <w:ind w:firstLine="643" w:firstLineChars="200"/>
        <w:rPr>
          <w:rFonts w:hint="eastAsia"/>
          <w:szCs w:val="32"/>
        </w:rPr>
      </w:pPr>
      <w:r>
        <w:rPr>
          <w:rFonts w:hint="eastAsia"/>
          <w:b/>
          <w:bCs/>
          <w:szCs w:val="32"/>
        </w:rPr>
        <w:t>2</w:t>
      </w:r>
      <w:r>
        <w:rPr>
          <w:b/>
          <w:szCs w:val="32"/>
        </w:rPr>
        <w:t>.</w:t>
      </w:r>
      <w:r>
        <w:rPr>
          <w:rFonts w:hint="eastAsia"/>
          <w:b/>
          <w:szCs w:val="32"/>
        </w:rPr>
        <w:t xml:space="preserve"> </w:t>
      </w:r>
      <w:r>
        <w:rPr>
          <w:b/>
          <w:bCs/>
          <w:szCs w:val="32"/>
        </w:rPr>
        <w:t>加快特色产业发展。</w:t>
      </w:r>
      <w:r>
        <w:rPr>
          <w:szCs w:val="32"/>
        </w:rPr>
        <w:t>按照精品化、优质化、多样化发展要求，深入实施特色产业振兴计划。以仙居鸡、绍兴鸭、缙云麻鸭、浙东白鹅等列入国家或省级畜禽遗传资源名录的家禽品种为重点，推广新型“公司+合作社+家庭农场”模式，做大做强龙头企业，加快“浙禽”增量提质，培育一批“国字号”“浙字号”家禽品牌。加快推动湖羊产业层次提升，存栏量超过136万只。巩固提升蜜蜂产业优势区，蜜蜂饲养量保持在150万箱。鼓励“浙兔”走出去养殖，支持有条件的区域适度发展梅花鹿、绿头鸭、雉鸡等特色养殖业。</w:t>
      </w:r>
    </w:p>
    <w:p>
      <w:pPr>
        <w:spacing w:line="590" w:lineRule="exact"/>
        <w:ind w:left="640"/>
        <w:rPr>
          <w:szCs w:val="32"/>
        </w:rPr>
      </w:pP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专栏3</w:t>
            </w:r>
            <w:r>
              <w:rPr>
                <w:rFonts w:hint="eastAsia" w:eastAsia="黑体"/>
                <w:sz w:val="28"/>
                <w:szCs w:val="28"/>
              </w:rPr>
              <w:t xml:space="preserve">  </w:t>
            </w:r>
            <w:r>
              <w:rPr>
                <w:rFonts w:eastAsia="黑体"/>
                <w:sz w:val="28"/>
                <w:szCs w:val="28"/>
              </w:rPr>
              <w:t>实施</w:t>
            </w:r>
            <w:bookmarkStart w:id="28" w:name="_Hlk73302518"/>
            <w:r>
              <w:rPr>
                <w:rFonts w:eastAsia="黑体"/>
                <w:sz w:val="28"/>
                <w:szCs w:val="28"/>
              </w:rPr>
              <w:t>浙系特色畜禽振兴行动</w:t>
            </w:r>
            <w:bookmarkEnd w:id="28"/>
          </w:p>
          <w:p>
            <w:pPr>
              <w:spacing w:line="360" w:lineRule="exact"/>
              <w:ind w:firstLine="480" w:firstLineChars="200"/>
              <w:rPr>
                <w:sz w:val="24"/>
              </w:rPr>
            </w:pPr>
            <w:r>
              <w:rPr>
                <w:rFonts w:eastAsia="楷体_GB2312"/>
                <w:sz w:val="24"/>
              </w:rPr>
              <w:t>1.</w:t>
            </w:r>
            <w:r>
              <w:rPr>
                <w:rFonts w:hint="eastAsia" w:eastAsia="楷体_GB2312"/>
                <w:sz w:val="24"/>
              </w:rPr>
              <w:t xml:space="preserve"> </w:t>
            </w:r>
            <w:r>
              <w:rPr>
                <w:rFonts w:eastAsia="楷体_GB2312"/>
                <w:sz w:val="24"/>
              </w:rPr>
              <w:t>浙禽。</w:t>
            </w:r>
            <w:r>
              <w:rPr>
                <w:sz w:val="24"/>
              </w:rPr>
              <w:t>优化产业布局，重点支持新建一批年出栏300万只以上肉禽养殖场、存栏50万只以上蛋鸡场和10万只以上蛋鸭场。加强种质资源保护和开发利用，建成2个省级以上家禽基因库，新增2个以上新品种（配套系）。推进标准化规模养殖，优先支持“浙禽”企业建立标准化养殖基地，支持种禽场开展白血病等垂直传播性疫病净化，改造提升标准化家禽养殖场300个以上。</w:t>
            </w:r>
          </w:p>
          <w:p>
            <w:pPr>
              <w:spacing w:line="360" w:lineRule="exact"/>
              <w:ind w:firstLine="480" w:firstLineChars="200"/>
              <w:rPr>
                <w:sz w:val="24"/>
              </w:rPr>
            </w:pPr>
            <w:r>
              <w:rPr>
                <w:rFonts w:eastAsia="楷体_GB2312"/>
                <w:sz w:val="24"/>
              </w:rPr>
              <w:t>2.</w:t>
            </w:r>
            <w:r>
              <w:rPr>
                <w:rFonts w:hint="eastAsia" w:eastAsia="楷体_GB2312"/>
                <w:sz w:val="24"/>
              </w:rPr>
              <w:t xml:space="preserve"> </w:t>
            </w:r>
            <w:r>
              <w:rPr>
                <w:rFonts w:eastAsia="楷体_GB2312"/>
                <w:sz w:val="24"/>
              </w:rPr>
              <w:t>湖羊。</w:t>
            </w:r>
            <w:r>
              <w:rPr>
                <w:sz w:val="24"/>
              </w:rPr>
              <w:t>加强种质资源保护，着力提升种业核心竞争力，建成国家级肉羊核心育种场1-2家，湖羊年供种能力达到10万只以上。加强产业科技支撑，重点推进存栏3000只以上规模湖羊场数字化建设，推广构建涵盖繁殖育种、自动饲喂、环境控制、饲养管理的数字化管理体系，在湖州、嘉兴、杭州等传统养殖区建成数字化羊场10个，在湖羊主产县建立1家以上秸秆资源化利用示范企业。</w:t>
            </w:r>
          </w:p>
          <w:p>
            <w:pPr>
              <w:spacing w:line="360" w:lineRule="exact"/>
              <w:ind w:firstLine="480" w:firstLineChars="200"/>
              <w:rPr>
                <w:sz w:val="24"/>
              </w:rPr>
            </w:pPr>
            <w:r>
              <w:rPr>
                <w:rFonts w:eastAsia="楷体_GB2312"/>
                <w:sz w:val="24"/>
              </w:rPr>
              <w:t>3.</w:t>
            </w:r>
            <w:r>
              <w:rPr>
                <w:rFonts w:hint="eastAsia" w:eastAsia="楷体_GB2312"/>
                <w:sz w:val="24"/>
              </w:rPr>
              <w:t xml:space="preserve"> </w:t>
            </w:r>
            <w:r>
              <w:rPr>
                <w:rFonts w:eastAsia="楷体_GB2312"/>
                <w:sz w:val="24"/>
              </w:rPr>
              <w:t>浙蜂。</w:t>
            </w:r>
            <w:r>
              <w:rPr>
                <w:sz w:val="24"/>
              </w:rPr>
              <w:t>加强种质资源开发保护和开发利用，提升改善蜂王浆品质，改造提升6家种蜂场。加强机械化蜂场建设，新建或改造提升机械化蜂场50个。</w:t>
            </w:r>
          </w:p>
          <w:p>
            <w:pPr>
              <w:spacing w:line="360" w:lineRule="exact"/>
              <w:ind w:firstLine="480" w:firstLineChars="200"/>
              <w:rPr>
                <w:sz w:val="24"/>
              </w:rPr>
            </w:pPr>
            <w:r>
              <w:rPr>
                <w:rFonts w:eastAsia="楷体_GB2312"/>
                <w:sz w:val="24"/>
              </w:rPr>
              <w:t>4.</w:t>
            </w:r>
            <w:r>
              <w:rPr>
                <w:rFonts w:hint="eastAsia" w:eastAsia="楷体_GB2312"/>
                <w:sz w:val="24"/>
              </w:rPr>
              <w:t xml:space="preserve"> </w:t>
            </w:r>
            <w:r>
              <w:rPr>
                <w:rFonts w:eastAsia="楷体_GB2312"/>
                <w:sz w:val="24"/>
              </w:rPr>
              <w:t>浙兔。</w:t>
            </w:r>
            <w:r>
              <w:rPr>
                <w:sz w:val="24"/>
              </w:rPr>
              <w:t>保持浙系长毛兔主要生产性能世界领先优势，长毛兔良种国内市场占有率达50%以上。以提高劳动生产率、资源转化率和畜禽生产率为核心，新建或改造提升自动化兔场50个。</w:t>
            </w:r>
          </w:p>
          <w:p>
            <w:pPr>
              <w:spacing w:line="360" w:lineRule="exact"/>
              <w:ind w:firstLine="480" w:firstLineChars="200"/>
              <w:rPr>
                <w:sz w:val="24"/>
              </w:rPr>
            </w:pPr>
            <w:r>
              <w:rPr>
                <w:rFonts w:eastAsia="楷体_GB2312"/>
                <w:sz w:val="24"/>
              </w:rPr>
              <w:t>5.</w:t>
            </w:r>
            <w:r>
              <w:rPr>
                <w:rFonts w:hint="eastAsia" w:eastAsia="楷体_GB2312"/>
                <w:sz w:val="24"/>
              </w:rPr>
              <w:t xml:space="preserve"> </w:t>
            </w:r>
            <w:r>
              <w:rPr>
                <w:rFonts w:eastAsia="楷体_GB2312"/>
                <w:sz w:val="24"/>
              </w:rPr>
              <w:t>促进产业融合发展。</w:t>
            </w:r>
            <w:r>
              <w:rPr>
                <w:sz w:val="24"/>
              </w:rPr>
              <w:t>深耕“湖州湖羊”“桐乡湖羊”“南浔知味”等区域公共品牌，支持“浙禽”企业申请国家地理标志认证，推动家禽、湖羊、蜜蜂、兔等精深加工，发展休闲观光牧场，促进全产业链融合。到2025年，形成竞争力强、附加值高、影响力广的畜禽产业品牌10个。</w:t>
            </w:r>
          </w:p>
        </w:tc>
      </w:tr>
    </w:tbl>
    <w:p>
      <w:pPr>
        <w:spacing w:line="590" w:lineRule="exact"/>
        <w:ind w:firstLine="643" w:firstLineChars="200"/>
        <w:rPr>
          <w:szCs w:val="32"/>
        </w:rPr>
      </w:pPr>
      <w:r>
        <w:rPr>
          <w:b/>
          <w:szCs w:val="32"/>
        </w:rPr>
        <w:t>3.</w:t>
      </w:r>
      <w:r>
        <w:rPr>
          <w:rFonts w:hint="eastAsia"/>
          <w:b/>
          <w:szCs w:val="32"/>
        </w:rPr>
        <w:t xml:space="preserve"> </w:t>
      </w:r>
      <w:r>
        <w:rPr>
          <w:b/>
          <w:szCs w:val="32"/>
        </w:rPr>
        <w:t>加快</w:t>
      </w:r>
      <w:bookmarkStart w:id="29" w:name="_Hlk73302680"/>
      <w:r>
        <w:rPr>
          <w:b/>
          <w:szCs w:val="32"/>
        </w:rPr>
        <w:t>饲料兽药产业发展</w:t>
      </w:r>
      <w:bookmarkEnd w:id="29"/>
      <w:r>
        <w:rPr>
          <w:b/>
          <w:szCs w:val="32"/>
        </w:rPr>
        <w:t>。</w:t>
      </w:r>
      <w:r>
        <w:rPr>
          <w:szCs w:val="32"/>
        </w:rPr>
        <w:t>继续做强做优维生素类饲料添加剂和兽用原料药产业，进一步优化产品结构，加快生物饲料、新型疫苗、新型安全高效饲料添加剂和原料药等研发。支持企业强化技术创新，改进生产工艺，提升生产水平，不断创新经营模式，持续实施全球化发展战略，打造更多具影响力的知名品牌和企业。不断增强监管能力，重点加强互联网饲料兽药经营监管，促进饲料兽药产业持续健康发展。</w:t>
      </w:r>
    </w:p>
    <w:p>
      <w:pPr>
        <w:spacing w:line="590" w:lineRule="exact"/>
        <w:ind w:firstLine="643" w:firstLineChars="200"/>
        <w:rPr>
          <w:szCs w:val="32"/>
        </w:rPr>
      </w:pPr>
      <w:r>
        <w:rPr>
          <w:b/>
          <w:szCs w:val="32"/>
        </w:rPr>
        <w:t>4.</w:t>
      </w:r>
      <w:r>
        <w:rPr>
          <w:rFonts w:hint="eastAsia"/>
          <w:b/>
          <w:szCs w:val="32"/>
        </w:rPr>
        <w:t xml:space="preserve"> </w:t>
      </w:r>
      <w:r>
        <w:rPr>
          <w:b/>
          <w:szCs w:val="32"/>
        </w:rPr>
        <w:t>加快全产业链培育。</w:t>
      </w:r>
      <w:r>
        <w:rPr>
          <w:szCs w:val="32"/>
        </w:rPr>
        <w:t>以做强产业链、提升价值链、稳定供应链为目标，推动一二三产融合发展。引导饲料兽药、畜禽养殖、屠宰加工等龙头企业向产业链前后端延伸，支持推动畜禽主渠道企业上市，着力培育产值超10亿元的畜禽全产业链10条以上，其中百万头能级的生猪全产业链5条以上，培育区域性知名品牌30个以上。举办湖羊节、蜜蜂日等活动，打造省级以上休闲观光牧场30家以上。</w:t>
      </w:r>
    </w:p>
    <w:p>
      <w:pPr>
        <w:pStyle w:val="4"/>
        <w:keepNext w:val="0"/>
        <w:keepLines w:val="0"/>
        <w:numPr>
          <w:ilvl w:val="0"/>
          <w:numId w:val="0"/>
        </w:numPr>
        <w:spacing w:line="590" w:lineRule="exact"/>
        <w:ind w:left="640"/>
        <w:rPr>
          <w:rFonts w:ascii="Times New Roman" w:hAnsi="Times New Roman"/>
        </w:rPr>
      </w:pPr>
      <w:bookmarkStart w:id="30" w:name="_Toc74061135"/>
      <w:r>
        <w:rPr>
          <w:rFonts w:ascii="Times New Roman" w:hAnsi="Times New Roman"/>
        </w:rPr>
        <w:t>（三）构建高密度防疫体系</w:t>
      </w:r>
      <w:bookmarkEnd w:id="30"/>
    </w:p>
    <w:p>
      <w:pPr>
        <w:spacing w:line="590" w:lineRule="exact"/>
        <w:ind w:firstLine="643" w:firstLineChars="200"/>
        <w:rPr>
          <w:szCs w:val="32"/>
        </w:rPr>
      </w:pPr>
      <w:r>
        <w:rPr>
          <w:b/>
          <w:szCs w:val="32"/>
        </w:rPr>
        <w:t>1.</w:t>
      </w:r>
      <w:r>
        <w:rPr>
          <w:rFonts w:hint="eastAsia"/>
          <w:b/>
          <w:szCs w:val="32"/>
        </w:rPr>
        <w:t xml:space="preserve"> </w:t>
      </w:r>
      <w:r>
        <w:rPr>
          <w:b/>
          <w:szCs w:val="32"/>
        </w:rPr>
        <w:t>强化主体防控。</w:t>
      </w:r>
      <w:r>
        <w:rPr>
          <w:szCs w:val="32"/>
        </w:rPr>
        <w:t>进一步压实主体防疫责任，全面推行口蹄疫、高致病性禽流感、小反刍兽疫等强制免疫“先打后补”。通过养殖场户自行免疫、第三方服务主体免疫、政府免疫服务等多种形式，实现“应免尽免”。开展常态化自检、洗消，存栏5000头以上规模猪场、种猪场全部建成非洲猪瘟检测室和独立洗消点。实施种畜禽场和规模场重点动物疫病净化行动，建成省级以上非洲猪瘟无疫小区50个以上，其中一级以上种猪场全部建成非洲猪瘟无疫小区。</w:t>
      </w:r>
    </w:p>
    <w:p>
      <w:pPr>
        <w:spacing w:line="590" w:lineRule="exact"/>
        <w:ind w:firstLine="643" w:firstLineChars="200"/>
        <w:rPr>
          <w:szCs w:val="32"/>
        </w:rPr>
      </w:pPr>
      <w:r>
        <w:rPr>
          <w:b/>
          <w:szCs w:val="32"/>
        </w:rPr>
        <w:t>2.</w:t>
      </w:r>
      <w:r>
        <w:rPr>
          <w:rFonts w:hint="eastAsia"/>
          <w:b/>
          <w:szCs w:val="32"/>
        </w:rPr>
        <w:t xml:space="preserve"> </w:t>
      </w:r>
      <w:r>
        <w:rPr>
          <w:b/>
          <w:szCs w:val="32"/>
        </w:rPr>
        <w:t>强化区域防护。</w:t>
      </w:r>
      <w:r>
        <w:rPr>
          <w:szCs w:val="32"/>
        </w:rPr>
        <w:t>完善部门协同防控机制，联动防控布病、禽流感等人畜共患病和野生动物疫病，组织开展打击违法违规调运、私屠滥宰等专项执法行动。改造提升以动物卫生监督所站、病死动物公共处理中心等为主的动物防疫基础设施。加快系统内兽医实验室改造升级，加强第三方实验室监管，切实增强动物疫病监测预警能力。加快推进无规定马属动物疫病区、非洲猪瘟无疫区建设。创新动物和动物产品检疫制度，探索建立企业兽医辅助检疫、官方兽医监督签证的试点机制。</w:t>
      </w:r>
    </w:p>
    <w:p>
      <w:pPr>
        <w:spacing w:line="590" w:lineRule="exact"/>
        <w:ind w:firstLine="643" w:firstLineChars="200"/>
        <w:rPr>
          <w:szCs w:val="32"/>
        </w:rPr>
      </w:pPr>
      <w:r>
        <w:rPr>
          <w:b/>
          <w:szCs w:val="32"/>
        </w:rPr>
        <w:t>3.</w:t>
      </w:r>
      <w:r>
        <w:rPr>
          <w:rFonts w:hint="eastAsia"/>
          <w:b/>
          <w:szCs w:val="32"/>
        </w:rPr>
        <w:t xml:space="preserve"> </w:t>
      </w:r>
      <w:r>
        <w:rPr>
          <w:b/>
          <w:szCs w:val="32"/>
        </w:rPr>
        <w:t>强化省际屏障。</w:t>
      </w:r>
      <w:r>
        <w:rPr>
          <w:szCs w:val="32"/>
        </w:rPr>
        <w:t>改扩建、迁建省际公路动物卫生监督检查站10个，落实动物及动物产品调运备案制度，提升设施装备、应急处理水平。落实重大动物疫病分区防控要求，积极推动长三角地区联防联控，统筹做好动物疫病防控、动物及动物产品调运监管和市场供应等工作。加强口岸动物疫情防控，提升口岸监测预警、应急处置能力。</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专栏4</w:t>
            </w:r>
            <w:r>
              <w:rPr>
                <w:rFonts w:hint="eastAsia" w:eastAsia="黑体"/>
                <w:sz w:val="28"/>
                <w:szCs w:val="28"/>
              </w:rPr>
              <w:t xml:space="preserve">  </w:t>
            </w:r>
            <w:r>
              <w:rPr>
                <w:rFonts w:eastAsia="黑体"/>
                <w:sz w:val="28"/>
                <w:szCs w:val="28"/>
              </w:rPr>
              <w:t>实施</w:t>
            </w:r>
            <w:bookmarkStart w:id="31" w:name="_Hlk73303343"/>
            <w:r>
              <w:rPr>
                <w:rFonts w:eastAsia="黑体"/>
                <w:sz w:val="28"/>
                <w:szCs w:val="28"/>
              </w:rPr>
              <w:t>重大动物疫病防控强基行动</w:t>
            </w:r>
            <w:bookmarkEnd w:id="31"/>
          </w:p>
          <w:p>
            <w:pPr>
              <w:spacing w:line="350" w:lineRule="exact"/>
              <w:ind w:firstLine="480" w:firstLineChars="200"/>
              <w:rPr>
                <w:sz w:val="24"/>
              </w:rPr>
            </w:pPr>
            <w:r>
              <w:rPr>
                <w:rFonts w:eastAsia="楷体_GB2312"/>
                <w:sz w:val="24"/>
              </w:rPr>
              <w:t>1.</w:t>
            </w:r>
            <w:r>
              <w:rPr>
                <w:rFonts w:hint="eastAsia" w:eastAsia="楷体_GB2312"/>
                <w:sz w:val="24"/>
              </w:rPr>
              <w:t xml:space="preserve"> </w:t>
            </w:r>
            <w:r>
              <w:rPr>
                <w:rFonts w:eastAsia="楷体_GB2312"/>
                <w:sz w:val="24"/>
              </w:rPr>
              <w:t>兽医实验室建设。</w:t>
            </w:r>
            <w:r>
              <w:rPr>
                <w:sz w:val="24"/>
              </w:rPr>
              <w:t>巩固省、市、县三级动物疫情监测预警网络，完善疫病监测报告制度与重大动物疫情分析研判机制，改造提升25家兽医实验室，95%以上兽医实验室达到生物安全二级标准且具备非洲猪瘟等病原学检测能力。</w:t>
            </w:r>
          </w:p>
          <w:p>
            <w:pPr>
              <w:spacing w:line="350" w:lineRule="exact"/>
              <w:ind w:firstLine="480" w:firstLineChars="200"/>
              <w:rPr>
                <w:sz w:val="24"/>
              </w:rPr>
            </w:pPr>
            <w:r>
              <w:rPr>
                <w:rFonts w:eastAsia="楷体_GB2312"/>
                <w:sz w:val="24"/>
              </w:rPr>
              <w:t>2.</w:t>
            </w:r>
            <w:r>
              <w:rPr>
                <w:rFonts w:hint="eastAsia" w:eastAsia="楷体_GB2312"/>
                <w:sz w:val="24"/>
              </w:rPr>
              <w:t xml:space="preserve"> </w:t>
            </w:r>
            <w:r>
              <w:rPr>
                <w:rFonts w:eastAsia="楷体_GB2312"/>
                <w:sz w:val="24"/>
              </w:rPr>
              <w:t>动物卫生监督所（站）建设。</w:t>
            </w:r>
            <w:r>
              <w:rPr>
                <w:sz w:val="24"/>
              </w:rPr>
              <w:t>改造提升6家省际公路动物卫生监督检查站，迁建省际检查站4个。支持畜牧养殖大县开展检疫监督设施改造，完成区域所（站）改造任务100个以上。</w:t>
            </w:r>
          </w:p>
          <w:p>
            <w:pPr>
              <w:spacing w:line="350" w:lineRule="exact"/>
              <w:ind w:firstLine="480" w:firstLineChars="200"/>
              <w:rPr>
                <w:sz w:val="24"/>
              </w:rPr>
            </w:pPr>
            <w:r>
              <w:rPr>
                <w:rFonts w:eastAsia="楷体_GB2312"/>
                <w:sz w:val="24"/>
              </w:rPr>
              <w:t>3.</w:t>
            </w:r>
            <w:r>
              <w:rPr>
                <w:rFonts w:hint="eastAsia" w:eastAsia="楷体_GB2312"/>
                <w:sz w:val="24"/>
              </w:rPr>
              <w:t xml:space="preserve"> </w:t>
            </w:r>
            <w:r>
              <w:rPr>
                <w:rFonts w:eastAsia="楷体_GB2312"/>
                <w:sz w:val="24"/>
              </w:rPr>
              <w:t>病死动物无害化处理设施改造提升。</w:t>
            </w:r>
            <w:r>
              <w:rPr>
                <w:sz w:val="24"/>
              </w:rPr>
              <w:t>按照畜牧业高质量发展布局和病死畜禽专业无害化处理产能相符合的要求，新建迁建无害化处理中心9家、改建扩建21家，改善病死动物暂存间、运输车辆等转存设施，形成常态化年处理10万吨、移动应急日处理80吨处理能力。</w:t>
            </w:r>
          </w:p>
          <w:p>
            <w:pPr>
              <w:spacing w:line="350" w:lineRule="exact"/>
              <w:ind w:firstLine="480" w:firstLineChars="200"/>
              <w:rPr>
                <w:sz w:val="24"/>
              </w:rPr>
            </w:pPr>
            <w:r>
              <w:rPr>
                <w:rFonts w:eastAsia="楷体_GB2312"/>
                <w:sz w:val="24"/>
              </w:rPr>
              <w:t>4.</w:t>
            </w:r>
            <w:r>
              <w:rPr>
                <w:rFonts w:hint="eastAsia" w:eastAsia="楷体_GB2312"/>
                <w:sz w:val="24"/>
              </w:rPr>
              <w:t xml:space="preserve"> </w:t>
            </w:r>
            <w:r>
              <w:rPr>
                <w:rFonts w:eastAsia="楷体_GB2312"/>
                <w:sz w:val="24"/>
              </w:rPr>
              <w:t>社会化服务组织培育。</w:t>
            </w:r>
            <w:r>
              <w:rPr>
                <w:sz w:val="24"/>
              </w:rPr>
              <w:t>充分调动市场力量，鼓励发展社会化、组织化、专业化的兽医服务主体，持续推动兽医社会化服务发展。引导兽医检测机构、动物诊疗机构等第三方兽医服务主体拓宽服务范围，广泛参与养殖、屠宰、流通、无害化处理等全链条兽医服务工作。充分发挥执业兽医、乡村兽医作用，支持开展动物防疫和疫病诊疗活动。探索“政府+市场”共同承担动物防疫工作新模式，扶持培育100家以上第三方兽医服务组织。</w:t>
            </w:r>
          </w:p>
        </w:tc>
      </w:tr>
    </w:tbl>
    <w:p>
      <w:pPr>
        <w:spacing w:line="590" w:lineRule="exact"/>
        <w:ind w:firstLine="643" w:firstLineChars="200"/>
        <w:rPr>
          <w:szCs w:val="32"/>
        </w:rPr>
      </w:pPr>
      <w:r>
        <w:rPr>
          <w:b/>
          <w:szCs w:val="32"/>
        </w:rPr>
        <w:t>4.</w:t>
      </w:r>
      <w:r>
        <w:rPr>
          <w:rFonts w:hint="eastAsia"/>
          <w:b/>
          <w:szCs w:val="32"/>
        </w:rPr>
        <w:t xml:space="preserve"> </w:t>
      </w:r>
      <w:r>
        <w:rPr>
          <w:b/>
          <w:szCs w:val="32"/>
        </w:rPr>
        <w:t>强化应急能力。</w:t>
      </w:r>
      <w:r>
        <w:rPr>
          <w:szCs w:val="32"/>
        </w:rPr>
        <w:t>完善常态管理与非常态管理相结合机制，健全应急指挥、疫病监测、疫情处置、物资保障等应急工作体系。加强应急队伍建设和管理，定期组织开展培训和演练，提高应急能力。通过实物储备和厂家储备相结合，加强疫苗、消毒药、口罩、防护服等物资储备，确保省、市、县应急物资储备分别能够同时处置4个、2个、1个疫点。</w:t>
      </w:r>
    </w:p>
    <w:p>
      <w:pPr>
        <w:pStyle w:val="4"/>
        <w:keepNext w:val="0"/>
        <w:keepLines w:val="0"/>
        <w:numPr>
          <w:ilvl w:val="0"/>
          <w:numId w:val="0"/>
        </w:numPr>
        <w:spacing w:line="590" w:lineRule="exact"/>
        <w:ind w:left="640"/>
        <w:rPr>
          <w:rFonts w:ascii="Times New Roman" w:hAnsi="Times New Roman"/>
        </w:rPr>
      </w:pPr>
      <w:bookmarkStart w:id="32" w:name="_Toc74061136"/>
      <w:r>
        <w:rPr>
          <w:rFonts w:ascii="Times New Roman" w:hAnsi="Times New Roman"/>
        </w:rPr>
        <w:t>（四）构建高品质产品体系</w:t>
      </w:r>
      <w:bookmarkEnd w:id="32"/>
    </w:p>
    <w:p>
      <w:pPr>
        <w:spacing w:line="590" w:lineRule="exact"/>
        <w:ind w:firstLine="643" w:firstLineChars="200"/>
        <w:rPr>
          <w:bCs/>
          <w:szCs w:val="32"/>
        </w:rPr>
      </w:pPr>
      <w:r>
        <w:rPr>
          <w:b/>
          <w:szCs w:val="32"/>
        </w:rPr>
        <w:t>1.</w:t>
      </w:r>
      <w:r>
        <w:rPr>
          <w:rFonts w:hint="eastAsia"/>
          <w:b/>
          <w:szCs w:val="32"/>
        </w:rPr>
        <w:t xml:space="preserve"> </w:t>
      </w:r>
      <w:r>
        <w:rPr>
          <w:b/>
          <w:szCs w:val="32"/>
        </w:rPr>
        <w:t>推进饲料兽药质量提升。</w:t>
      </w:r>
      <w:r>
        <w:rPr>
          <w:bCs/>
          <w:szCs w:val="32"/>
        </w:rPr>
        <w:t>严格执行兽药生产质量管理规范和饲料质量安全管理规范，进一步提升饲料兽药品质，组织实施饲料兽药质量安全监测计划，加大监督抽检力度，产品质量抽检合格率稳定在96%以上，非法添加风险得到有效控制，确保不发生区域性系统性重大质量安全事件。</w:t>
      </w:r>
    </w:p>
    <w:p>
      <w:pPr>
        <w:spacing w:line="590" w:lineRule="exact"/>
        <w:ind w:firstLine="643" w:firstLineChars="200"/>
        <w:rPr>
          <w:szCs w:val="32"/>
        </w:rPr>
      </w:pPr>
      <w:r>
        <w:rPr>
          <w:b/>
          <w:szCs w:val="32"/>
        </w:rPr>
        <w:t>2.</w:t>
      </w:r>
      <w:r>
        <w:rPr>
          <w:rFonts w:hint="eastAsia"/>
          <w:b/>
          <w:szCs w:val="32"/>
        </w:rPr>
        <w:t xml:space="preserve"> </w:t>
      </w:r>
      <w:r>
        <w:rPr>
          <w:b/>
          <w:szCs w:val="32"/>
        </w:rPr>
        <w:t>推进</w:t>
      </w:r>
      <w:bookmarkStart w:id="33" w:name="_Hlk73303435"/>
      <w:r>
        <w:rPr>
          <w:b/>
          <w:szCs w:val="32"/>
        </w:rPr>
        <w:t>兽用抗菌药减量化和饲料环保化</w:t>
      </w:r>
      <w:bookmarkEnd w:id="33"/>
      <w:r>
        <w:rPr>
          <w:b/>
          <w:szCs w:val="32"/>
        </w:rPr>
        <w:t>。</w:t>
      </w:r>
      <w:r>
        <w:rPr>
          <w:szCs w:val="32"/>
        </w:rPr>
        <w:t>大力推进畜禽健康养殖，落实促生长类药物饲料添加剂退出措施，深化完善“两化”管控机制和成效评估体系，着力规范兽药饲料使用行为。到2022年，在年出栏5000头以上猪场、年出栏50000羽以上肉鸡场、</w:t>
      </w:r>
      <w:r>
        <w:rPr>
          <w:rFonts w:hint="eastAsia"/>
          <w:szCs w:val="32"/>
        </w:rPr>
        <w:t>年末</w:t>
      </w:r>
      <w:r>
        <w:rPr>
          <w:szCs w:val="32"/>
        </w:rPr>
        <w:t>存栏10000羽以上蛋鸡场等规模养殖场创建“两化”试点场1000家以上，兽用抗菌药用药量减少10%以上，育肥猪饲料中铜、锌含量达到省团体标准、氮含量下降5%以上；到2025年，在年出栏500头以上猪场、年出栏10000羽以上肉鸡场、年存栏2000羽以上蛋鸡场等规模养殖场实现“两化”技术推广应用全覆盖。加强畜禽产品质量安全风险评估和监测，开展行政执法检查，倒逼规范行业秩序。</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专栏5</w:t>
            </w:r>
            <w:r>
              <w:rPr>
                <w:rFonts w:hint="eastAsia" w:eastAsia="黑体"/>
                <w:sz w:val="28"/>
                <w:szCs w:val="28"/>
              </w:rPr>
              <w:t xml:space="preserve">  </w:t>
            </w:r>
            <w:r>
              <w:rPr>
                <w:rFonts w:eastAsia="黑体"/>
                <w:sz w:val="28"/>
                <w:szCs w:val="28"/>
              </w:rPr>
              <w:t>实施</w:t>
            </w:r>
            <w:bookmarkStart w:id="34" w:name="_Hlk73303480"/>
            <w:r>
              <w:rPr>
                <w:rFonts w:eastAsia="黑体"/>
                <w:sz w:val="28"/>
                <w:szCs w:val="28"/>
              </w:rPr>
              <w:t>饲料兽药“两化”行动</w:t>
            </w:r>
            <w:bookmarkEnd w:id="34"/>
          </w:p>
          <w:p>
            <w:pPr>
              <w:spacing w:line="360" w:lineRule="exact"/>
              <w:ind w:firstLine="480" w:firstLineChars="200"/>
              <w:rPr>
                <w:sz w:val="24"/>
              </w:rPr>
            </w:pPr>
            <w:r>
              <w:rPr>
                <w:rFonts w:eastAsia="楷体_GB2312"/>
                <w:sz w:val="24"/>
              </w:rPr>
              <w:t>1.</w:t>
            </w:r>
            <w:r>
              <w:rPr>
                <w:rFonts w:hint="eastAsia" w:eastAsia="楷体_GB2312"/>
                <w:sz w:val="24"/>
              </w:rPr>
              <w:t xml:space="preserve"> </w:t>
            </w:r>
            <w:r>
              <w:rPr>
                <w:rFonts w:eastAsia="楷体_GB2312"/>
                <w:sz w:val="24"/>
              </w:rPr>
              <w:t>夯实“两化”管控主体基础。</w:t>
            </w:r>
            <w:r>
              <w:rPr>
                <w:sz w:val="24"/>
              </w:rPr>
              <w:t>指导养殖场进一步完善生物安全和环境控制基础设施，督促养殖场建立完善兽药饲料采购质量查验、兽药追溯、科学用药、日粮配制等管理制度，规范各环节台账记录，严格执行兽药饲料安全使用规定。鼓励较大规模养殖场加大对检测室建设投入，常态化开展细菌耐药性、兽药残留、饲料卫生质量、猪粪中残留营养物质等指标监控。</w:t>
            </w:r>
          </w:p>
          <w:p>
            <w:pPr>
              <w:spacing w:line="360" w:lineRule="exact"/>
              <w:ind w:firstLine="480" w:firstLineChars="200"/>
              <w:rPr>
                <w:sz w:val="24"/>
              </w:rPr>
            </w:pPr>
            <w:r>
              <w:rPr>
                <w:rFonts w:eastAsia="楷体_GB2312"/>
                <w:sz w:val="24"/>
              </w:rPr>
              <w:t>2.</w:t>
            </w:r>
            <w:r>
              <w:rPr>
                <w:rFonts w:hint="eastAsia" w:eastAsia="楷体_GB2312"/>
                <w:sz w:val="24"/>
              </w:rPr>
              <w:t xml:space="preserve"> </w:t>
            </w:r>
            <w:r>
              <w:rPr>
                <w:rFonts w:eastAsia="楷体_GB2312"/>
                <w:sz w:val="24"/>
              </w:rPr>
              <w:t>强化技术支撑。</w:t>
            </w:r>
            <w:r>
              <w:rPr>
                <w:sz w:val="24"/>
              </w:rPr>
              <w:t>引导饲料生产企业和下游养殖企业开展合作，研发生产符合环保化要求的饲料产品。加快生猪日粮蛋白质精准配制、微量元素混合配制、生猪肠道健康营养调控等技术研究。充分利用省内养殖集团、兽药饲料企业和第三方质检机构的资源优势，培育一批具备疫病防控和临床用药指导能力的社会化生产服务主体。积极开展专题培训，加强技术服务，加大技术模式和典型经验推广力度。</w:t>
            </w:r>
          </w:p>
          <w:p>
            <w:pPr>
              <w:spacing w:line="360" w:lineRule="exact"/>
              <w:ind w:firstLine="480" w:firstLineChars="200"/>
              <w:rPr>
                <w:sz w:val="24"/>
              </w:rPr>
            </w:pPr>
            <w:r>
              <w:rPr>
                <w:rFonts w:eastAsia="楷体_GB2312"/>
                <w:sz w:val="24"/>
              </w:rPr>
              <w:t>3.</w:t>
            </w:r>
            <w:r>
              <w:rPr>
                <w:rFonts w:hint="eastAsia" w:eastAsia="楷体_GB2312"/>
                <w:sz w:val="24"/>
              </w:rPr>
              <w:t xml:space="preserve"> </w:t>
            </w:r>
            <w:r>
              <w:rPr>
                <w:rFonts w:eastAsia="楷体_GB2312"/>
                <w:sz w:val="24"/>
              </w:rPr>
              <w:t>建立健全“两化”成效评估体系。</w:t>
            </w:r>
            <w:r>
              <w:rPr>
                <w:sz w:val="24"/>
              </w:rPr>
              <w:t>加强细菌耐药性与养殖场规范用药水平相关性分析，开展试点实施前后养殖场水体和粪肥中抗菌药含量变化跟踪监测，完善成效评估指标。综合养殖场兽药饲料使用质量管理制度执行情况以及细菌耐药性、兽药残留、用药量、饲料和粪肥中氮、铜、锌等定量检测结果，建立完善“两化”成效评估体系。围绕兽药饲料生产经营和使用全过程，科学制定成效评估监测方案，全面评估“两化”工作成效。</w:t>
            </w:r>
          </w:p>
        </w:tc>
      </w:tr>
    </w:tbl>
    <w:p>
      <w:pPr>
        <w:spacing w:before="120" w:beforeLines="50" w:line="590" w:lineRule="exact"/>
        <w:ind w:firstLine="643" w:firstLineChars="200"/>
        <w:rPr>
          <w:szCs w:val="32"/>
        </w:rPr>
      </w:pPr>
      <w:r>
        <w:rPr>
          <w:b/>
          <w:szCs w:val="32"/>
        </w:rPr>
        <w:t>3.</w:t>
      </w:r>
      <w:r>
        <w:rPr>
          <w:rFonts w:hint="eastAsia"/>
          <w:b/>
          <w:szCs w:val="32"/>
        </w:rPr>
        <w:t xml:space="preserve"> </w:t>
      </w:r>
      <w:r>
        <w:rPr>
          <w:b/>
          <w:szCs w:val="32"/>
        </w:rPr>
        <w:t>推进屠宰企业转型升级。</w:t>
      </w:r>
      <w:r>
        <w:rPr>
          <w:szCs w:val="32"/>
        </w:rPr>
        <w:t>统筹养殖、屠宰产业布局，严格屠宰企业准入管理和日常监管，完善和规范屠宰企业环保治理设施设备，加快小型屠宰场点撤停并转，力争全省生猪屠宰企业压减到100家左右。推动生猪屠宰企业完善采购、屠宰、销售一体化经营模式，倒逼淘汰代宰现象。推进牛羊禽集中（定点）屠宰，在重点县设置集中（定点）屠宰场，鼓励有条件的生猪屠宰企业增设牛羊屠宰线。鼓励支持屠宰企业、物流配送企业完善冷库、低温分割车间、冷藏车等设施设备，构建“集中屠宰、冷链配送、冷鲜上市”供应体系，逐步实现运活畜禽向运肉转变。全省生猪屠宰企业建成冷库容量5.6万吨以上，配置冷藏运输车450辆左右。</w:t>
      </w:r>
    </w:p>
    <w:p>
      <w:pPr>
        <w:spacing w:line="590" w:lineRule="exact"/>
        <w:ind w:firstLine="643" w:firstLineChars="200"/>
        <w:rPr>
          <w:szCs w:val="32"/>
        </w:rPr>
      </w:pPr>
      <w:r>
        <w:rPr>
          <w:b/>
          <w:szCs w:val="32"/>
        </w:rPr>
        <w:t>4.</w:t>
      </w:r>
      <w:r>
        <w:rPr>
          <w:rFonts w:hint="eastAsia"/>
          <w:b/>
          <w:szCs w:val="32"/>
        </w:rPr>
        <w:t xml:space="preserve"> </w:t>
      </w:r>
      <w:r>
        <w:rPr>
          <w:b/>
          <w:szCs w:val="32"/>
        </w:rPr>
        <w:t>强化动物及动物产品调运监管。</w:t>
      </w:r>
      <w:r>
        <w:rPr>
          <w:szCs w:val="32"/>
        </w:rPr>
        <w:t>按照就近调运原则，通过政策引导和市场调节相结合，减少活畜禽长距离调运。严格生猪“点对点”调运，引导屠宰企业与养殖企业建立稳定供应关系。统筹利用省外、国外两个市场、两种资源，鼓励引导省内屠宰企业走出去，扩大优质安全畜禽产品来源，补充调剂省内市场供应。</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专栏6</w:t>
            </w:r>
            <w:r>
              <w:rPr>
                <w:rFonts w:hint="eastAsia" w:eastAsia="黑体"/>
                <w:sz w:val="28"/>
                <w:szCs w:val="28"/>
              </w:rPr>
              <w:t xml:space="preserve">  </w:t>
            </w:r>
            <w:r>
              <w:rPr>
                <w:rFonts w:eastAsia="黑体"/>
                <w:sz w:val="28"/>
                <w:szCs w:val="28"/>
              </w:rPr>
              <w:t>实施</w:t>
            </w:r>
            <w:bookmarkStart w:id="35" w:name="_Hlk73303612"/>
            <w:r>
              <w:rPr>
                <w:rFonts w:eastAsia="黑体"/>
                <w:sz w:val="28"/>
                <w:szCs w:val="28"/>
              </w:rPr>
              <w:t>屠宰和加工流通升级行动</w:t>
            </w:r>
            <w:bookmarkEnd w:id="35"/>
          </w:p>
          <w:p>
            <w:pPr>
              <w:spacing w:line="360" w:lineRule="exact"/>
              <w:ind w:firstLine="480" w:firstLineChars="200"/>
              <w:rPr>
                <w:sz w:val="24"/>
              </w:rPr>
            </w:pPr>
            <w:r>
              <w:rPr>
                <w:rFonts w:eastAsia="楷体_GB2312"/>
                <w:sz w:val="24"/>
              </w:rPr>
              <w:t>1.</w:t>
            </w:r>
            <w:r>
              <w:rPr>
                <w:rFonts w:hint="eastAsia" w:eastAsia="楷体_GB2312"/>
                <w:sz w:val="24"/>
              </w:rPr>
              <w:t xml:space="preserve"> </w:t>
            </w:r>
            <w:r>
              <w:rPr>
                <w:rFonts w:eastAsia="楷体_GB2312"/>
                <w:sz w:val="24"/>
              </w:rPr>
              <w:t>优化屠宰企业结构布局。</w:t>
            </w:r>
            <w:r>
              <w:rPr>
                <w:sz w:val="24"/>
              </w:rPr>
              <w:t>根据生猪养殖布局，优化调整生猪屠宰企业布局，引导推动区域内生猪就近屠宰。合理规划设置牛羊屠宰企业，加快推进牛、羊集中屠宰，支持有条件的生猪定点屠宰厂在规范动物防疫基础上增加牛羊屠宰车间。优化家禽屠宰企业布局，引导家禽集中（定点）屠宰。到2025年，全省建成牛羊集中（定点）屠宰企业（含兼营）25家，家禽屠宰企业30家。</w:t>
            </w:r>
          </w:p>
          <w:p>
            <w:pPr>
              <w:spacing w:line="360" w:lineRule="exact"/>
              <w:ind w:firstLine="480" w:firstLineChars="200"/>
              <w:rPr>
                <w:sz w:val="24"/>
              </w:rPr>
            </w:pPr>
            <w:r>
              <w:rPr>
                <w:rFonts w:eastAsia="楷体_GB2312"/>
                <w:sz w:val="24"/>
              </w:rPr>
              <w:t>2.</w:t>
            </w:r>
            <w:r>
              <w:rPr>
                <w:rFonts w:hint="eastAsia" w:eastAsia="楷体_GB2312"/>
                <w:sz w:val="24"/>
              </w:rPr>
              <w:t xml:space="preserve"> </w:t>
            </w:r>
            <w:r>
              <w:rPr>
                <w:rFonts w:eastAsia="楷体_GB2312"/>
                <w:sz w:val="24"/>
              </w:rPr>
              <w:t>加快生猪屠宰企业规范提升。</w:t>
            </w:r>
            <w:r>
              <w:rPr>
                <w:sz w:val="24"/>
              </w:rPr>
              <w:t>进一步落实屠宰环节“两项制度”，规范生猪屠宰企业采购、屠宰、销售、配送行为，加快消除“代宰”现象。按照“总量只减不增，力争一县一场”的原则，组织开展生猪屠宰企业专项清理行动。到2025年，小型屠宰场点较多的市县要将数量压减一半以上，自营率提高到40%以上。</w:t>
            </w:r>
          </w:p>
          <w:p>
            <w:pPr>
              <w:spacing w:line="360" w:lineRule="exact"/>
              <w:ind w:firstLine="480" w:firstLineChars="200"/>
              <w:rPr>
                <w:sz w:val="24"/>
              </w:rPr>
            </w:pPr>
            <w:r>
              <w:rPr>
                <w:rFonts w:eastAsia="楷体_GB2312"/>
                <w:sz w:val="24"/>
              </w:rPr>
              <w:t>3.</w:t>
            </w:r>
            <w:r>
              <w:rPr>
                <w:rFonts w:hint="eastAsia" w:eastAsia="楷体_GB2312"/>
                <w:sz w:val="24"/>
              </w:rPr>
              <w:t xml:space="preserve"> </w:t>
            </w:r>
            <w:r>
              <w:rPr>
                <w:rFonts w:eastAsia="楷体_GB2312"/>
                <w:sz w:val="24"/>
              </w:rPr>
              <w:t>深入推进屠宰企业标准化建设。</w:t>
            </w:r>
            <w:r>
              <w:rPr>
                <w:sz w:val="24"/>
              </w:rPr>
              <w:t>督促生猪屠宰企业建立肉品质量安全控制体系和追溯体系，配足与屠宰加工规模相适应的兽医卫生检验人员，建立规范化肉品质量安全检测实验室和车辆清洗消毒场所，确保出厂肉品质量安全。加快完善屠宰企业、物流配送企业冷链体系，培育一批有影响力的冷鲜肉品牌。到2025年，建成省级以上生猪屠宰标准化企业30家。</w:t>
            </w:r>
          </w:p>
        </w:tc>
      </w:tr>
    </w:tbl>
    <w:p>
      <w:pPr>
        <w:pStyle w:val="4"/>
        <w:keepNext w:val="0"/>
        <w:keepLines w:val="0"/>
        <w:numPr>
          <w:ilvl w:val="0"/>
          <w:numId w:val="0"/>
        </w:numPr>
        <w:spacing w:line="590" w:lineRule="exact"/>
        <w:ind w:left="640"/>
        <w:rPr>
          <w:rFonts w:ascii="Times New Roman" w:hAnsi="Times New Roman"/>
        </w:rPr>
      </w:pPr>
      <w:bookmarkStart w:id="36" w:name="_Toc74061137"/>
      <w:r>
        <w:rPr>
          <w:rFonts w:ascii="Times New Roman" w:hAnsi="Times New Roman"/>
        </w:rPr>
        <w:t>（五）构建高水平技术体系</w:t>
      </w:r>
      <w:bookmarkEnd w:id="36"/>
    </w:p>
    <w:p>
      <w:pPr>
        <w:spacing w:line="590" w:lineRule="exact"/>
        <w:ind w:firstLine="643" w:firstLineChars="200"/>
        <w:rPr>
          <w:szCs w:val="32"/>
        </w:rPr>
      </w:pPr>
      <w:r>
        <w:rPr>
          <w:b/>
          <w:szCs w:val="32"/>
        </w:rPr>
        <w:t>1.</w:t>
      </w:r>
      <w:r>
        <w:rPr>
          <w:rFonts w:hint="eastAsia"/>
          <w:b/>
          <w:szCs w:val="32"/>
        </w:rPr>
        <w:t xml:space="preserve"> </w:t>
      </w:r>
      <w:r>
        <w:rPr>
          <w:b/>
          <w:szCs w:val="32"/>
        </w:rPr>
        <w:t>推动全程机械化。</w:t>
      </w:r>
      <w:r>
        <w:rPr>
          <w:szCs w:val="32"/>
        </w:rPr>
        <w:t>加大养殖设施装备研发、鉴定力度，加快成套机械装备向全畜种、全环节推广应用，遴选推介一批全程机械化养殖场和示范基地，着力推动农机牧艺融合。鼓励养殖企业开展物联化、智能化改造，着力推动机械化数字化融合。力争生猪、奶牛规模养殖机械化率达到80%以上，蛋鸡、羊规模养殖机械化率达到70%以上，大规模养殖场基本实现全程机械化。</w:t>
      </w:r>
    </w:p>
    <w:p>
      <w:pPr>
        <w:spacing w:line="590" w:lineRule="exact"/>
        <w:ind w:firstLine="643" w:firstLineChars="200"/>
        <w:rPr>
          <w:szCs w:val="32"/>
        </w:rPr>
      </w:pPr>
      <w:r>
        <w:rPr>
          <w:b/>
          <w:szCs w:val="32"/>
        </w:rPr>
        <w:t>2.</w:t>
      </w:r>
      <w:r>
        <w:rPr>
          <w:rFonts w:hint="eastAsia"/>
          <w:b/>
          <w:szCs w:val="32"/>
        </w:rPr>
        <w:t xml:space="preserve"> </w:t>
      </w:r>
      <w:r>
        <w:rPr>
          <w:b/>
          <w:szCs w:val="32"/>
        </w:rPr>
        <w:t>推动整体数字化。</w:t>
      </w:r>
      <w:r>
        <w:rPr>
          <w:szCs w:val="32"/>
        </w:rPr>
        <w:t>围绕管理数字化、主体数字化，优化升级数字畜牧应用系统，加快推动“浙农码”在畜牧业全覆盖；以环境控制、精准饲喂、疫病防控、污染治理等为重点，深入推进数字牧场建设，实现养殖、防疫、检疫、屠宰、无害化处理等全环节数据联动和闭环管理。推动5G、人工智能和区块链等前沿技术与畜牧业深度融合，探索开展“未来牧场”建设。</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专栏7</w:t>
            </w:r>
            <w:r>
              <w:rPr>
                <w:rFonts w:hint="eastAsia" w:eastAsia="黑体"/>
                <w:sz w:val="28"/>
                <w:szCs w:val="28"/>
              </w:rPr>
              <w:t xml:space="preserve">  </w:t>
            </w:r>
            <w:r>
              <w:rPr>
                <w:rFonts w:eastAsia="黑体"/>
                <w:sz w:val="28"/>
                <w:szCs w:val="28"/>
              </w:rPr>
              <w:t>实施数字畜牧赋能行动</w:t>
            </w:r>
          </w:p>
          <w:p>
            <w:pPr>
              <w:spacing w:line="360" w:lineRule="exact"/>
              <w:ind w:firstLine="480" w:firstLineChars="200"/>
              <w:rPr>
                <w:sz w:val="24"/>
              </w:rPr>
            </w:pPr>
            <w:r>
              <w:rPr>
                <w:rFonts w:eastAsia="楷体_GB2312"/>
                <w:sz w:val="24"/>
              </w:rPr>
              <w:t>1.</w:t>
            </w:r>
            <w:r>
              <w:rPr>
                <w:rFonts w:hint="eastAsia" w:eastAsia="楷体_GB2312"/>
                <w:sz w:val="24"/>
              </w:rPr>
              <w:t xml:space="preserve"> </w:t>
            </w:r>
            <w:r>
              <w:rPr>
                <w:rFonts w:eastAsia="楷体_GB2312"/>
                <w:sz w:val="24"/>
              </w:rPr>
              <w:t>完善数字畜牧应用系统。</w:t>
            </w:r>
            <w:r>
              <w:rPr>
                <w:sz w:val="24"/>
              </w:rPr>
              <w:t>优化完善系统各模块，升级改造数字化设施装备，提高数据自动采集率，深入推进畜牧兽医行业精密智控，全省重点场所视频监控率达90%。</w:t>
            </w:r>
          </w:p>
          <w:p>
            <w:pPr>
              <w:spacing w:line="360" w:lineRule="exact"/>
              <w:ind w:firstLine="480" w:firstLineChars="200"/>
              <w:rPr>
                <w:sz w:val="24"/>
              </w:rPr>
            </w:pPr>
            <w:r>
              <w:rPr>
                <w:rFonts w:eastAsia="楷体_GB2312"/>
                <w:sz w:val="24"/>
              </w:rPr>
              <w:t>2.</w:t>
            </w:r>
            <w:r>
              <w:rPr>
                <w:rFonts w:hint="eastAsia" w:eastAsia="楷体_GB2312"/>
                <w:sz w:val="24"/>
              </w:rPr>
              <w:t xml:space="preserve"> </w:t>
            </w:r>
            <w:r>
              <w:rPr>
                <w:rFonts w:eastAsia="楷体_GB2312"/>
                <w:sz w:val="24"/>
              </w:rPr>
              <w:t>加快场景应用。</w:t>
            </w:r>
            <w:r>
              <w:rPr>
                <w:sz w:val="24"/>
              </w:rPr>
              <w:t>万头以上新建猪场基本建成数字牧场，推动屠宰场、无害化处理中心向数字化转型。突出行业共性支持，整合大型企业、行业协会数字化建设成果，融合金融、物流等供应链功能，增强行业内企业整体抗风险能力。</w:t>
            </w:r>
          </w:p>
          <w:p>
            <w:pPr>
              <w:spacing w:line="360" w:lineRule="exact"/>
              <w:ind w:firstLine="480" w:firstLineChars="200"/>
              <w:rPr>
                <w:sz w:val="24"/>
              </w:rPr>
            </w:pPr>
            <w:r>
              <w:rPr>
                <w:rFonts w:eastAsia="楷体_GB2312"/>
                <w:sz w:val="24"/>
              </w:rPr>
              <w:t>3.</w:t>
            </w:r>
            <w:r>
              <w:rPr>
                <w:rFonts w:hint="eastAsia" w:eastAsia="楷体_GB2312"/>
                <w:sz w:val="24"/>
              </w:rPr>
              <w:t xml:space="preserve"> </w:t>
            </w:r>
            <w:r>
              <w:rPr>
                <w:rFonts w:eastAsia="楷体_GB2312"/>
                <w:sz w:val="24"/>
              </w:rPr>
              <w:t>加快“浙农码”畜牧版推广应用。</w:t>
            </w:r>
            <w:r>
              <w:rPr>
                <w:sz w:val="24"/>
              </w:rPr>
              <w:t>进一步完善“浙农码”畜牧版应用长效管理机制，全面覆盖主要畜禽品种和养殖场、屠宰场、无害化处理场等生产经营主体，由养殖向检疫监管、交易、政策扶持、金融信贷等环节全面延伸，实现全环节精密智控，全行业整体智治。</w:t>
            </w:r>
          </w:p>
          <w:p>
            <w:pPr>
              <w:spacing w:line="360" w:lineRule="exact"/>
              <w:ind w:firstLine="480" w:firstLineChars="200"/>
              <w:rPr>
                <w:sz w:val="24"/>
              </w:rPr>
            </w:pPr>
            <w:r>
              <w:rPr>
                <w:rFonts w:eastAsia="楷体_GB2312"/>
                <w:sz w:val="24"/>
              </w:rPr>
              <w:t>4.</w:t>
            </w:r>
            <w:r>
              <w:rPr>
                <w:rFonts w:hint="eastAsia" w:eastAsia="楷体_GB2312"/>
                <w:sz w:val="24"/>
              </w:rPr>
              <w:t xml:space="preserve"> </w:t>
            </w:r>
            <w:r>
              <w:rPr>
                <w:rFonts w:eastAsia="楷体_GB2312"/>
                <w:sz w:val="24"/>
              </w:rPr>
              <w:t>加快大数据分析应用。</w:t>
            </w:r>
            <w:r>
              <w:rPr>
                <w:sz w:val="24"/>
              </w:rPr>
              <w:t>通过行业核心业务数据迭代升级，建立动物疫病防控、增产保供、价格行情等大数据分析机制，实现重要业务运用大数据科学决策、风险预警、服务保障、绩效评估，建立行业数字化闭环管理执行链。推动部门侧和企业侧数据有序交换，推动产业整体数字化、网络化、智能化升级。</w:t>
            </w:r>
          </w:p>
        </w:tc>
      </w:tr>
    </w:tbl>
    <w:p>
      <w:pPr>
        <w:spacing w:line="590" w:lineRule="exact"/>
        <w:ind w:firstLine="643" w:firstLineChars="200"/>
        <w:rPr>
          <w:szCs w:val="32"/>
        </w:rPr>
      </w:pPr>
      <w:r>
        <w:rPr>
          <w:b/>
          <w:szCs w:val="32"/>
        </w:rPr>
        <w:t>3.</w:t>
      </w:r>
      <w:r>
        <w:rPr>
          <w:rFonts w:hint="eastAsia"/>
          <w:b/>
          <w:szCs w:val="32"/>
        </w:rPr>
        <w:t xml:space="preserve"> </w:t>
      </w:r>
      <w:r>
        <w:rPr>
          <w:b/>
          <w:szCs w:val="32"/>
        </w:rPr>
        <w:t>推动技术集成化。</w:t>
      </w:r>
      <w:r>
        <w:rPr>
          <w:szCs w:val="32"/>
        </w:rPr>
        <w:t>以“集约、高效、优质、低耗”为重点，加强畜牧业标准制修订，加快现代化技术集成应用。发挥科研院所、专家团队作用，推广应用一批先进适用的科研成果和技术模式。加强产学研合作，支持企业建设研究院等高能级平台，提高科技创新和转化应用能力。加强养殖全过程设施装备和技术整合，实现牧场内部设备协同、一体管理。</w:t>
      </w:r>
    </w:p>
    <w:p>
      <w:pPr>
        <w:spacing w:line="590" w:lineRule="exact"/>
        <w:ind w:firstLine="643" w:firstLineChars="200"/>
        <w:rPr>
          <w:szCs w:val="32"/>
        </w:rPr>
      </w:pPr>
      <w:r>
        <w:rPr>
          <w:b/>
          <w:szCs w:val="32"/>
        </w:rPr>
        <w:t>4.</w:t>
      </w:r>
      <w:r>
        <w:rPr>
          <w:rFonts w:hint="eastAsia"/>
          <w:b/>
          <w:szCs w:val="32"/>
        </w:rPr>
        <w:t xml:space="preserve"> </w:t>
      </w:r>
      <w:r>
        <w:rPr>
          <w:b/>
          <w:szCs w:val="32"/>
        </w:rPr>
        <w:t>推动全面绿色化。</w:t>
      </w:r>
      <w:r>
        <w:rPr>
          <w:szCs w:val="32"/>
        </w:rPr>
        <w:t>提标推进美丽牧场建设，由猪牛羊为主向全品种拓展，实现迭代升级。强化农牧对接循环机制建设，加大畜禽养殖粪污资源化利用和无害化处理力度，加快推广应用养殖臭气综合治理技术。加强养殖污染治理设施配套，规范取水用水和计量监测，鼓励采用节水型自动饮水装置和干清粪工艺，支持大型规模养殖场粪污纳管处理。</w:t>
      </w:r>
    </w:p>
    <w:p>
      <w:pPr>
        <w:pStyle w:val="16"/>
        <w:spacing w:before="0" w:after="0" w:line="590" w:lineRule="exact"/>
        <w:ind w:firstLine="640" w:firstLineChars="200"/>
        <w:jc w:val="both"/>
        <w:rPr>
          <w:rFonts w:ascii="Times New Roman" w:hAnsi="Times New Roman" w:eastAsia="黑体"/>
          <w:b w:val="0"/>
          <w:bCs w:val="0"/>
        </w:rPr>
      </w:pPr>
      <w:bookmarkStart w:id="37" w:name="_Toc74061139"/>
      <w:r>
        <w:rPr>
          <w:rFonts w:ascii="Times New Roman" w:hAnsi="Times New Roman" w:eastAsia="黑体"/>
          <w:b w:val="0"/>
          <w:bCs w:val="0"/>
        </w:rPr>
        <w:t>五、保障措施</w:t>
      </w:r>
      <w:bookmarkEnd w:id="37"/>
    </w:p>
    <w:p>
      <w:pPr>
        <w:pStyle w:val="4"/>
        <w:keepNext w:val="0"/>
        <w:keepLines w:val="0"/>
        <w:numPr>
          <w:ilvl w:val="0"/>
          <w:numId w:val="0"/>
        </w:numPr>
        <w:spacing w:line="590" w:lineRule="exact"/>
        <w:ind w:left="640"/>
        <w:rPr>
          <w:rFonts w:ascii="Times New Roman" w:hAnsi="Times New Roman"/>
        </w:rPr>
      </w:pPr>
      <w:bookmarkStart w:id="38" w:name="_Toc74061140"/>
      <w:r>
        <w:rPr>
          <w:rFonts w:ascii="Times New Roman" w:hAnsi="Times New Roman"/>
        </w:rPr>
        <w:t>（一）加强组织领导</w:t>
      </w:r>
      <w:bookmarkEnd w:id="38"/>
    </w:p>
    <w:p>
      <w:pPr>
        <w:spacing w:line="590" w:lineRule="exact"/>
        <w:ind w:firstLine="640" w:firstLineChars="200"/>
        <w:rPr>
          <w:szCs w:val="32"/>
        </w:rPr>
      </w:pPr>
      <w:r>
        <w:rPr>
          <w:szCs w:val="32"/>
        </w:rPr>
        <w:t>各市、县（市、区）对地区发展畜牧业生产、保障肉蛋奶市场供应负总责，制定发展规划、强化政策措施，不得超越法律法规禁养限养。建立健全重要畜产品保供和市场调控长效机制，结合实际制订设区市域内生猪养殖跨区域调剂补偿办法。落实“最多跑一次”改革要求，开展环境影响评价、畜禽养殖用地等联审联批。加强规划实施情况跟踪调度，及时组织开展中期评估和实施总结。</w:t>
      </w:r>
    </w:p>
    <w:p>
      <w:pPr>
        <w:pStyle w:val="4"/>
        <w:keepNext w:val="0"/>
        <w:keepLines w:val="0"/>
        <w:numPr>
          <w:ilvl w:val="0"/>
          <w:numId w:val="0"/>
        </w:numPr>
        <w:spacing w:line="590" w:lineRule="exact"/>
        <w:ind w:left="640"/>
        <w:rPr>
          <w:rFonts w:ascii="Times New Roman" w:hAnsi="Times New Roman"/>
        </w:rPr>
      </w:pPr>
      <w:bookmarkStart w:id="39" w:name="_Toc74061141"/>
      <w:r>
        <w:rPr>
          <w:rFonts w:ascii="Times New Roman" w:hAnsi="Times New Roman"/>
        </w:rPr>
        <w:t>（二）落实用地和环保政策</w:t>
      </w:r>
      <w:bookmarkEnd w:id="39"/>
    </w:p>
    <w:p>
      <w:pPr>
        <w:spacing w:line="590" w:lineRule="exact"/>
        <w:ind w:firstLine="640" w:firstLineChars="200"/>
        <w:rPr>
          <w:szCs w:val="32"/>
        </w:rPr>
      </w:pPr>
      <w:r>
        <w:rPr>
          <w:szCs w:val="32"/>
        </w:rPr>
        <w:t>落实有关支持畜牧业发展的用地政策，坚持节约集约用地，统筹支持畜禽养殖用地需求。坚持在不污染环境前提下，允许养殖主体自行确定养殖量。落实畜禽养殖禁养区有关规定，不随意扩大禁养区范围。依法依规实施环评审批。</w:t>
      </w:r>
    </w:p>
    <w:p>
      <w:pPr>
        <w:pStyle w:val="4"/>
        <w:keepNext w:val="0"/>
        <w:keepLines w:val="0"/>
        <w:numPr>
          <w:ilvl w:val="0"/>
          <w:numId w:val="0"/>
        </w:numPr>
        <w:spacing w:line="590" w:lineRule="exact"/>
        <w:ind w:left="640"/>
        <w:rPr>
          <w:rFonts w:ascii="Times New Roman" w:hAnsi="Times New Roman"/>
        </w:rPr>
      </w:pPr>
      <w:bookmarkStart w:id="40" w:name="_Toc74061142"/>
      <w:r>
        <w:rPr>
          <w:rFonts w:ascii="Times New Roman" w:hAnsi="Times New Roman"/>
        </w:rPr>
        <w:t>（三）加强财政保障和金融服务</w:t>
      </w:r>
      <w:bookmarkEnd w:id="40"/>
    </w:p>
    <w:p>
      <w:pPr>
        <w:spacing w:line="590" w:lineRule="exact"/>
        <w:ind w:firstLine="640" w:firstLineChars="200"/>
        <w:rPr>
          <w:szCs w:val="32"/>
        </w:rPr>
      </w:pPr>
      <w:r>
        <w:rPr>
          <w:szCs w:val="32"/>
        </w:rPr>
        <w:t>立足省级农业农村高质量发展等现有资金渠道，积极支持畜牧业高质量发展。通过政府购买服务方式支持动物防疫社会化服务。落实畜禽规模养殖、畜禽产品初加工等环节用水、用电优惠政策。加大畜牧业信贷投入，开展畜牧业金融产品和服务模式创新，推进土地经营权、养殖圈舍、大型养殖机械和活畜禽抵押贷款等试点，鼓励开展畜禽养殖收益险、畜产品价格险试点。加大省产业基金支持畜牧业高质量发展力度。</w:t>
      </w:r>
    </w:p>
    <w:p>
      <w:pPr>
        <w:pStyle w:val="4"/>
        <w:keepNext w:val="0"/>
        <w:keepLines w:val="0"/>
        <w:numPr>
          <w:ilvl w:val="0"/>
          <w:numId w:val="0"/>
        </w:numPr>
        <w:spacing w:line="590" w:lineRule="exact"/>
        <w:ind w:left="640"/>
        <w:rPr>
          <w:rFonts w:ascii="Times New Roman" w:hAnsi="Times New Roman"/>
        </w:rPr>
      </w:pPr>
      <w:bookmarkStart w:id="41" w:name="_Toc74061143"/>
      <w:r>
        <w:rPr>
          <w:rFonts w:ascii="Times New Roman" w:hAnsi="Times New Roman"/>
        </w:rPr>
        <w:t>（四）强化队伍人员保障</w:t>
      </w:r>
      <w:bookmarkEnd w:id="41"/>
    </w:p>
    <w:p>
      <w:pPr>
        <w:spacing w:line="590" w:lineRule="exact"/>
        <w:ind w:firstLine="640" w:firstLineChars="200"/>
        <w:rPr>
          <w:szCs w:val="32"/>
        </w:rPr>
      </w:pPr>
      <w:r>
        <w:rPr>
          <w:szCs w:val="32"/>
        </w:rPr>
        <w:t>加大畜牧兽医相关法律法规宣教力度，加强基层动物疫病预防控制、动物卫生监督机构和畜牧业技术推广队伍建设，提高依法治牧水平。落实畜牧兽医医疗卫生津贴，在生猪大县开展乡镇动物防疫专员特聘计划，保障村级动物防疫员合理劳务报酬。充分发挥执业兽医、乡村兽医作用，鼓励大型养殖企业、兽药及饲料生产企业组建动物防疫服务团队。发展覆盖畜牧全产业链的社会化服务组织，支持第三方疫病检测、质检等机构参与公共服务。</w:t>
      </w:r>
    </w:p>
    <w:p>
      <w:pPr>
        <w:spacing w:line="590" w:lineRule="exact"/>
        <w:ind w:firstLine="640" w:firstLineChars="200"/>
        <w:outlineLvl w:val="0"/>
        <w:rPr>
          <w:rFonts w:eastAsia="黑体"/>
          <w:szCs w:val="32"/>
        </w:rPr>
      </w:pPr>
      <w:bookmarkStart w:id="42" w:name="_Toc74061144"/>
      <w:r>
        <w:rPr>
          <w:rFonts w:eastAsia="黑体"/>
          <w:szCs w:val="32"/>
        </w:rPr>
        <w:t>六、环境影响评价</w:t>
      </w:r>
      <w:bookmarkEnd w:id="42"/>
    </w:p>
    <w:p>
      <w:pPr>
        <w:pStyle w:val="4"/>
        <w:keepNext w:val="0"/>
        <w:keepLines w:val="0"/>
        <w:numPr>
          <w:ilvl w:val="0"/>
          <w:numId w:val="0"/>
        </w:numPr>
        <w:spacing w:line="590" w:lineRule="exact"/>
        <w:ind w:left="640"/>
        <w:rPr>
          <w:rFonts w:ascii="Times New Roman" w:hAnsi="Times New Roman"/>
        </w:rPr>
      </w:pPr>
      <w:bookmarkStart w:id="43" w:name="_Toc74061145"/>
      <w:r>
        <w:rPr>
          <w:rFonts w:ascii="Times New Roman" w:hAnsi="Times New Roman"/>
        </w:rPr>
        <w:t>（一）规划实施的环境影响分析</w:t>
      </w:r>
      <w:bookmarkEnd w:id="43"/>
    </w:p>
    <w:p>
      <w:pPr>
        <w:spacing w:line="590" w:lineRule="exact"/>
        <w:ind w:firstLine="640" w:firstLineChars="200"/>
        <w:rPr>
          <w:rFonts w:hint="eastAsia"/>
          <w:szCs w:val="32"/>
        </w:rPr>
      </w:pPr>
      <w:r>
        <w:rPr>
          <w:szCs w:val="32"/>
        </w:rPr>
        <w:t>到2025年，全省生猪存栏将增长到780万头，比“十三五”末增加152.4万头；家禽出栏、奶牛存栏、湖羊存栏分别增长到2.2亿只、5.1万头、136.5万只，分别比“十三五”末增加1000万只、1.1万头、21.7万只。根据养殖增量测算，到2025年，全省畜禽养殖粪污产生量预计将达2100万吨，比“十三五”末增加10%。目前，全省已经建立了畜禽养殖污染防治县乡村三级线下网格化巡查和线上智能防控机制，并对畜禽粪污资源化利用和无害化处理设施装备进行了改造提升。随着我省新一轮禁养区规范调整和畜禽养殖布局优化，生态消纳为主、工业治理为辅的畜禽养殖污染防治体系逐步完善，预计“十四五”时期全省畜禽养殖对环境的影响将维持现状甚至进一步减小。</w:t>
      </w:r>
    </w:p>
    <w:p>
      <w:pPr>
        <w:spacing w:line="590" w:lineRule="exact"/>
        <w:ind w:firstLine="643" w:firstLineChars="200"/>
        <w:rPr>
          <w:rFonts w:hint="eastAsia"/>
          <w:szCs w:val="32"/>
        </w:rPr>
      </w:pPr>
      <w:r>
        <w:rPr>
          <w:rFonts w:hint="eastAsia"/>
          <w:b/>
          <w:szCs w:val="32"/>
        </w:rPr>
        <w:t>1.</w:t>
      </w:r>
      <w:r>
        <w:rPr>
          <w:rFonts w:hint="eastAsia"/>
          <w:b/>
          <w:bCs/>
          <w:szCs w:val="32"/>
        </w:rPr>
        <w:t xml:space="preserve"> </w:t>
      </w:r>
      <w:r>
        <w:rPr>
          <w:b/>
          <w:bCs/>
          <w:szCs w:val="32"/>
        </w:rPr>
        <w:t>坚持高质量发展，推动养殖源头粪污产生减量。</w:t>
      </w:r>
      <w:r>
        <w:rPr>
          <w:szCs w:val="32"/>
        </w:rPr>
        <w:t>本规划以标准化、绿色化、规模化、循环化、数字化、基地化“六化”为导向，以规模化畜禽养殖场为重点，全方位提升畜牧业高质量发展水平。通过配套精准饲喂和节水设施、养殖污染治理设施，推广应用养殖臭气综合治理技术，支持大型规模养殖场污水纳管处理，有效降低养殖源头粪污产生量，最大限度降低畜禽养殖对环境的影响。到2025年，全省规模化畜禽养殖场粪污处理设施配套比例达到100%，畜禽粪污资源化利用和无害化处理率提高到92%以上。</w:t>
      </w:r>
    </w:p>
    <w:p>
      <w:pPr>
        <w:spacing w:line="590" w:lineRule="exact"/>
        <w:ind w:firstLine="643" w:firstLineChars="200"/>
        <w:rPr>
          <w:szCs w:val="32"/>
        </w:rPr>
      </w:pPr>
      <w:r>
        <w:rPr>
          <w:rFonts w:hint="eastAsia"/>
          <w:b/>
          <w:szCs w:val="32"/>
        </w:rPr>
        <w:t>2.</w:t>
      </w:r>
      <w:r>
        <w:rPr>
          <w:rFonts w:hint="eastAsia"/>
          <w:b/>
          <w:bCs/>
          <w:szCs w:val="32"/>
        </w:rPr>
        <w:t xml:space="preserve"> </w:t>
      </w:r>
      <w:r>
        <w:rPr>
          <w:b/>
          <w:bCs/>
          <w:szCs w:val="32"/>
        </w:rPr>
        <w:t>优化养殖布局，推动种养结合农牧对接。</w:t>
      </w:r>
      <w:r>
        <w:rPr>
          <w:szCs w:val="32"/>
        </w:rPr>
        <w:t>本规划立足浙江自然资源禀赋和现有产业基础，结合生态保护红线、资源环境承载力、猪肉消费需要及产业竞争力等因素，科学优化畜禽养殖规模和布局，畜禽养殖优势区、重点县产业优势更加明显，区域</w:t>
      </w:r>
      <w:r>
        <w:rPr>
          <w:spacing w:val="-2"/>
          <w:szCs w:val="32"/>
        </w:rPr>
        <w:t>分布更加合理，畜禽养殖产业发展符合区域环境功能定位和“三线一单”管控要求。以粪肥就近还田利用为核心，打通种养循环堵点，加快推动农业绿色低碳发展，形成养殖场户、服务组织和种植主体紧密衔接的绿色循环农业发展模式。到2025年，全省畜禽养殖环境承载率控制在40%以内，建成省级美丽牧场1500家。</w:t>
      </w:r>
    </w:p>
    <w:p>
      <w:pPr>
        <w:pStyle w:val="4"/>
        <w:keepNext w:val="0"/>
        <w:keepLines w:val="0"/>
        <w:numPr>
          <w:ilvl w:val="0"/>
          <w:numId w:val="0"/>
        </w:numPr>
        <w:spacing w:line="590" w:lineRule="exact"/>
        <w:ind w:left="640"/>
        <w:rPr>
          <w:rFonts w:ascii="Times New Roman" w:hAnsi="Times New Roman"/>
        </w:rPr>
      </w:pPr>
      <w:bookmarkStart w:id="44" w:name="_Toc74061146"/>
      <w:r>
        <w:rPr>
          <w:rFonts w:ascii="Times New Roman" w:hAnsi="Times New Roman"/>
        </w:rPr>
        <w:t>（二）规划实施的环境保护措施</w:t>
      </w:r>
      <w:bookmarkEnd w:id="44"/>
    </w:p>
    <w:p>
      <w:pPr>
        <w:spacing w:line="590" w:lineRule="exact"/>
        <w:ind w:firstLine="643" w:firstLineChars="200"/>
        <w:rPr>
          <w:szCs w:val="32"/>
        </w:rPr>
      </w:pPr>
      <w:r>
        <w:rPr>
          <w:b/>
          <w:bCs/>
          <w:szCs w:val="32"/>
        </w:rPr>
        <w:t>1.</w:t>
      </w:r>
      <w:r>
        <w:rPr>
          <w:rFonts w:hint="eastAsia"/>
          <w:b/>
          <w:bCs/>
          <w:szCs w:val="32"/>
        </w:rPr>
        <w:t xml:space="preserve"> </w:t>
      </w:r>
      <w:r>
        <w:rPr>
          <w:b/>
          <w:bCs/>
          <w:szCs w:val="32"/>
        </w:rPr>
        <w:t>强化规划环评工作保障措施。</w:t>
      </w:r>
      <w:r>
        <w:rPr>
          <w:szCs w:val="32"/>
        </w:rPr>
        <w:t>严格遵守《中华人民共和国环境保护法》《中华人民共和国环境影响评价法》等法律法规和我省环境功能区划各项要求，落实《浙江省畜禽养殖污染防治“十四五”规划》，统筹“三线一单”、规划环评、项目环评和排污许可工作，严格落实规划环评制度，准确把握规划环评重点，规范规划环评审查程序，强化规划环评约束作用、修编规划情形、跟踪评价、规划与项目环评联动。建立健全规范的养殖业准入和退出机制，强化落实畜禽养殖污染防治主体责任，加大环境违法处罚力度，促进环境问题整改，促进养殖业健康可持续发展。</w:t>
      </w:r>
    </w:p>
    <w:p>
      <w:pPr>
        <w:spacing w:line="590" w:lineRule="exact"/>
        <w:ind w:firstLine="643" w:firstLineChars="200"/>
        <w:rPr>
          <w:szCs w:val="32"/>
        </w:rPr>
      </w:pPr>
      <w:r>
        <w:rPr>
          <w:b/>
          <w:bCs/>
          <w:szCs w:val="32"/>
        </w:rPr>
        <w:t>2.</w:t>
      </w:r>
      <w:r>
        <w:rPr>
          <w:rFonts w:hint="eastAsia"/>
          <w:b/>
          <w:bCs/>
          <w:szCs w:val="32"/>
        </w:rPr>
        <w:t xml:space="preserve"> </w:t>
      </w:r>
      <w:r>
        <w:rPr>
          <w:b/>
          <w:bCs/>
          <w:szCs w:val="32"/>
        </w:rPr>
        <w:t>采取畜禽养殖污染生态化治理和工业化处理分类管控。</w:t>
      </w:r>
      <w:r>
        <w:rPr>
          <w:szCs w:val="32"/>
        </w:rPr>
        <w:t>探索符合浙江特色的“生态化治理+工业化处置”的畜禽养殖污染治理路径。对不同养殖类型、不同养殖规模、不同养殖技术、位于不同类型地区的养殖场制定不同的养殖污染管理要求，因地制宜处置养殖废弃物。采用生态化治理的畜禽养殖场（户），其资源化利用去向应明确，具有稳定且匹配的农田、园地、林地等消纳地，配套有两个月以上沼液贮存能力的储液池等消纳设施并正常运行，或通过消纳对接协议、处理利用合同等方式委托综合利用处置。采用工业化达标处理的畜禽养殖场（户），必须配套有效的预处理或深度处理设施，设置标准的废水排放口、检查井和标识标牌，执行相应的排放标准或纳管排放标准。利用养殖场养殖污染在线视频监控设施和在线监测系统开展畜禽养殖污染监管，进一步压实企业污染防治主体责任，完善畜禽养殖防控机制。</w:t>
      </w:r>
    </w:p>
    <w:p>
      <w:pPr>
        <w:tabs>
          <w:tab w:val="left" w:pos="1591"/>
        </w:tabs>
        <w:overflowPunct w:val="0"/>
        <w:spacing w:line="590" w:lineRule="exact"/>
        <w:ind w:firstLine="643" w:firstLineChars="200"/>
        <w:rPr>
          <w:bCs/>
          <w:kern w:val="0"/>
          <w:szCs w:val="32"/>
        </w:rPr>
      </w:pPr>
      <w:r>
        <w:rPr>
          <w:b/>
          <w:bCs/>
          <w:szCs w:val="32"/>
        </w:rPr>
        <w:t>3.</w:t>
      </w:r>
      <w:r>
        <w:rPr>
          <w:rFonts w:hint="eastAsia"/>
          <w:b/>
          <w:bCs/>
          <w:szCs w:val="32"/>
        </w:rPr>
        <w:t xml:space="preserve"> </w:t>
      </w:r>
      <w:r>
        <w:rPr>
          <w:b/>
          <w:bCs/>
          <w:szCs w:val="32"/>
        </w:rPr>
        <w:t>加强农牧对接机制建设。</w:t>
      </w:r>
      <w:r>
        <w:rPr>
          <w:szCs w:val="32"/>
        </w:rPr>
        <w:t>深化完善主体小循环、区域中循环、县域大循环，全面推进畜禽养殖废弃物资源化利用，不断完善农牧对接长效机制。支持畜禽养殖场户建设畜禽粪污无害化处理和资源化利用设施，鼓励采取粪肥还田、制取沼气、生产有机肥等方式进行资源化利用，支持商品有机肥生产和推广应用。推行经济高效的粪污资源化利用技术模式，积极推广全量机械化施用，逐步改进粪肥施用方式。按照现代生态循环农业发展要求，进一步完善农牧对接“一县一案”。严格执行生态消纳相关导则和规范，加快推进提供沼液储运、管网管护、贮存设施管护等专业化服务能力建设，健全农牧对接的社会服务支撑体系。</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书宋简体">
    <w:altName w:val="宋体"/>
    <w:panose1 w:val="03000509000000000000"/>
    <w:charset w:val="00"/>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left="320" w:leftChars="100" w:right="320" w:rightChars="100"/>
      <w:rPr>
        <w:rStyle w:val="18"/>
        <w:rFonts w:hint="eastAsia"/>
        <w:sz w:val="28"/>
        <w:szCs w:val="28"/>
      </w:rPr>
    </w:pPr>
    <w:r>
      <w:rPr>
        <w:rStyle w:val="18"/>
        <w:rFonts w:hint="eastAsia"/>
        <w:sz w:val="28"/>
        <w:szCs w:val="28"/>
      </w:rPr>
      <w:t xml:space="preserve">— </w:t>
    </w:r>
    <w:r>
      <w:rPr>
        <w:sz w:val="28"/>
        <w:szCs w:val="28"/>
      </w:rPr>
      <w:fldChar w:fldCharType="begin"/>
    </w:r>
    <w:r>
      <w:rPr>
        <w:rStyle w:val="18"/>
        <w:sz w:val="28"/>
        <w:szCs w:val="28"/>
      </w:rPr>
      <w:instrText xml:space="preserve">PAGE  </w:instrText>
    </w:r>
    <w:r>
      <w:rPr>
        <w:sz w:val="28"/>
        <w:szCs w:val="28"/>
      </w:rPr>
      <w:fldChar w:fldCharType="separate"/>
    </w:r>
    <w:r>
      <w:rPr>
        <w:rStyle w:val="18"/>
        <w:sz w:val="28"/>
        <w:szCs w:val="28"/>
      </w:rPr>
      <w:t>45</w:t>
    </w:r>
    <w:r>
      <w:rPr>
        <w:sz w:val="28"/>
        <w:szCs w:val="28"/>
      </w:rPr>
      <w:fldChar w:fldCharType="end"/>
    </w:r>
    <w:r>
      <w:rPr>
        <w:rStyle w:val="18"/>
        <w:rFonts w:hint="eastAsia"/>
        <w:sz w:val="28"/>
        <w:szCs w:val="28"/>
      </w:rPr>
      <w:t xml:space="preserve"> —</w:t>
    </w:r>
  </w:p>
  <w:p>
    <w:pPr>
      <w:pStyle w:val="11"/>
      <w:ind w:right="360" w:firstLine="360"/>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-193675</wp:posOffset>
              </wp:positionV>
              <wp:extent cx="5615940" cy="252095"/>
              <wp:effectExtent l="0" t="0" r="0" b="0"/>
              <wp:wrapNone/>
              <wp:docPr id="2" name="矩形 2"/>
              <wp:cNvGraphicFramePr/>
              <a:graphic xmlns:a="http://schemas.openxmlformats.org/drawingml/2006/main">
                <a:graphicData uri="http://schemas.microsoft.com/office/word/2010/wordprocessingShape">
                  <wps:wsp>
                    <wps:cNvSpPr/>
                    <wps:spPr>
                      <a:xfrm>
                        <a:off x="0" y="0"/>
                        <a:ext cx="5615940" cy="252095"/>
                      </a:xfrm>
                      <a:prstGeom prst="rect">
                        <a:avLst/>
                      </a:prstGeom>
                      <a:noFill/>
                      <a:ln w="9525">
                        <a:noFill/>
                      </a:ln>
                    </wps:spPr>
                    <wps:bodyPr upright="1"/>
                  </wps:wsp>
                </a:graphicData>
              </a:graphic>
            </wp:anchor>
          </w:drawing>
        </mc:Choice>
        <mc:Fallback>
          <w:pict>
            <v:rect id="_x0000_s1026" o:spid="_x0000_s1026" o:spt="1" style="position:absolute;left:0pt;margin-top:-15.25pt;height:19.85pt;width:442.2pt;mso-position-horizontal:center;mso-position-horizontal-relative:margin;z-index:251658240;mso-width-relative:page;mso-height-relative:page;" filled="f" stroked="f" coordsize="21600,21600" o:gfxdata="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LYTpWfYAAAABgEAAA8AAAAAAAAAAQAgAAAAIgAAAGRycy9kb3ducmV2Lnht&#10;bFBLAQIUABQAAAAIAIdO4kAboEUZhwEAAPECAAAOAAAAAAAAAAEAIAAAACcBAABkcnMvZTJvRG9j&#10;LnhtbFBLBQYAAAAABgAGAFkBAAAgBQAAAAA=&#10;">
              <v:fill on="f" focussize="0,0"/>
              <v:stroke on="f"/>
              <v:imagedata o:title=""/>
              <o:lock v:ext="edit" aspectratio="f"/>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CFDB922"/>
    <w:rsid w:val="43F00CE3"/>
    <w:rsid w:val="4FCC2759"/>
    <w:rsid w:val="7F77AAE3"/>
    <w:rsid w:val="BCFDB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3">
    <w:name w:val="heading 1"/>
    <w:basedOn w:val="1"/>
    <w:next w:val="1"/>
    <w:qFormat/>
    <w:uiPriority w:val="0"/>
    <w:pPr>
      <w:keepNext/>
      <w:keepLines/>
      <w:spacing w:before="240" w:after="240"/>
      <w:ind w:firstLine="200" w:firstLineChars="200"/>
      <w:outlineLvl w:val="0"/>
    </w:pPr>
    <w:rPr>
      <w:rFonts w:eastAsia="黑体" w:asciiTheme="minorHAnsi" w:hAnsiTheme="minorHAnsi" w:cstheme="minorBidi"/>
      <w:bCs/>
      <w:kern w:val="44"/>
      <w:sz w:val="32"/>
      <w:szCs w:val="44"/>
    </w:rPr>
  </w:style>
  <w:style w:type="paragraph" w:styleId="4">
    <w:name w:val="heading 2"/>
    <w:basedOn w:val="1"/>
    <w:next w:val="1"/>
    <w:link w:val="27"/>
    <w:unhideWhenUsed/>
    <w:qFormat/>
    <w:uiPriority w:val="0"/>
    <w:pPr>
      <w:keepNext/>
      <w:keepLines/>
      <w:spacing w:before="240" w:after="240"/>
      <w:ind w:firstLine="200" w:firstLineChars="200"/>
      <w:outlineLvl w:val="1"/>
    </w:pPr>
    <w:rPr>
      <w:rFonts w:eastAsia="楷体_GB2312" w:asciiTheme="majorHAnsi" w:hAnsiTheme="majorHAnsi" w:cstheme="majorBidi"/>
      <w:bCs/>
      <w:sz w:val="32"/>
      <w:szCs w:val="32"/>
    </w:rPr>
  </w:style>
  <w:style w:type="paragraph" w:styleId="5">
    <w:name w:val="heading 3"/>
    <w:basedOn w:val="1"/>
    <w:next w:val="1"/>
    <w:link w:val="25"/>
    <w:unhideWhenUsed/>
    <w:qFormat/>
    <w:uiPriority w:val="0"/>
    <w:pPr>
      <w:keepNext/>
      <w:keepLines/>
      <w:spacing w:before="120" w:after="120"/>
      <w:ind w:firstLine="200" w:firstLineChars="200"/>
      <w:outlineLvl w:val="2"/>
    </w:pPr>
    <w:rPr>
      <w:rFonts w:ascii="Times New Roman" w:hAnsi="Times New Roman" w:eastAsia="仿宋_GB2312" w:cstheme="minorBidi"/>
      <w:b/>
      <w:bCs/>
      <w:sz w:val="32"/>
      <w:szCs w:val="32"/>
    </w:rPr>
  </w:style>
  <w:style w:type="paragraph" w:styleId="6">
    <w:name w:val="heading 4"/>
    <w:basedOn w:val="1"/>
    <w:next w:val="1"/>
    <w:unhideWhenUsed/>
    <w:qFormat/>
    <w:uiPriority w:val="0"/>
    <w:pPr>
      <w:keepNext/>
      <w:keepLines/>
      <w:spacing w:before="280" w:after="290" w:line="376" w:lineRule="auto"/>
      <w:outlineLvl w:val="3"/>
    </w:pPr>
    <w:rPr>
      <w:rFonts w:ascii="Cambria" w:hAnsi="Cambria" w:eastAsia="宋体"/>
      <w:b/>
      <w:bCs/>
      <w:sz w:val="28"/>
      <w:szCs w:val="28"/>
    </w:rPr>
  </w:style>
  <w:style w:type="character" w:default="1" w:styleId="17">
    <w:name w:val="Default Paragraph Font"/>
    <w:semiHidden/>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customStyle="1" w:styleId="2">
    <w:name w:val="正文-文本"/>
    <w:qFormat/>
    <w:uiPriority w:val="0"/>
    <w:pPr>
      <w:spacing w:line="580" w:lineRule="exact"/>
      <w:ind w:firstLine="200" w:firstLineChars="200"/>
      <w:jc w:val="both"/>
    </w:pPr>
    <w:rPr>
      <w:rFonts w:ascii="Times New Roman" w:hAnsi="Times New Roman" w:eastAsia="仿宋_GB2312" w:cs="Times New Roman"/>
      <w:bCs/>
      <w:kern w:val="2"/>
      <w:sz w:val="32"/>
      <w:szCs w:val="32"/>
      <w:lang w:val="en-US" w:eastAsia="zh-CN" w:bidi="ar-SA"/>
    </w:rPr>
  </w:style>
  <w:style w:type="paragraph" w:styleId="7">
    <w:name w:val="Body Text First Indent"/>
    <w:basedOn w:val="8"/>
    <w:qFormat/>
    <w:uiPriority w:val="0"/>
    <w:pPr>
      <w:spacing w:line="240" w:lineRule="auto"/>
      <w:ind w:firstLine="420" w:firstLineChars="100"/>
    </w:pPr>
    <w:rPr>
      <w:sz w:val="32"/>
    </w:rPr>
  </w:style>
  <w:style w:type="paragraph" w:styleId="8">
    <w:name w:val="Body Text"/>
    <w:basedOn w:val="1"/>
    <w:qFormat/>
    <w:uiPriority w:val="0"/>
    <w:pPr>
      <w:spacing w:after="120" w:line="360" w:lineRule="auto"/>
      <w:ind w:firstLine="200" w:firstLineChars="200"/>
    </w:pPr>
    <w:rPr>
      <w:sz w:val="28"/>
    </w:rPr>
  </w:style>
  <w:style w:type="paragraph" w:styleId="9">
    <w:name w:val="Body Text Indent"/>
    <w:basedOn w:val="1"/>
    <w:uiPriority w:val="0"/>
    <w:pPr>
      <w:ind w:firstLine="540" w:firstLineChars="180"/>
    </w:pPr>
    <w:rPr>
      <w:rFonts w:ascii="仿宋_GB2312"/>
      <w:sz w:val="30"/>
      <w:szCs w:val="30"/>
    </w:rPr>
  </w:style>
  <w:style w:type="paragraph" w:styleId="10">
    <w:name w:val="Plain Text"/>
    <w:basedOn w:val="1"/>
    <w:qFormat/>
    <w:uiPriority w:val="0"/>
    <w:rPr>
      <w:rFonts w:ascii="宋体" w:hAnsi="Courier New" w:eastAsia="宋体" w:cs="宋体"/>
      <w:kern w:val="0"/>
      <w:sz w:val="21"/>
      <w:szCs w:val="21"/>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ody Text First Indent 2"/>
    <w:basedOn w:val="9"/>
    <w:qFormat/>
    <w:uiPriority w:val="0"/>
    <w:pPr>
      <w:spacing w:after="120"/>
      <w:ind w:left="420" w:leftChars="200" w:firstLine="420" w:firstLineChars="200"/>
    </w:pPr>
    <w:rPr>
      <w:rFonts w:ascii="Times New Roman"/>
      <w:sz w:val="32"/>
      <w:szCs w:val="24"/>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footnote text"/>
    <w:basedOn w:val="1"/>
    <w:qFormat/>
    <w:uiPriority w:val="0"/>
    <w:pPr>
      <w:snapToGrid w:val="0"/>
      <w:jc w:val="left"/>
    </w:pPr>
    <w:rPr>
      <w:rFonts w:asciiTheme="minorHAnsi" w:hAnsiTheme="minorHAnsi" w:eastAsiaTheme="minorEastAsia" w:cstheme="minorBidi"/>
      <w:sz w:val="18"/>
      <w:szCs w:val="18"/>
    </w:rPr>
  </w:style>
  <w:style w:type="paragraph" w:styleId="15">
    <w:name w:val="table of figures"/>
    <w:basedOn w:val="1"/>
    <w:next w:val="1"/>
    <w:qFormat/>
    <w:uiPriority w:val="0"/>
    <w:pPr>
      <w:ind w:left="200" w:leftChars="200" w:hanging="200" w:hangingChars="200"/>
    </w:pPr>
    <w:rPr>
      <w:rFonts w:ascii="Calibri" w:hAnsi="Calibri" w:eastAsia="宋体"/>
      <w:sz w:val="21"/>
    </w:rPr>
  </w:style>
  <w:style w:type="paragraph" w:styleId="16">
    <w:name w:val="Title"/>
    <w:basedOn w:val="1"/>
    <w:next w:val="1"/>
    <w:qFormat/>
    <w:uiPriority w:val="0"/>
    <w:pPr>
      <w:spacing w:before="240" w:after="60"/>
      <w:jc w:val="center"/>
      <w:outlineLvl w:val="0"/>
    </w:pPr>
    <w:rPr>
      <w:rFonts w:ascii="Cambria" w:hAnsi="Cambria" w:eastAsia="宋体"/>
      <w:b/>
      <w:bCs/>
      <w:szCs w:val="32"/>
    </w:rPr>
  </w:style>
  <w:style w:type="character" w:styleId="18">
    <w:name w:val="page number"/>
    <w:basedOn w:val="17"/>
    <w:qFormat/>
    <w:uiPriority w:val="0"/>
  </w:style>
  <w:style w:type="character" w:styleId="19">
    <w:name w:val="footnote reference"/>
    <w:basedOn w:val="17"/>
    <w:qFormat/>
    <w:uiPriority w:val="0"/>
    <w:rPr>
      <w:rFonts w:asciiTheme="minorHAnsi" w:hAnsiTheme="minorHAnsi" w:eastAsiaTheme="minorEastAsia" w:cstheme="minorBidi"/>
      <w:vertAlign w:val="superscript"/>
    </w:rPr>
  </w:style>
  <w:style w:type="paragraph" w:customStyle="1" w:styleId="21">
    <w:name w:val="列出段落1"/>
    <w:basedOn w:val="1"/>
    <w:qFormat/>
    <w:uiPriority w:val="34"/>
    <w:pPr>
      <w:ind w:firstLine="420" w:firstLineChars="200"/>
    </w:pPr>
    <w:rPr>
      <w:rFonts w:asciiTheme="minorHAnsi" w:hAnsiTheme="minorHAnsi" w:eastAsiaTheme="minorEastAsia" w:cstheme="minorBidi"/>
      <w:sz w:val="21"/>
      <w:szCs w:val="24"/>
    </w:rPr>
  </w:style>
  <w:style w:type="paragraph" w:customStyle="1" w:styleId="22">
    <w:name w:val="正文缩进1"/>
    <w:basedOn w:val="1"/>
    <w:qFormat/>
    <w:uiPriority w:val="0"/>
    <w:pPr>
      <w:ind w:firstLine="420" w:firstLineChars="200"/>
    </w:pPr>
    <w:rPr>
      <w:rFonts w:ascii="Calibri" w:hAnsi="Calibri" w:cs="宋体"/>
    </w:rPr>
  </w:style>
  <w:style w:type="paragraph" w:customStyle="1" w:styleId="23">
    <w:name w:val="Normal Indent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character" w:customStyle="1" w:styleId="24">
    <w:name w:val="标题 3 Char2"/>
    <w:qFormat/>
    <w:uiPriority w:val="0"/>
    <w:rPr>
      <w:rFonts w:ascii="Times New Roman" w:hAnsi="Times New Roman" w:eastAsia="宋体" w:cs="Times New Roman"/>
      <w:b/>
      <w:bCs/>
      <w:kern w:val="0"/>
      <w:sz w:val="32"/>
      <w:szCs w:val="32"/>
    </w:rPr>
  </w:style>
  <w:style w:type="character" w:customStyle="1" w:styleId="25">
    <w:name w:val="标题 3 Char"/>
    <w:basedOn w:val="17"/>
    <w:link w:val="5"/>
    <w:qFormat/>
    <w:uiPriority w:val="0"/>
    <w:rPr>
      <w:rFonts w:ascii="Times New Roman" w:hAnsi="Times New Roman" w:eastAsia="仿宋_GB2312" w:cstheme="minorBidi"/>
      <w:b/>
      <w:bCs/>
      <w:sz w:val="32"/>
      <w:szCs w:val="32"/>
    </w:rPr>
  </w:style>
  <w:style w:type="character" w:customStyle="1" w:styleId="26">
    <w:name w:val="标题 3 字符2"/>
    <w:qFormat/>
    <w:uiPriority w:val="0"/>
    <w:rPr>
      <w:rFonts w:ascii="Times New Roman" w:hAnsi="Times New Roman" w:eastAsia="仿宋_GB2312" w:cs="Times New Roman"/>
      <w:b/>
      <w:bCs/>
      <w:kern w:val="2"/>
      <w:sz w:val="28"/>
      <w:szCs w:val="32"/>
    </w:rPr>
  </w:style>
  <w:style w:type="character" w:customStyle="1" w:styleId="27">
    <w:name w:val="标题 2 Char"/>
    <w:basedOn w:val="17"/>
    <w:link w:val="4"/>
    <w:qFormat/>
    <w:uiPriority w:val="0"/>
    <w:rPr>
      <w:rFonts w:eastAsia="楷体_GB2312" w:asciiTheme="majorHAnsi" w:hAnsiTheme="majorHAnsi" w:cstheme="majorBidi"/>
      <w:bCs/>
      <w:sz w:val="32"/>
      <w:szCs w:val="32"/>
    </w:rPr>
  </w:style>
  <w:style w:type="character" w:customStyle="1" w:styleId="28">
    <w:name w:val="标题 2 Char1"/>
    <w:qFormat/>
    <w:uiPriority w:val="0"/>
    <w:rPr>
      <w:rFonts w:ascii="Cambria" w:hAnsi="Cambria" w:eastAsia="楷体_GB2312" w:cs="Times New Roman"/>
      <w:b/>
      <w:bCs/>
      <w:kern w:val="0"/>
      <w:sz w:val="32"/>
      <w:szCs w:val="32"/>
    </w:rPr>
  </w:style>
  <w:style w:type="character" w:customStyle="1" w:styleId="29">
    <w:name w:val="标题 2 字符3"/>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2021-07-07T19:40:00Z</dcterms:created>
  <dc:creator>chanvictor</dc:creator>
  <cp:lastModifiedBy>☞ZHAO</cp:lastModifiedBy>
  <dcterms:modified xsi:type="dcterms:W3CDTF">2021-07-08T07:16:57Z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