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autoSpaceDE/>
        <w:autoSpaceDN/>
        <w:bidi w:val="0"/>
        <w:adjustRightInd/>
        <w:snapToGrid/>
        <w:spacing w:after="0" w:line="579" w:lineRule="exact"/>
        <w:ind w:right="59" w:rightChars="21"/>
        <w:textAlignment w:val="auto"/>
        <w:rPr>
          <w:rFonts w:hint="default" w:ascii="Times New Roman" w:hAnsi="Times New Roman" w:cs="Times New Roman"/>
          <w:sz w:val="32"/>
          <w:szCs w:val="32"/>
        </w:rPr>
      </w:pPr>
      <w:bookmarkStart w:id="266" w:name="_GoBack"/>
      <w:bookmarkEnd w:id="266"/>
    </w:p>
    <w:p>
      <w:pPr>
        <w:keepNext w:val="0"/>
        <w:keepLines w:val="0"/>
        <w:pageBreakBefore w:val="0"/>
        <w:widowControl w:val="0"/>
        <w:kinsoku/>
        <w:wordWrap/>
        <w:overflowPunct/>
        <w:topLinePunct w:val="0"/>
        <w:autoSpaceDE/>
        <w:autoSpaceDN/>
        <w:bidi w:val="0"/>
        <w:adjustRightInd/>
        <w:snapToGrid/>
        <w:spacing w:after="0" w:line="579" w:lineRule="exact"/>
        <w:ind w:right="59" w:rightChars="21"/>
        <w:textAlignment w:val="auto"/>
        <w:rPr>
          <w:rFonts w:hint="default" w:ascii="Times New Roman" w:hAnsi="Times New Roman" w:cs="Times New Roman"/>
          <w:sz w:val="32"/>
          <w:szCs w:val="32"/>
        </w:rPr>
      </w:pPr>
    </w:p>
    <w:p>
      <w:pPr>
        <w:keepNext w:val="0"/>
        <w:keepLines w:val="0"/>
        <w:pageBreakBefore w:val="0"/>
        <w:widowControl w:val="0"/>
        <w:kinsoku/>
        <w:wordWrap/>
        <w:overflowPunct/>
        <w:topLinePunct w:val="0"/>
        <w:autoSpaceDE/>
        <w:autoSpaceDN/>
        <w:bidi w:val="0"/>
        <w:adjustRightInd/>
        <w:snapToGrid/>
        <w:spacing w:after="0" w:line="579" w:lineRule="exact"/>
        <w:ind w:right="59" w:rightChars="21"/>
        <w:textAlignment w:val="auto"/>
        <w:rPr>
          <w:rFonts w:hint="default" w:ascii="Times New Roman" w:hAnsi="Times New Roman" w:cs="Times New Roman"/>
          <w:sz w:val="32"/>
          <w:szCs w:val="32"/>
        </w:rPr>
      </w:pPr>
    </w:p>
    <w:p>
      <w:pPr>
        <w:keepNext w:val="0"/>
        <w:keepLines w:val="0"/>
        <w:pageBreakBefore w:val="0"/>
        <w:widowControl w:val="0"/>
        <w:kinsoku/>
        <w:wordWrap/>
        <w:overflowPunct/>
        <w:topLinePunct w:val="0"/>
        <w:autoSpaceDE/>
        <w:autoSpaceDN/>
        <w:bidi w:val="0"/>
        <w:adjustRightInd/>
        <w:snapToGrid/>
        <w:spacing w:after="0" w:line="579" w:lineRule="exact"/>
        <w:ind w:right="59" w:rightChars="21"/>
        <w:textAlignment w:val="auto"/>
        <w:rPr>
          <w:rFonts w:hint="default" w:ascii="Times New Roman" w:hAnsi="Times New Roman" w:cs="Times New Roman"/>
          <w:sz w:val="32"/>
          <w:szCs w:val="32"/>
        </w:rPr>
      </w:pPr>
    </w:p>
    <w:p>
      <w:pPr>
        <w:keepNext w:val="0"/>
        <w:keepLines w:val="0"/>
        <w:pageBreakBefore w:val="0"/>
        <w:widowControl w:val="0"/>
        <w:kinsoku/>
        <w:wordWrap/>
        <w:overflowPunct/>
        <w:topLinePunct w:val="0"/>
        <w:autoSpaceDE/>
        <w:autoSpaceDN/>
        <w:bidi w:val="0"/>
        <w:adjustRightInd/>
        <w:snapToGrid/>
        <w:spacing w:after="0" w:line="579" w:lineRule="exact"/>
        <w:ind w:right="59" w:rightChars="21"/>
        <w:textAlignment w:val="auto"/>
        <w:rPr>
          <w:rFonts w:hint="default" w:ascii="Times New Roman" w:hAnsi="Times New Roman" w:cs="Times New Roman"/>
          <w:sz w:val="32"/>
          <w:szCs w:val="32"/>
        </w:rPr>
      </w:pPr>
    </w:p>
    <w:p>
      <w:pPr>
        <w:keepNext w:val="0"/>
        <w:keepLines w:val="0"/>
        <w:pageBreakBefore w:val="0"/>
        <w:widowControl w:val="0"/>
        <w:kinsoku/>
        <w:wordWrap/>
        <w:overflowPunct/>
        <w:topLinePunct w:val="0"/>
        <w:autoSpaceDE/>
        <w:autoSpaceDN/>
        <w:bidi w:val="0"/>
        <w:adjustRightInd/>
        <w:snapToGrid/>
        <w:spacing w:after="0" w:line="579" w:lineRule="exact"/>
        <w:ind w:right="59" w:rightChars="21"/>
        <w:textAlignment w:val="auto"/>
        <w:rPr>
          <w:rFonts w:hint="default" w:ascii="Times New Roman" w:hAnsi="Times New Roman" w:eastAsia="方正小标宋简体" w:cs="Times New Roman"/>
          <w:b w:val="0"/>
          <w:bCs w:val="0"/>
          <w:spacing w:val="1"/>
          <w:w w:val="100"/>
          <w:kern w:val="0"/>
          <w:sz w:val="52"/>
          <w:szCs w:val="52"/>
          <w:lang w:val="en-US" w:eastAsia="en-US" w:bidi="ar-SA"/>
        </w:rPr>
      </w:pPr>
    </w:p>
    <w:p>
      <w:pPr>
        <w:keepNext w:val="0"/>
        <w:keepLines w:val="0"/>
        <w:pageBreakBefore w:val="0"/>
        <w:widowControl/>
        <w:kinsoku/>
        <w:wordWrap/>
        <w:overflowPunct/>
        <w:topLinePunct w:val="0"/>
        <w:autoSpaceDE/>
        <w:autoSpaceDN/>
        <w:bidi w:val="0"/>
        <w:adjustRightInd/>
        <w:snapToGrid/>
        <w:spacing w:line="579" w:lineRule="exact"/>
        <w:jc w:val="center"/>
        <w:textAlignment w:val="auto"/>
        <w:rPr>
          <w:rFonts w:hint="default" w:ascii="Times New Roman" w:hAnsi="Times New Roman" w:eastAsia="方正小标宋简体" w:cs="Times New Roman"/>
          <w:b w:val="0"/>
          <w:bCs w:val="0"/>
          <w:spacing w:val="1"/>
          <w:w w:val="100"/>
          <w:kern w:val="0"/>
          <w:sz w:val="52"/>
          <w:szCs w:val="52"/>
          <w:lang w:val="en-US" w:eastAsia="en-US" w:bidi="ar-SA"/>
        </w:rPr>
      </w:pPr>
      <w:r>
        <w:rPr>
          <w:rFonts w:hint="default" w:ascii="Times New Roman" w:hAnsi="Times New Roman" w:eastAsia="方正小标宋简体" w:cs="Times New Roman"/>
          <w:b w:val="0"/>
          <w:bCs w:val="0"/>
          <w:spacing w:val="1"/>
          <w:w w:val="100"/>
          <w:kern w:val="0"/>
          <w:sz w:val="52"/>
          <w:szCs w:val="52"/>
          <w:lang w:val="en-US" w:eastAsia="zh-CN" w:bidi="ar-SA"/>
        </w:rPr>
        <w:t>海盐秦山</w:t>
      </w:r>
      <w:r>
        <w:rPr>
          <w:rFonts w:hint="default" w:ascii="Times New Roman" w:hAnsi="Times New Roman" w:eastAsia="方正小标宋简体" w:cs="Times New Roman"/>
          <w:b w:val="0"/>
          <w:bCs w:val="0"/>
          <w:spacing w:val="1"/>
          <w:w w:val="100"/>
          <w:kern w:val="0"/>
          <w:sz w:val="52"/>
          <w:szCs w:val="52"/>
          <w:lang w:val="en-US" w:eastAsia="en-US" w:bidi="ar-SA"/>
        </w:rPr>
        <w:t>增量配电网</w:t>
      </w:r>
    </w:p>
    <w:p>
      <w:pPr>
        <w:keepNext w:val="0"/>
        <w:keepLines w:val="0"/>
        <w:pageBreakBefore w:val="0"/>
        <w:widowControl/>
        <w:kinsoku/>
        <w:wordWrap/>
        <w:overflowPunct/>
        <w:topLinePunct w:val="0"/>
        <w:autoSpaceDE/>
        <w:autoSpaceDN/>
        <w:bidi w:val="0"/>
        <w:adjustRightInd/>
        <w:snapToGrid/>
        <w:spacing w:line="579" w:lineRule="exact"/>
        <w:jc w:val="center"/>
        <w:textAlignment w:val="auto"/>
        <w:rPr>
          <w:rFonts w:hint="default" w:ascii="Times New Roman" w:hAnsi="Times New Roman" w:eastAsia="方正小标宋简体" w:cs="Times New Roman"/>
          <w:b w:val="0"/>
          <w:bCs w:val="0"/>
          <w:spacing w:val="1"/>
          <w:w w:val="100"/>
          <w:kern w:val="0"/>
          <w:sz w:val="52"/>
          <w:szCs w:val="52"/>
          <w:lang w:val="en-US" w:eastAsia="en-US" w:bidi="ar-SA"/>
        </w:rPr>
      </w:pPr>
      <w:r>
        <w:rPr>
          <w:rFonts w:hint="default" w:ascii="Times New Roman" w:hAnsi="Times New Roman" w:eastAsia="方正小标宋简体" w:cs="Times New Roman"/>
          <w:b w:val="0"/>
          <w:bCs w:val="0"/>
          <w:spacing w:val="1"/>
          <w:w w:val="100"/>
          <w:kern w:val="0"/>
          <w:sz w:val="52"/>
          <w:szCs w:val="52"/>
          <w:lang w:val="en-US" w:eastAsia="en-US" w:bidi="ar-SA"/>
        </w:rPr>
        <w:t>建设发展规划</w:t>
      </w:r>
    </w:p>
    <w:p>
      <w:pPr>
        <w:keepNext w:val="0"/>
        <w:keepLines w:val="0"/>
        <w:pageBreakBefore w:val="0"/>
        <w:widowControl/>
        <w:kinsoku/>
        <w:wordWrap/>
        <w:overflowPunct/>
        <w:topLinePunct w:val="0"/>
        <w:autoSpaceDE/>
        <w:autoSpaceDN/>
        <w:bidi w:val="0"/>
        <w:adjustRightInd/>
        <w:snapToGrid/>
        <w:spacing w:line="579" w:lineRule="exact"/>
        <w:jc w:val="center"/>
        <w:textAlignment w:val="auto"/>
        <w:rPr>
          <w:rFonts w:hint="default" w:ascii="Times New Roman" w:hAnsi="Times New Roman" w:eastAsia="方正小标宋简体" w:cs="Times New Roman"/>
          <w:color w:val="000000"/>
          <w:kern w:val="0"/>
          <w:sz w:val="44"/>
          <w:szCs w:val="44"/>
        </w:rPr>
      </w:pPr>
      <w:r>
        <w:rPr>
          <w:rFonts w:hint="default" w:ascii="Times New Roman" w:hAnsi="Times New Roman" w:eastAsia="方正小标宋简体" w:cs="Times New Roman"/>
          <w:color w:val="000000"/>
          <w:kern w:val="0"/>
          <w:sz w:val="44"/>
          <w:szCs w:val="44"/>
        </w:rPr>
        <w:t>（2019-2025年）</w:t>
      </w:r>
    </w:p>
    <w:p>
      <w:pPr>
        <w:widowControl/>
        <w:jc w:val="center"/>
        <w:rPr>
          <w:rFonts w:hint="default" w:ascii="Times New Roman" w:hAnsi="Times New Roman" w:eastAsia="仿宋" w:cs="Times New Roman"/>
          <w:b/>
          <w:bCs/>
          <w:color w:val="000000"/>
          <w:sz w:val="44"/>
          <w:szCs w:val="44"/>
        </w:rPr>
        <w:sectPr>
          <w:headerReference r:id="rId3" w:type="first"/>
          <w:footerReference r:id="rId5" w:type="first"/>
          <w:footerReference r:id="rId4" w:type="default"/>
          <w:pgSz w:w="11906" w:h="16838"/>
          <w:pgMar w:top="1928" w:right="1588" w:bottom="1588" w:left="1588" w:header="1247" w:footer="1021" w:gutter="0"/>
          <w:pgNumType w:fmt="upperRoman" w:start="1"/>
          <w:cols w:space="720" w:num="1"/>
          <w:titlePg/>
          <w:docGrid w:linePitch="312" w:charSpace="0"/>
        </w:sectPr>
      </w:pPr>
      <w:r>
        <w:rPr>
          <w:rFonts w:hint="default" w:ascii="Times New Roman" w:hAnsi="Times New Roman" w:eastAsia="仿宋" w:cs="Times New Roman"/>
          <w:b/>
          <w:bCs/>
          <w:color w:val="000000"/>
          <w:sz w:val="28"/>
          <w:szCs w:val="28"/>
        </w:rPr>
        <w:br w:type="page"/>
      </w:r>
    </w:p>
    <w:p>
      <w:pPr>
        <w:pStyle w:val="15"/>
        <w:keepNext w:val="0"/>
        <w:keepLines w:val="0"/>
        <w:pageBreakBefore w:val="0"/>
        <w:widowControl w:val="0"/>
        <w:kinsoku/>
        <w:wordWrap/>
        <w:overflowPunct/>
        <w:topLinePunct w:val="0"/>
        <w:autoSpaceDE/>
        <w:autoSpaceDN/>
        <w:bidi w:val="0"/>
        <w:adjustRightInd/>
        <w:snapToGrid/>
        <w:spacing w:after="0" w:line="579" w:lineRule="exact"/>
        <w:ind w:left="0" w:leftChars="0" w:right="59" w:rightChars="21" w:firstLine="659" w:firstLineChars="206"/>
        <w:jc w:val="both"/>
        <w:textAlignment w:val="auto"/>
        <w:rPr>
          <w:rFonts w:hint="default" w:ascii="Times New Roman" w:hAnsi="Times New Roman" w:eastAsia="仿宋_GB2312" w:cs="Times New Roman"/>
          <w:kern w:val="2"/>
          <w:sz w:val="32"/>
          <w:szCs w:val="32"/>
          <w:lang w:val="en-US" w:eastAsia="zh-CN"/>
        </w:rPr>
      </w:pPr>
      <w:bookmarkStart w:id="0" w:name="_Toc23253623"/>
      <w:bookmarkStart w:id="1" w:name="_Toc495541296"/>
      <w:bookmarkStart w:id="2" w:name="_Toc494357487"/>
      <w:bookmarkStart w:id="3" w:name="_Toc23251458"/>
      <w:bookmarkStart w:id="4" w:name="_Toc377557214"/>
      <w:r>
        <w:rPr>
          <w:rFonts w:hint="default" w:ascii="Times New Roman" w:hAnsi="Times New Roman" w:eastAsia="仿宋_GB2312" w:cs="Times New Roman"/>
          <w:kern w:val="2"/>
          <w:sz w:val="32"/>
          <w:szCs w:val="32"/>
          <w:lang w:val="en-US" w:eastAsia="zh-CN"/>
        </w:rPr>
        <w:t>根据</w:t>
      </w:r>
      <w:r>
        <w:rPr>
          <w:rFonts w:hint="default" w:ascii="Times New Roman" w:hAnsi="Times New Roman" w:eastAsia="仿宋_GB2312" w:cs="Times New Roman"/>
          <w:kern w:val="2"/>
          <w:sz w:val="32"/>
          <w:szCs w:val="32"/>
        </w:rPr>
        <w:t>《中共中央国务院关于进一步深化电力体制改革的若干意见》（中发〔2015〕9号）精神，国家发展改革委、国家能源局于201</w:t>
      </w:r>
      <w:r>
        <w:rPr>
          <w:rFonts w:hint="default" w:ascii="Times New Roman" w:hAnsi="Times New Roman" w:eastAsia="仿宋_GB2312" w:cs="Times New Roman"/>
          <w:kern w:val="2"/>
          <w:sz w:val="32"/>
          <w:szCs w:val="32"/>
          <w:lang w:val="en-US" w:eastAsia="zh-CN"/>
        </w:rPr>
        <w:t>7</w:t>
      </w:r>
      <w:r>
        <w:rPr>
          <w:rFonts w:hint="default" w:ascii="Times New Roman" w:hAnsi="Times New Roman" w:eastAsia="仿宋_GB2312" w:cs="Times New Roman"/>
          <w:kern w:val="2"/>
          <w:sz w:val="32"/>
          <w:szCs w:val="32"/>
        </w:rPr>
        <w:t>年</w:t>
      </w:r>
      <w:r>
        <w:rPr>
          <w:rFonts w:hint="default" w:ascii="Times New Roman" w:hAnsi="Times New Roman" w:eastAsia="仿宋_GB2312" w:cs="Times New Roman"/>
          <w:kern w:val="2"/>
          <w:sz w:val="32"/>
          <w:szCs w:val="32"/>
          <w:lang w:val="en-US" w:eastAsia="zh-CN"/>
        </w:rPr>
        <w:t>11</w:t>
      </w:r>
      <w:r>
        <w:rPr>
          <w:rFonts w:hint="default" w:ascii="Times New Roman" w:hAnsi="Times New Roman" w:eastAsia="仿宋_GB2312" w:cs="Times New Roman"/>
          <w:kern w:val="2"/>
          <w:sz w:val="32"/>
          <w:szCs w:val="32"/>
        </w:rPr>
        <w:t>月</w:t>
      </w:r>
      <w:r>
        <w:rPr>
          <w:rFonts w:hint="default" w:ascii="Times New Roman" w:hAnsi="Times New Roman" w:eastAsia="仿宋_GB2312" w:cs="Times New Roman"/>
          <w:kern w:val="2"/>
          <w:sz w:val="32"/>
          <w:szCs w:val="32"/>
          <w:lang w:val="en-US" w:eastAsia="zh-CN"/>
        </w:rPr>
        <w:t>印发</w:t>
      </w:r>
      <w:r>
        <w:rPr>
          <w:rFonts w:hint="default" w:ascii="Times New Roman" w:hAnsi="Times New Roman" w:eastAsia="仿宋_GB2312" w:cs="Times New Roman"/>
          <w:kern w:val="2"/>
          <w:sz w:val="32"/>
          <w:szCs w:val="32"/>
        </w:rPr>
        <w:t>了《关于规范开展第二批增量配电业务改革试点的通知》（发改经体〔201</w:t>
      </w:r>
      <w:r>
        <w:rPr>
          <w:rFonts w:hint="default" w:ascii="Times New Roman" w:hAnsi="Times New Roman" w:eastAsia="仿宋_GB2312" w:cs="Times New Roman"/>
          <w:kern w:val="2"/>
          <w:sz w:val="32"/>
          <w:szCs w:val="32"/>
          <w:lang w:val="en-US" w:eastAsia="zh-CN"/>
        </w:rPr>
        <w:t>7</w:t>
      </w:r>
      <w:r>
        <w:rPr>
          <w:rFonts w:hint="default" w:ascii="Times New Roman" w:hAnsi="Times New Roman" w:eastAsia="仿宋_GB2312" w:cs="Times New Roman"/>
          <w:kern w:val="2"/>
          <w:sz w:val="32"/>
          <w:szCs w:val="32"/>
        </w:rPr>
        <w:t>〕2010号），公布了第</w:t>
      </w:r>
      <w:r>
        <w:rPr>
          <w:rFonts w:hint="default" w:ascii="Times New Roman" w:hAnsi="Times New Roman" w:eastAsia="仿宋_GB2312" w:cs="Times New Roman"/>
          <w:kern w:val="2"/>
          <w:sz w:val="32"/>
          <w:szCs w:val="32"/>
          <w:lang w:val="en-US" w:eastAsia="zh-CN"/>
        </w:rPr>
        <w:t>二</w:t>
      </w:r>
      <w:r>
        <w:rPr>
          <w:rFonts w:hint="default" w:ascii="Times New Roman" w:hAnsi="Times New Roman" w:eastAsia="仿宋_GB2312" w:cs="Times New Roman"/>
          <w:kern w:val="2"/>
          <w:sz w:val="32"/>
          <w:szCs w:val="32"/>
        </w:rPr>
        <w:t>批</w:t>
      </w:r>
      <w:r>
        <w:rPr>
          <w:rFonts w:hint="default" w:ascii="Times New Roman" w:hAnsi="Times New Roman" w:eastAsia="仿宋_GB2312" w:cs="Times New Roman"/>
          <w:kern w:val="2"/>
          <w:sz w:val="32"/>
          <w:szCs w:val="32"/>
          <w:lang w:val="en-US" w:eastAsia="zh-CN"/>
        </w:rPr>
        <w:t>89</w:t>
      </w:r>
      <w:r>
        <w:rPr>
          <w:rFonts w:hint="default" w:ascii="Times New Roman" w:hAnsi="Times New Roman" w:eastAsia="仿宋_GB2312" w:cs="Times New Roman"/>
          <w:kern w:val="2"/>
          <w:sz w:val="32"/>
          <w:szCs w:val="32"/>
        </w:rPr>
        <w:t>个增量配电业务改革试点的名单，</w:t>
      </w:r>
      <w:r>
        <w:rPr>
          <w:rFonts w:hint="default" w:ascii="Times New Roman" w:hAnsi="Times New Roman" w:eastAsia="仿宋_GB2312" w:cs="Times New Roman"/>
          <w:kern w:val="2"/>
          <w:sz w:val="32"/>
          <w:szCs w:val="32"/>
          <w:lang w:val="en-US" w:eastAsia="zh-CN"/>
        </w:rPr>
        <w:t>海盐云计算及智能中心基地</w:t>
      </w:r>
      <w:r>
        <w:rPr>
          <w:rFonts w:hint="default" w:ascii="Times New Roman" w:hAnsi="Times New Roman" w:eastAsia="仿宋_GB2312" w:cs="Times New Roman"/>
          <w:kern w:val="2"/>
          <w:sz w:val="32"/>
          <w:szCs w:val="32"/>
        </w:rPr>
        <w:t>增量配电试点项目为浙江省内</w:t>
      </w:r>
      <w:r>
        <w:rPr>
          <w:rFonts w:hint="default" w:ascii="Times New Roman" w:hAnsi="Times New Roman" w:eastAsia="仿宋_GB2312" w:cs="Times New Roman"/>
          <w:kern w:val="2"/>
          <w:sz w:val="32"/>
          <w:szCs w:val="32"/>
          <w:lang w:val="en-US" w:eastAsia="zh-CN"/>
        </w:rPr>
        <w:t>唯一一</w:t>
      </w:r>
      <w:r>
        <w:rPr>
          <w:rFonts w:hint="default" w:ascii="Times New Roman" w:hAnsi="Times New Roman" w:eastAsia="仿宋_GB2312" w:cs="Times New Roman"/>
          <w:kern w:val="2"/>
          <w:sz w:val="32"/>
          <w:szCs w:val="32"/>
        </w:rPr>
        <w:t>个试点。</w:t>
      </w:r>
      <w:r>
        <w:rPr>
          <w:rFonts w:hint="default" w:ascii="Times New Roman" w:hAnsi="Times New Roman" w:eastAsia="仿宋_GB2312" w:cs="Times New Roman"/>
          <w:kern w:val="2"/>
          <w:sz w:val="32"/>
          <w:szCs w:val="32"/>
          <w:lang w:val="en-US" w:eastAsia="zh-CN"/>
        </w:rPr>
        <w:t>根据试点推进情况和产业发展状况，海盐云计算及智能中心基地</w:t>
      </w:r>
      <w:r>
        <w:rPr>
          <w:rFonts w:hint="default" w:ascii="Times New Roman" w:hAnsi="Times New Roman" w:eastAsia="仿宋_GB2312" w:cs="Times New Roman"/>
          <w:kern w:val="2"/>
          <w:sz w:val="32"/>
          <w:szCs w:val="32"/>
        </w:rPr>
        <w:t>增量配电试点</w:t>
      </w:r>
      <w:r>
        <w:rPr>
          <w:rFonts w:hint="default" w:ascii="Times New Roman" w:hAnsi="Times New Roman" w:eastAsia="仿宋_GB2312" w:cs="Times New Roman"/>
          <w:kern w:val="2"/>
          <w:sz w:val="32"/>
          <w:szCs w:val="32"/>
          <w:lang w:val="en-US" w:eastAsia="zh-CN"/>
        </w:rPr>
        <w:t>最终定名为海盐秦山增量配电网。</w:t>
      </w:r>
    </w:p>
    <w:p>
      <w:pPr>
        <w:keepNext w:val="0"/>
        <w:keepLines w:val="0"/>
        <w:pageBreakBefore w:val="0"/>
        <w:kinsoku/>
        <w:wordWrap/>
        <w:overflowPunct/>
        <w:topLinePunct w:val="0"/>
        <w:autoSpaceDE/>
        <w:autoSpaceDN/>
        <w:bidi w:val="0"/>
        <w:adjustRightInd/>
        <w:snapToGrid/>
        <w:spacing w:line="560" w:lineRule="exact"/>
        <w:ind w:left="0" w:leftChars="0" w:right="59" w:rightChars="21" w:firstLine="659" w:firstLineChars="206"/>
        <w:jc w:val="both"/>
        <w:textAlignment w:val="auto"/>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lang w:val="en-US" w:eastAsia="zh-CN"/>
        </w:rPr>
        <w:t>为积极有序推进我省增量配电业务改革，确保改革取得实效，保障海盐秦山增量配电网持续健康发展，</w:t>
      </w:r>
      <w:r>
        <w:rPr>
          <w:rFonts w:hint="default" w:ascii="Times New Roman" w:hAnsi="Times New Roman" w:eastAsia="仿宋_GB2312" w:cs="Times New Roman"/>
          <w:kern w:val="2"/>
          <w:sz w:val="32"/>
          <w:szCs w:val="32"/>
        </w:rPr>
        <w:t>根据《关于抓紧编制并上报各增量配电网“十三五”建设发展规划的通知》（浙发改办能源〔2017〕126号）</w:t>
      </w:r>
      <w:r>
        <w:rPr>
          <w:rFonts w:hint="default" w:ascii="Times New Roman" w:hAnsi="Times New Roman" w:eastAsia="仿宋_GB2312" w:cs="Times New Roman"/>
          <w:kern w:val="2"/>
          <w:sz w:val="32"/>
          <w:szCs w:val="32"/>
          <w:lang w:eastAsia="zh-CN"/>
        </w:rPr>
        <w:t>、《关于做好增量配电网建设发展规划编制工作的</w:t>
      </w:r>
      <w:r>
        <w:rPr>
          <w:rFonts w:hint="default" w:ascii="Times New Roman" w:hAnsi="Times New Roman" w:eastAsia="仿宋_GB2312" w:cs="Times New Roman"/>
          <w:kern w:val="2"/>
          <w:sz w:val="32"/>
          <w:szCs w:val="32"/>
        </w:rPr>
        <w:t>通知</w:t>
      </w:r>
      <w:r>
        <w:rPr>
          <w:rFonts w:hint="default" w:ascii="Times New Roman" w:hAnsi="Times New Roman" w:eastAsia="仿宋_GB2312" w:cs="Times New Roman"/>
          <w:kern w:val="2"/>
          <w:sz w:val="32"/>
          <w:szCs w:val="32"/>
          <w:lang w:eastAsia="zh-CN"/>
        </w:rPr>
        <w:t>》（浙发改办能源〔2019〕7</w:t>
      </w:r>
      <w:r>
        <w:rPr>
          <w:rFonts w:hint="default" w:ascii="Times New Roman" w:hAnsi="Times New Roman" w:eastAsia="仿宋_GB2312" w:cs="Times New Roman"/>
          <w:kern w:val="2"/>
          <w:sz w:val="32"/>
          <w:szCs w:val="32"/>
          <w:lang w:val="en-US" w:eastAsia="zh-CN"/>
        </w:rPr>
        <w:t>号</w:t>
      </w:r>
      <w:r>
        <w:rPr>
          <w:rFonts w:hint="default"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要求，编制</w:t>
      </w:r>
      <w:r>
        <w:rPr>
          <w:rFonts w:hint="default" w:ascii="Times New Roman" w:hAnsi="Times New Roman" w:eastAsia="仿宋_GB2312" w:cs="Times New Roman"/>
          <w:kern w:val="2"/>
          <w:sz w:val="32"/>
          <w:szCs w:val="32"/>
          <w:lang w:val="en-US" w:eastAsia="zh-CN"/>
        </w:rPr>
        <w:t>本规划</w:t>
      </w:r>
      <w:r>
        <w:rPr>
          <w:rFonts w:hint="default" w:ascii="Times New Roman" w:hAnsi="Times New Roman" w:eastAsia="仿宋_GB2312" w:cs="Times New Roman"/>
          <w:kern w:val="2"/>
          <w:sz w:val="32"/>
          <w:szCs w:val="32"/>
          <w:lang w:eastAsia="zh-CN"/>
        </w:rPr>
        <w:t>。</w:t>
      </w:r>
    </w:p>
    <w:p>
      <w:pPr>
        <w:pStyle w:val="15"/>
        <w:keepNext w:val="0"/>
        <w:keepLines w:val="0"/>
        <w:pageBreakBefore w:val="0"/>
        <w:widowControl w:val="0"/>
        <w:kinsoku/>
        <w:wordWrap/>
        <w:overflowPunct/>
        <w:topLinePunct w:val="0"/>
        <w:autoSpaceDE/>
        <w:autoSpaceDN/>
        <w:bidi w:val="0"/>
        <w:adjustRightInd/>
        <w:snapToGrid/>
        <w:spacing w:after="0" w:line="579" w:lineRule="exact"/>
        <w:ind w:left="0" w:leftChars="0" w:right="59" w:rightChars="21"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sz w:val="32"/>
          <w:szCs w:val="32"/>
        </w:rPr>
        <w:t>本规划基准年为</w:t>
      </w:r>
      <w:r>
        <w:rPr>
          <w:rFonts w:hint="default" w:ascii="Times New Roman" w:hAnsi="Times New Roman" w:eastAsia="仿宋_GB2312" w:cs="Times New Roman"/>
          <w:kern w:val="2"/>
          <w:sz w:val="32"/>
          <w:szCs w:val="32"/>
        </w:rPr>
        <w:t>201</w:t>
      </w:r>
      <w:r>
        <w:rPr>
          <w:rFonts w:hint="default" w:ascii="Times New Roman" w:hAnsi="Times New Roman" w:eastAsia="仿宋_GB2312" w:cs="Times New Roman"/>
          <w:kern w:val="2"/>
          <w:sz w:val="32"/>
          <w:szCs w:val="32"/>
          <w:lang w:val="en-US" w:eastAsia="zh-CN"/>
        </w:rPr>
        <w:t>8</w:t>
      </w:r>
      <w:r>
        <w:rPr>
          <w:rFonts w:hint="default" w:ascii="Times New Roman" w:hAnsi="Times New Roman" w:eastAsia="仿宋_GB2312" w:cs="Times New Roman"/>
          <w:kern w:val="2"/>
          <w:sz w:val="32"/>
          <w:szCs w:val="32"/>
        </w:rPr>
        <w:t>年，规划期为201</w:t>
      </w:r>
      <w:r>
        <w:rPr>
          <w:rFonts w:hint="default" w:ascii="Times New Roman" w:hAnsi="Times New Roman" w:eastAsia="仿宋_GB2312" w:cs="Times New Roman"/>
          <w:kern w:val="2"/>
          <w:sz w:val="32"/>
          <w:szCs w:val="32"/>
          <w:lang w:val="en-US" w:eastAsia="zh-CN"/>
        </w:rPr>
        <w:t>9</w:t>
      </w:r>
      <w:r>
        <w:rPr>
          <w:rFonts w:hint="default" w:ascii="Times New Roman" w:hAnsi="Times New Roman" w:eastAsia="仿宋_GB2312" w:cs="Times New Roman"/>
          <w:kern w:val="2"/>
          <w:sz w:val="32"/>
          <w:szCs w:val="32"/>
        </w:rPr>
        <w:t>-202</w:t>
      </w:r>
      <w:r>
        <w:rPr>
          <w:rFonts w:hint="default" w:ascii="Times New Roman" w:hAnsi="Times New Roman" w:eastAsia="仿宋_GB2312" w:cs="Times New Roman"/>
          <w:kern w:val="2"/>
          <w:sz w:val="32"/>
          <w:szCs w:val="32"/>
          <w:lang w:val="en-US" w:eastAsia="zh-CN"/>
        </w:rPr>
        <w:t>5</w:t>
      </w:r>
      <w:r>
        <w:rPr>
          <w:rFonts w:hint="default" w:ascii="Times New Roman" w:hAnsi="Times New Roman" w:eastAsia="仿宋_GB2312" w:cs="Times New Roman"/>
          <w:kern w:val="2"/>
          <w:sz w:val="32"/>
          <w:szCs w:val="32"/>
        </w:rPr>
        <w:t>年。</w:t>
      </w:r>
    </w:p>
    <w:p>
      <w:pPr>
        <w:pStyle w:val="15"/>
        <w:keepNext w:val="0"/>
        <w:keepLines w:val="0"/>
        <w:pageBreakBefore w:val="0"/>
        <w:widowControl w:val="0"/>
        <w:kinsoku/>
        <w:wordWrap/>
        <w:overflowPunct/>
        <w:topLinePunct w:val="0"/>
        <w:autoSpaceDE/>
        <w:autoSpaceDN/>
        <w:bidi w:val="0"/>
        <w:adjustRightInd/>
        <w:snapToGrid/>
        <w:spacing w:after="0" w:line="579" w:lineRule="exact"/>
        <w:ind w:left="0" w:leftChars="0" w:right="59" w:rightChars="21"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rPr>
        <w:t>本</w:t>
      </w:r>
      <w:r>
        <w:rPr>
          <w:rFonts w:hint="default" w:ascii="Times New Roman" w:hAnsi="Times New Roman" w:eastAsia="仿宋_GB2312" w:cs="Times New Roman"/>
          <w:kern w:val="2"/>
          <w:sz w:val="32"/>
          <w:szCs w:val="32"/>
        </w:rPr>
        <w:t>规划</w:t>
      </w:r>
      <w:r>
        <w:rPr>
          <w:rFonts w:hint="default" w:ascii="Times New Roman" w:hAnsi="Times New Roman" w:eastAsia="仿宋_GB2312" w:cs="Times New Roman"/>
          <w:kern w:val="2"/>
          <w:sz w:val="32"/>
          <w:szCs w:val="32"/>
          <w:lang w:val="en-US" w:eastAsia="zh-CN"/>
        </w:rPr>
        <w:t>的</w:t>
      </w:r>
      <w:r>
        <w:rPr>
          <w:rFonts w:hint="default" w:ascii="Times New Roman" w:hAnsi="Times New Roman" w:eastAsia="仿宋_GB2312" w:cs="Times New Roman"/>
          <w:kern w:val="2"/>
          <w:sz w:val="32"/>
          <w:szCs w:val="32"/>
        </w:rPr>
        <w:t>编制依据</w:t>
      </w:r>
      <w:r>
        <w:rPr>
          <w:rFonts w:hint="default" w:ascii="Times New Roman" w:hAnsi="Times New Roman" w:eastAsia="仿宋_GB2312" w:cs="Times New Roman"/>
          <w:kern w:val="2"/>
          <w:sz w:val="32"/>
          <w:szCs w:val="32"/>
          <w:lang w:val="en-US" w:eastAsia="zh-CN"/>
        </w:rPr>
        <w:t>主要包括：</w:t>
      </w:r>
    </w:p>
    <w:p>
      <w:pPr>
        <w:pStyle w:val="15"/>
        <w:keepNext w:val="0"/>
        <w:keepLines w:val="0"/>
        <w:pageBreakBefore w:val="0"/>
        <w:widowControl w:val="0"/>
        <w:kinsoku/>
        <w:wordWrap/>
        <w:overflowPunct/>
        <w:topLinePunct w:val="0"/>
        <w:autoSpaceDE/>
        <w:autoSpaceDN/>
        <w:bidi w:val="0"/>
        <w:adjustRightInd/>
        <w:snapToGrid/>
        <w:spacing w:after="0" w:line="579" w:lineRule="exact"/>
        <w:ind w:left="0" w:leftChars="0" w:right="59" w:rightChars="21" w:firstLine="880" w:firstLineChars="275"/>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1．政策性指导文件</w:t>
      </w:r>
    </w:p>
    <w:p>
      <w:pPr>
        <w:pStyle w:val="15"/>
        <w:keepNext w:val="0"/>
        <w:keepLines w:val="0"/>
        <w:pageBreakBefore w:val="0"/>
        <w:widowControl w:val="0"/>
        <w:kinsoku/>
        <w:wordWrap/>
        <w:overflowPunct/>
        <w:topLinePunct w:val="0"/>
        <w:autoSpaceDE/>
        <w:autoSpaceDN/>
        <w:bidi w:val="0"/>
        <w:adjustRightInd/>
        <w:snapToGrid/>
        <w:spacing w:after="0" w:line="579" w:lineRule="exact"/>
        <w:ind w:left="0" w:leftChars="0" w:right="59" w:rightChars="21"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（1）《关于进一步深化电力体制改革的若干意见》（中发〔2015〕9号）；</w:t>
      </w:r>
    </w:p>
    <w:p>
      <w:pPr>
        <w:pStyle w:val="15"/>
        <w:keepNext w:val="0"/>
        <w:keepLines w:val="0"/>
        <w:pageBreakBefore w:val="0"/>
        <w:widowControl w:val="0"/>
        <w:kinsoku/>
        <w:wordWrap/>
        <w:overflowPunct/>
        <w:topLinePunct w:val="0"/>
        <w:autoSpaceDE/>
        <w:autoSpaceDN/>
        <w:bidi w:val="0"/>
        <w:adjustRightInd/>
        <w:snapToGrid/>
        <w:spacing w:after="0" w:line="579" w:lineRule="exact"/>
        <w:ind w:left="0" w:leftChars="0" w:right="59" w:rightChars="21"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（2）《国家发展改革委关于加快配电网建设改造的指导意见》（发改能源〔2015〕1899号）；</w:t>
      </w:r>
    </w:p>
    <w:p>
      <w:pPr>
        <w:pStyle w:val="15"/>
        <w:keepNext w:val="0"/>
        <w:keepLines w:val="0"/>
        <w:pageBreakBefore w:val="0"/>
        <w:widowControl w:val="0"/>
        <w:kinsoku/>
        <w:wordWrap/>
        <w:overflowPunct/>
        <w:topLinePunct w:val="0"/>
        <w:autoSpaceDE/>
        <w:autoSpaceDN/>
        <w:bidi w:val="0"/>
        <w:adjustRightInd/>
        <w:snapToGrid/>
        <w:spacing w:after="0" w:line="579" w:lineRule="exact"/>
        <w:ind w:left="0" w:leftChars="0" w:right="59" w:rightChars="21"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（3）《国家能源局关于印发配电网建设改造行动计划（2015-2020年）的通知》（国能电力〔2015〕290号）；</w:t>
      </w:r>
    </w:p>
    <w:p>
      <w:pPr>
        <w:pStyle w:val="15"/>
        <w:keepNext w:val="0"/>
        <w:keepLines w:val="0"/>
        <w:pageBreakBefore w:val="0"/>
        <w:widowControl w:val="0"/>
        <w:kinsoku/>
        <w:wordWrap/>
        <w:overflowPunct/>
        <w:topLinePunct w:val="0"/>
        <w:autoSpaceDE/>
        <w:autoSpaceDN/>
        <w:bidi w:val="0"/>
        <w:adjustRightInd/>
        <w:snapToGrid/>
        <w:spacing w:after="0" w:line="579" w:lineRule="exact"/>
        <w:ind w:left="0" w:leftChars="0" w:right="59" w:rightChars="21"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（4）《有序开放配电网业务管理办法》（发改经体〔2016〕2120号）；</w:t>
      </w:r>
    </w:p>
    <w:p>
      <w:pPr>
        <w:pStyle w:val="15"/>
        <w:keepNext w:val="0"/>
        <w:keepLines w:val="0"/>
        <w:pageBreakBefore w:val="0"/>
        <w:widowControl w:val="0"/>
        <w:kinsoku/>
        <w:wordWrap/>
        <w:overflowPunct/>
        <w:topLinePunct w:val="0"/>
        <w:autoSpaceDE/>
        <w:autoSpaceDN/>
        <w:bidi w:val="0"/>
        <w:adjustRightInd/>
        <w:snapToGrid/>
        <w:spacing w:after="0" w:line="579" w:lineRule="exact"/>
        <w:ind w:left="0" w:leftChars="0" w:right="59" w:rightChars="21"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（5）《关于规范开展第三批增量配电业务改革试点的补充通知》（发改经体〔201</w:t>
      </w:r>
      <w:r>
        <w:rPr>
          <w:rFonts w:hint="default" w:ascii="Times New Roman" w:hAnsi="Times New Roman" w:eastAsia="仿宋_GB2312" w:cs="Times New Roman"/>
          <w:kern w:val="2"/>
          <w:sz w:val="32"/>
          <w:szCs w:val="32"/>
          <w:lang w:val="en-US" w:eastAsia="zh-CN"/>
        </w:rPr>
        <w:t>8</w:t>
      </w:r>
      <w:r>
        <w:rPr>
          <w:rFonts w:hint="default" w:ascii="Times New Roman" w:hAnsi="Times New Roman" w:eastAsia="仿宋_GB2312" w:cs="Times New Roman"/>
          <w:kern w:val="2"/>
          <w:sz w:val="32"/>
          <w:szCs w:val="32"/>
        </w:rPr>
        <w:t>〕956号）；</w:t>
      </w:r>
    </w:p>
    <w:p>
      <w:pPr>
        <w:pStyle w:val="15"/>
        <w:keepNext w:val="0"/>
        <w:keepLines w:val="0"/>
        <w:pageBreakBefore w:val="0"/>
        <w:widowControl w:val="0"/>
        <w:kinsoku/>
        <w:wordWrap/>
        <w:overflowPunct/>
        <w:topLinePunct w:val="0"/>
        <w:autoSpaceDE/>
        <w:autoSpaceDN/>
        <w:bidi w:val="0"/>
        <w:adjustRightInd/>
        <w:snapToGrid/>
        <w:spacing w:after="0" w:line="579" w:lineRule="exact"/>
        <w:ind w:left="0" w:leftChars="0" w:right="59" w:rightChars="21"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（6）《关于抓紧编制并上报各增量配电网“十三五”建设发展规划的通知》（浙发改办能源〔2017〕126号）；</w:t>
      </w:r>
    </w:p>
    <w:p>
      <w:pPr>
        <w:pStyle w:val="15"/>
        <w:keepNext w:val="0"/>
        <w:keepLines w:val="0"/>
        <w:pageBreakBefore w:val="0"/>
        <w:widowControl w:val="0"/>
        <w:kinsoku/>
        <w:wordWrap/>
        <w:overflowPunct/>
        <w:topLinePunct w:val="0"/>
        <w:autoSpaceDE/>
        <w:autoSpaceDN/>
        <w:bidi w:val="0"/>
        <w:adjustRightInd/>
        <w:snapToGrid/>
        <w:spacing w:after="0" w:line="579" w:lineRule="exact"/>
        <w:ind w:left="0" w:leftChars="0" w:right="59" w:rightChars="21" w:firstLine="659" w:firstLineChars="206"/>
        <w:jc w:val="both"/>
        <w:textAlignment w:val="auto"/>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rPr>
        <w:t>（7）《关于做好增量配电网建设发展规划编制工作的通知》（浙发改办能源〔2019〕7号）</w:t>
      </w:r>
      <w:r>
        <w:rPr>
          <w:rFonts w:hint="default" w:ascii="Times New Roman" w:hAnsi="Times New Roman" w:eastAsia="仿宋_GB2312" w:cs="Times New Roman"/>
          <w:kern w:val="2"/>
          <w:sz w:val="32"/>
          <w:szCs w:val="32"/>
          <w:lang w:eastAsia="zh-CN"/>
        </w:rPr>
        <w:t>；</w:t>
      </w:r>
    </w:p>
    <w:p>
      <w:pPr>
        <w:pStyle w:val="15"/>
        <w:keepNext w:val="0"/>
        <w:keepLines w:val="0"/>
        <w:pageBreakBefore w:val="0"/>
        <w:widowControl w:val="0"/>
        <w:kinsoku/>
        <w:wordWrap/>
        <w:overflowPunct/>
        <w:topLinePunct w:val="0"/>
        <w:autoSpaceDE/>
        <w:autoSpaceDN/>
        <w:bidi w:val="0"/>
        <w:adjustRightInd/>
        <w:snapToGrid/>
        <w:spacing w:after="0" w:line="579" w:lineRule="exact"/>
        <w:ind w:left="0" w:leftChars="0" w:right="59" w:rightChars="21" w:firstLine="659" w:firstLineChars="206"/>
        <w:jc w:val="both"/>
        <w:textAlignment w:val="auto"/>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lang w:val="en-US" w:eastAsia="zh-CN"/>
        </w:rPr>
        <w:t>8</w:t>
      </w:r>
      <w:r>
        <w:rPr>
          <w:rFonts w:hint="default" w:ascii="Times New Roman" w:hAnsi="Times New Roman" w:eastAsia="仿宋_GB2312" w:cs="Times New Roman"/>
          <w:kern w:val="2"/>
          <w:sz w:val="32"/>
          <w:szCs w:val="32"/>
          <w:lang w:eastAsia="zh-CN"/>
        </w:rPr>
        <w:t>）《关于做好增量配电网建设发展规划编制工作的</w:t>
      </w:r>
      <w:r>
        <w:rPr>
          <w:rFonts w:hint="default" w:ascii="Times New Roman" w:hAnsi="Times New Roman" w:eastAsia="仿宋_GB2312" w:cs="Times New Roman"/>
          <w:kern w:val="2"/>
          <w:sz w:val="32"/>
          <w:szCs w:val="32"/>
        </w:rPr>
        <w:t>通知</w:t>
      </w:r>
      <w:r>
        <w:rPr>
          <w:rFonts w:hint="default" w:ascii="Times New Roman" w:hAnsi="Times New Roman" w:eastAsia="仿宋_GB2312" w:cs="Times New Roman"/>
          <w:kern w:val="2"/>
          <w:sz w:val="32"/>
          <w:szCs w:val="32"/>
          <w:lang w:eastAsia="zh-CN"/>
        </w:rPr>
        <w:t>》（浙发改办能源〔2019〕7</w:t>
      </w:r>
      <w:r>
        <w:rPr>
          <w:rFonts w:hint="default" w:ascii="Times New Roman" w:hAnsi="Times New Roman" w:eastAsia="仿宋_GB2312" w:cs="Times New Roman"/>
          <w:kern w:val="2"/>
          <w:sz w:val="32"/>
          <w:szCs w:val="32"/>
          <w:lang w:val="en-US" w:eastAsia="zh-CN"/>
        </w:rPr>
        <w:t>号</w:t>
      </w:r>
      <w:r>
        <w:rPr>
          <w:rFonts w:hint="default" w:ascii="Times New Roman" w:hAnsi="Times New Roman" w:eastAsia="仿宋_GB2312" w:cs="Times New Roman"/>
          <w:kern w:val="2"/>
          <w:sz w:val="32"/>
          <w:szCs w:val="32"/>
          <w:lang w:eastAsia="zh-CN"/>
        </w:rPr>
        <w:t>）</w:t>
      </w:r>
      <w:r>
        <w:rPr>
          <w:rFonts w:hint="default" w:ascii="Times New Roman" w:hAnsi="Times New Roman" w:cs="Times New Roman"/>
          <w:kern w:val="2"/>
          <w:sz w:val="32"/>
          <w:szCs w:val="32"/>
          <w:lang w:eastAsia="zh-CN"/>
        </w:rPr>
        <w:t>；</w:t>
      </w:r>
    </w:p>
    <w:p>
      <w:pPr>
        <w:pStyle w:val="15"/>
        <w:keepNext w:val="0"/>
        <w:keepLines w:val="0"/>
        <w:pageBreakBefore w:val="0"/>
        <w:widowControl w:val="0"/>
        <w:kinsoku/>
        <w:wordWrap/>
        <w:overflowPunct/>
        <w:topLinePunct w:val="0"/>
        <w:autoSpaceDE/>
        <w:autoSpaceDN/>
        <w:bidi w:val="0"/>
        <w:adjustRightInd/>
        <w:snapToGrid/>
        <w:spacing w:after="0" w:line="579" w:lineRule="exact"/>
        <w:ind w:left="0" w:leftChars="0" w:right="59" w:rightChars="21" w:firstLine="659" w:firstLineChars="206"/>
        <w:jc w:val="both"/>
        <w:textAlignment w:val="auto"/>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lang w:val="en-US" w:eastAsia="zh-CN"/>
        </w:rPr>
        <w:t>9</w:t>
      </w:r>
      <w:r>
        <w:rPr>
          <w:rFonts w:hint="default" w:ascii="Times New Roman" w:hAnsi="Times New Roman" w:eastAsia="仿宋_GB2312" w:cs="Times New Roman"/>
          <w:kern w:val="2"/>
          <w:sz w:val="32"/>
          <w:szCs w:val="32"/>
          <w:lang w:eastAsia="zh-CN"/>
        </w:rPr>
        <w:t>）《关于进一步做好我省增量配电业务改革试点工作的</w:t>
      </w:r>
      <w:r>
        <w:rPr>
          <w:rFonts w:hint="default" w:ascii="Times New Roman" w:hAnsi="Times New Roman" w:eastAsia="仿宋_GB2312" w:cs="Times New Roman"/>
          <w:kern w:val="2"/>
          <w:sz w:val="32"/>
          <w:szCs w:val="32"/>
        </w:rPr>
        <w:t>通知</w:t>
      </w:r>
      <w:r>
        <w:rPr>
          <w:rFonts w:hint="default" w:ascii="Times New Roman" w:hAnsi="Times New Roman" w:eastAsia="仿宋_GB2312" w:cs="Times New Roman"/>
          <w:kern w:val="2"/>
          <w:sz w:val="32"/>
          <w:szCs w:val="32"/>
          <w:lang w:eastAsia="zh-CN"/>
        </w:rPr>
        <w:t>》（浙发改能源〔2018〕645</w:t>
      </w:r>
      <w:r>
        <w:rPr>
          <w:rFonts w:hint="default" w:ascii="Times New Roman" w:hAnsi="Times New Roman" w:eastAsia="仿宋_GB2312" w:cs="Times New Roman"/>
          <w:kern w:val="2"/>
          <w:sz w:val="32"/>
          <w:szCs w:val="32"/>
          <w:lang w:val="en-US" w:eastAsia="zh-CN"/>
        </w:rPr>
        <w:t>号</w:t>
      </w:r>
      <w:r>
        <w:rPr>
          <w:rFonts w:hint="default" w:ascii="Times New Roman" w:hAnsi="Times New Roman" w:eastAsia="仿宋_GB2312" w:cs="Times New Roman"/>
          <w:kern w:val="2"/>
          <w:sz w:val="32"/>
          <w:szCs w:val="32"/>
          <w:lang w:eastAsia="zh-CN"/>
        </w:rPr>
        <w:t>）；</w:t>
      </w:r>
    </w:p>
    <w:p>
      <w:pPr>
        <w:pStyle w:val="15"/>
        <w:keepNext w:val="0"/>
        <w:keepLines w:val="0"/>
        <w:pageBreakBefore w:val="0"/>
        <w:widowControl w:val="0"/>
        <w:kinsoku/>
        <w:wordWrap/>
        <w:overflowPunct/>
        <w:topLinePunct w:val="0"/>
        <w:autoSpaceDE/>
        <w:autoSpaceDN/>
        <w:bidi w:val="0"/>
        <w:adjustRightInd/>
        <w:snapToGrid/>
        <w:spacing w:after="0" w:line="579" w:lineRule="exact"/>
        <w:ind w:left="0" w:leftChars="0" w:right="59" w:rightChars="21" w:firstLine="659" w:firstLineChars="206"/>
        <w:jc w:val="both"/>
        <w:textAlignment w:val="auto"/>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lang w:val="en-US" w:eastAsia="zh-CN"/>
        </w:rPr>
        <w:t>10</w:t>
      </w:r>
      <w:r>
        <w:rPr>
          <w:rFonts w:hint="default" w:ascii="Times New Roman" w:hAnsi="Times New Roman" w:eastAsia="仿宋_GB2312" w:cs="Times New Roman"/>
          <w:kern w:val="2"/>
          <w:sz w:val="32"/>
          <w:szCs w:val="32"/>
          <w:lang w:eastAsia="zh-CN"/>
        </w:rPr>
        <w:t>）《关于进一步推进增量配电业务改革的通知》（发改经体〔201</w:t>
      </w:r>
      <w:r>
        <w:rPr>
          <w:rFonts w:hint="default" w:ascii="Times New Roman" w:hAnsi="Times New Roman" w:eastAsia="仿宋_GB2312" w:cs="Times New Roman"/>
          <w:kern w:val="2"/>
          <w:sz w:val="32"/>
          <w:szCs w:val="32"/>
          <w:lang w:val="en-US" w:eastAsia="zh-CN"/>
        </w:rPr>
        <w:t>9</w:t>
      </w:r>
      <w:r>
        <w:rPr>
          <w:rFonts w:hint="default" w:ascii="Times New Roman" w:hAnsi="Times New Roman" w:eastAsia="仿宋_GB2312" w:cs="Times New Roman"/>
          <w:kern w:val="2"/>
          <w:sz w:val="32"/>
          <w:szCs w:val="32"/>
          <w:lang w:eastAsia="zh-CN"/>
        </w:rPr>
        <w:t>〕2</w:t>
      </w:r>
      <w:r>
        <w:rPr>
          <w:rFonts w:hint="default" w:ascii="Times New Roman" w:hAnsi="Times New Roman" w:eastAsia="仿宋_GB2312" w:cs="Times New Roman"/>
          <w:kern w:val="2"/>
          <w:sz w:val="32"/>
          <w:szCs w:val="32"/>
          <w:lang w:val="en-US" w:eastAsia="zh-CN"/>
        </w:rPr>
        <w:t>7</w:t>
      </w:r>
      <w:r>
        <w:rPr>
          <w:rFonts w:hint="default" w:ascii="Times New Roman" w:hAnsi="Times New Roman" w:eastAsia="仿宋_GB2312" w:cs="Times New Roman"/>
          <w:kern w:val="2"/>
          <w:sz w:val="32"/>
          <w:szCs w:val="32"/>
          <w:lang w:eastAsia="zh-CN"/>
        </w:rPr>
        <w:t>号）。</w:t>
      </w:r>
    </w:p>
    <w:p>
      <w:pPr>
        <w:pStyle w:val="15"/>
        <w:keepNext w:val="0"/>
        <w:keepLines w:val="0"/>
        <w:pageBreakBefore w:val="0"/>
        <w:widowControl w:val="0"/>
        <w:kinsoku/>
        <w:wordWrap/>
        <w:overflowPunct/>
        <w:topLinePunct w:val="0"/>
        <w:autoSpaceDE/>
        <w:autoSpaceDN/>
        <w:bidi w:val="0"/>
        <w:adjustRightInd/>
        <w:snapToGrid/>
        <w:spacing w:after="0" w:line="579" w:lineRule="exact"/>
        <w:ind w:left="0" w:leftChars="0" w:right="59" w:rightChars="21" w:firstLine="659" w:firstLineChars="206"/>
        <w:jc w:val="both"/>
        <w:textAlignment w:val="auto"/>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lang w:eastAsia="zh-CN"/>
        </w:rPr>
        <w:t>2．城乡总体规划、国民经济和社会发展规划</w:t>
      </w:r>
    </w:p>
    <w:p>
      <w:pPr>
        <w:pStyle w:val="15"/>
        <w:keepNext w:val="0"/>
        <w:keepLines w:val="0"/>
        <w:pageBreakBefore w:val="0"/>
        <w:widowControl w:val="0"/>
        <w:kinsoku/>
        <w:wordWrap/>
        <w:overflowPunct/>
        <w:topLinePunct w:val="0"/>
        <w:autoSpaceDE/>
        <w:autoSpaceDN/>
        <w:bidi w:val="0"/>
        <w:adjustRightInd/>
        <w:snapToGrid/>
        <w:spacing w:after="0" w:line="579" w:lineRule="exact"/>
        <w:ind w:left="0" w:leftChars="0" w:right="59" w:rightChars="21" w:firstLine="659" w:firstLineChars="206"/>
        <w:jc w:val="both"/>
        <w:textAlignment w:val="auto"/>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lang w:eastAsia="zh-CN"/>
        </w:rPr>
        <w:t>（1）</w:t>
      </w:r>
      <w:r>
        <w:rPr>
          <w:rFonts w:hint="eastAsia" w:eastAsia="仿宋_GB2312" w:cs="Times New Roman"/>
          <w:kern w:val="2"/>
          <w:sz w:val="32"/>
          <w:szCs w:val="32"/>
          <w:lang w:eastAsia="zh-CN"/>
        </w:rPr>
        <w:t>《</w:t>
      </w:r>
      <w:r>
        <w:rPr>
          <w:rFonts w:hint="eastAsia" w:eastAsia="仿宋_GB2312" w:cs="Times New Roman"/>
          <w:kern w:val="2"/>
          <w:sz w:val="32"/>
          <w:szCs w:val="32"/>
          <w:lang w:val="en-US" w:eastAsia="zh-CN"/>
        </w:rPr>
        <w:t>海盐县国民经济和社会发展第十三个五年规划纲要</w:t>
      </w:r>
      <w:r>
        <w:rPr>
          <w:rFonts w:hint="eastAsia" w:eastAsia="仿宋_GB2312" w:cs="Times New Roman"/>
          <w:kern w:val="2"/>
          <w:sz w:val="32"/>
          <w:szCs w:val="32"/>
          <w:lang w:eastAsia="zh-CN"/>
        </w:rPr>
        <w:t>》</w:t>
      </w:r>
    </w:p>
    <w:p>
      <w:pPr>
        <w:pStyle w:val="15"/>
        <w:keepNext w:val="0"/>
        <w:keepLines w:val="0"/>
        <w:pageBreakBefore w:val="0"/>
        <w:widowControl w:val="0"/>
        <w:kinsoku/>
        <w:wordWrap/>
        <w:overflowPunct/>
        <w:topLinePunct w:val="0"/>
        <w:autoSpaceDE/>
        <w:autoSpaceDN/>
        <w:bidi w:val="0"/>
        <w:adjustRightInd/>
        <w:snapToGrid/>
        <w:spacing w:after="0" w:line="579" w:lineRule="exact"/>
        <w:ind w:left="0" w:leftChars="0" w:right="59" w:rightChars="21" w:firstLine="659" w:firstLineChars="206"/>
        <w:jc w:val="both"/>
        <w:textAlignment w:val="auto"/>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lang w:eastAsia="zh-CN"/>
        </w:rPr>
        <w:t>（2）《嘉兴市海盐县秦山镇总体规划》（2016</w:t>
      </w:r>
      <w:r>
        <w:rPr>
          <w:rFonts w:hint="default" w:ascii="Times New Roman" w:hAnsi="Times New Roman" w:eastAsia="仿宋_GB2312" w:cs="Times New Roman"/>
          <w:kern w:val="2"/>
          <w:sz w:val="32"/>
          <w:szCs w:val="32"/>
        </w:rPr>
        <w:t>-</w:t>
      </w:r>
      <w:r>
        <w:rPr>
          <w:rFonts w:hint="default" w:ascii="Times New Roman" w:hAnsi="Times New Roman" w:eastAsia="仿宋_GB2312" w:cs="Times New Roman"/>
          <w:kern w:val="2"/>
          <w:sz w:val="32"/>
          <w:szCs w:val="32"/>
          <w:lang w:eastAsia="zh-CN"/>
        </w:rPr>
        <w:t>2030）；</w:t>
      </w:r>
    </w:p>
    <w:p>
      <w:pPr>
        <w:pStyle w:val="15"/>
        <w:keepNext w:val="0"/>
        <w:keepLines w:val="0"/>
        <w:pageBreakBefore w:val="0"/>
        <w:widowControl w:val="0"/>
        <w:kinsoku/>
        <w:wordWrap/>
        <w:overflowPunct/>
        <w:topLinePunct w:val="0"/>
        <w:autoSpaceDE/>
        <w:autoSpaceDN/>
        <w:bidi w:val="0"/>
        <w:adjustRightInd/>
        <w:snapToGrid/>
        <w:spacing w:after="0" w:line="579" w:lineRule="exact"/>
        <w:ind w:left="0" w:leftChars="0" w:right="59" w:rightChars="21" w:firstLine="659" w:firstLineChars="206"/>
        <w:jc w:val="both"/>
        <w:textAlignment w:val="auto"/>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lang w:eastAsia="zh-CN"/>
        </w:rPr>
        <w:t>（3）《海盐县秦山镇工业功能区控制性详细规划》；</w:t>
      </w:r>
    </w:p>
    <w:p>
      <w:pPr>
        <w:pStyle w:val="15"/>
        <w:keepNext w:val="0"/>
        <w:keepLines w:val="0"/>
        <w:pageBreakBefore w:val="0"/>
        <w:widowControl w:val="0"/>
        <w:kinsoku/>
        <w:wordWrap/>
        <w:overflowPunct/>
        <w:topLinePunct w:val="0"/>
        <w:autoSpaceDE/>
        <w:autoSpaceDN/>
        <w:bidi w:val="0"/>
        <w:adjustRightInd/>
        <w:snapToGrid/>
        <w:spacing w:after="0" w:line="579" w:lineRule="exact"/>
        <w:ind w:left="0" w:leftChars="0" w:right="59" w:rightChars="21" w:firstLine="659" w:firstLineChars="206"/>
        <w:jc w:val="both"/>
        <w:textAlignment w:val="auto"/>
        <w:rPr>
          <w:rFonts w:hint="default" w:ascii="Times New Roman" w:hAnsi="Times New Roman" w:eastAsia="仿宋_GB2312" w:cs="Times New Roman"/>
          <w:kern w:val="2"/>
          <w:sz w:val="32"/>
          <w:szCs w:val="32"/>
          <w:lang w:eastAsia="zh-CN"/>
        </w:rPr>
      </w:pPr>
      <w:r>
        <w:rPr>
          <w:rFonts w:hint="eastAsia" w:eastAsia="仿宋_GB2312" w:cs="Times New Roman"/>
          <w:kern w:val="2"/>
          <w:sz w:val="32"/>
          <w:szCs w:val="32"/>
          <w:lang w:eastAsia="zh-CN"/>
        </w:rPr>
        <w:t>（</w:t>
      </w:r>
      <w:r>
        <w:rPr>
          <w:rFonts w:hint="eastAsia" w:eastAsia="仿宋_GB2312" w:cs="Times New Roman"/>
          <w:kern w:val="2"/>
          <w:sz w:val="32"/>
          <w:szCs w:val="32"/>
          <w:lang w:val="en-US" w:eastAsia="zh-CN"/>
        </w:rPr>
        <w:t>4</w:t>
      </w:r>
      <w:r>
        <w:rPr>
          <w:rFonts w:hint="eastAsia" w:eastAsia="仿宋_GB2312" w:cs="Times New Roman"/>
          <w:kern w:val="2"/>
          <w:sz w:val="32"/>
          <w:szCs w:val="32"/>
          <w:lang w:eastAsia="zh-CN"/>
        </w:rPr>
        <w:t>）</w:t>
      </w:r>
      <w:r>
        <w:rPr>
          <w:rFonts w:hint="default" w:ascii="Times New Roman" w:hAnsi="Times New Roman" w:eastAsia="仿宋_GB2312" w:cs="Times New Roman"/>
          <w:kern w:val="2"/>
          <w:sz w:val="32"/>
          <w:szCs w:val="32"/>
          <w:lang w:eastAsia="zh-CN"/>
        </w:rPr>
        <w:t>《海盐县秦山镇规划完善城乡一体化新社区“1+X”布点规划》（2013</w:t>
      </w:r>
      <w:r>
        <w:rPr>
          <w:rFonts w:hint="default" w:ascii="Times New Roman" w:hAnsi="Times New Roman" w:eastAsia="仿宋_GB2312" w:cs="Times New Roman"/>
          <w:kern w:val="2"/>
          <w:sz w:val="32"/>
          <w:szCs w:val="32"/>
        </w:rPr>
        <w:t>-</w:t>
      </w:r>
      <w:r>
        <w:rPr>
          <w:rFonts w:hint="default" w:ascii="Times New Roman" w:hAnsi="Times New Roman" w:eastAsia="仿宋_GB2312" w:cs="Times New Roman"/>
          <w:kern w:val="2"/>
          <w:sz w:val="32"/>
          <w:szCs w:val="32"/>
          <w:lang w:eastAsia="zh-CN"/>
        </w:rPr>
        <w:t>2020）；</w:t>
      </w:r>
    </w:p>
    <w:p>
      <w:pPr>
        <w:pStyle w:val="15"/>
        <w:keepNext w:val="0"/>
        <w:keepLines w:val="0"/>
        <w:pageBreakBefore w:val="0"/>
        <w:widowControl w:val="0"/>
        <w:kinsoku/>
        <w:wordWrap/>
        <w:overflowPunct/>
        <w:topLinePunct w:val="0"/>
        <w:autoSpaceDE/>
        <w:autoSpaceDN/>
        <w:bidi w:val="0"/>
        <w:adjustRightInd/>
        <w:snapToGrid/>
        <w:spacing w:after="0" w:line="579" w:lineRule="exact"/>
        <w:ind w:left="0" w:leftChars="0" w:right="59" w:rightChars="21" w:firstLine="659" w:firstLineChars="206"/>
        <w:jc w:val="both"/>
        <w:textAlignment w:val="auto"/>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lang w:eastAsia="zh-CN"/>
        </w:rPr>
        <w:t>3．电网规划、设计和运行应遵循的有关规程、规范和规定</w:t>
      </w:r>
    </w:p>
    <w:p>
      <w:pPr>
        <w:pStyle w:val="15"/>
        <w:keepNext w:val="0"/>
        <w:keepLines w:val="0"/>
        <w:pageBreakBefore w:val="0"/>
        <w:widowControl w:val="0"/>
        <w:kinsoku/>
        <w:wordWrap/>
        <w:overflowPunct/>
        <w:topLinePunct w:val="0"/>
        <w:autoSpaceDE/>
        <w:autoSpaceDN/>
        <w:bidi w:val="0"/>
        <w:adjustRightInd/>
        <w:snapToGrid/>
        <w:spacing w:after="0" w:line="579" w:lineRule="exact"/>
        <w:ind w:left="0" w:leftChars="0" w:right="59" w:rightChars="21" w:firstLine="659" w:firstLineChars="206"/>
        <w:jc w:val="both"/>
        <w:textAlignment w:val="auto"/>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lang w:eastAsia="zh-CN"/>
        </w:rPr>
        <w:t>（1）《中华人民共和国电力法》；</w:t>
      </w:r>
    </w:p>
    <w:p>
      <w:pPr>
        <w:pStyle w:val="15"/>
        <w:keepNext w:val="0"/>
        <w:keepLines w:val="0"/>
        <w:pageBreakBefore w:val="0"/>
        <w:widowControl w:val="0"/>
        <w:kinsoku/>
        <w:wordWrap/>
        <w:overflowPunct/>
        <w:topLinePunct w:val="0"/>
        <w:autoSpaceDE/>
        <w:autoSpaceDN/>
        <w:bidi w:val="0"/>
        <w:adjustRightInd/>
        <w:snapToGrid/>
        <w:spacing w:after="0" w:line="579" w:lineRule="exact"/>
        <w:ind w:left="0" w:leftChars="0" w:right="59" w:rightChars="21"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 xml:space="preserve">（2）《供配电系统设计规范》（GB </w:t>
      </w:r>
      <w:r>
        <w:rPr>
          <w:rFonts w:hint="eastAsia" w:eastAsia="仿宋_GB2312" w:cs="Times New Roman"/>
          <w:kern w:val="2"/>
          <w:sz w:val="32"/>
          <w:szCs w:val="32"/>
          <w:lang w:val="en-US" w:eastAsia="zh-CN"/>
        </w:rPr>
        <w:t xml:space="preserve"> </w:t>
      </w:r>
      <w:r>
        <w:rPr>
          <w:rFonts w:hint="default" w:ascii="Times New Roman" w:hAnsi="Times New Roman" w:eastAsia="仿宋_GB2312" w:cs="Times New Roman"/>
          <w:kern w:val="2"/>
          <w:sz w:val="32"/>
          <w:szCs w:val="32"/>
        </w:rPr>
        <w:t>50052-2009）；</w:t>
      </w:r>
    </w:p>
    <w:p>
      <w:pPr>
        <w:pStyle w:val="15"/>
        <w:keepNext w:val="0"/>
        <w:keepLines w:val="0"/>
        <w:pageBreakBefore w:val="0"/>
        <w:widowControl w:val="0"/>
        <w:kinsoku/>
        <w:wordWrap/>
        <w:overflowPunct/>
        <w:topLinePunct w:val="0"/>
        <w:autoSpaceDE/>
        <w:autoSpaceDN/>
        <w:bidi w:val="0"/>
        <w:adjustRightInd/>
        <w:snapToGrid/>
        <w:spacing w:after="0" w:line="579" w:lineRule="exact"/>
        <w:ind w:left="0" w:leftChars="0" w:right="59" w:rightChars="21"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 xml:space="preserve">（3）《城市电力规划规范》（GB/T </w:t>
      </w:r>
      <w:r>
        <w:rPr>
          <w:rFonts w:hint="eastAsia" w:eastAsia="仿宋_GB2312" w:cs="Times New Roman"/>
          <w:kern w:val="2"/>
          <w:sz w:val="32"/>
          <w:szCs w:val="32"/>
          <w:lang w:val="en-US" w:eastAsia="zh-CN"/>
        </w:rPr>
        <w:t xml:space="preserve"> </w:t>
      </w:r>
      <w:r>
        <w:rPr>
          <w:rFonts w:hint="default" w:ascii="Times New Roman" w:hAnsi="Times New Roman" w:eastAsia="仿宋_GB2312" w:cs="Times New Roman"/>
          <w:kern w:val="2"/>
          <w:sz w:val="32"/>
          <w:szCs w:val="32"/>
        </w:rPr>
        <w:t>50293-2014）；</w:t>
      </w:r>
    </w:p>
    <w:p>
      <w:pPr>
        <w:pStyle w:val="15"/>
        <w:keepNext w:val="0"/>
        <w:keepLines w:val="0"/>
        <w:pageBreakBefore w:val="0"/>
        <w:widowControl w:val="0"/>
        <w:kinsoku/>
        <w:wordWrap/>
        <w:overflowPunct/>
        <w:topLinePunct w:val="0"/>
        <w:autoSpaceDE/>
        <w:autoSpaceDN/>
        <w:bidi w:val="0"/>
        <w:adjustRightInd/>
        <w:snapToGrid/>
        <w:spacing w:after="0" w:line="579" w:lineRule="exact"/>
        <w:ind w:left="0" w:leftChars="0" w:right="59" w:rightChars="21"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（4）《配电网规划设计技术导则》（DL/T  5729-2016）；</w:t>
      </w:r>
    </w:p>
    <w:p>
      <w:pPr>
        <w:pStyle w:val="15"/>
        <w:keepNext w:val="0"/>
        <w:keepLines w:val="0"/>
        <w:pageBreakBefore w:val="0"/>
        <w:widowControl w:val="0"/>
        <w:kinsoku/>
        <w:wordWrap/>
        <w:overflowPunct/>
        <w:topLinePunct w:val="0"/>
        <w:autoSpaceDE/>
        <w:autoSpaceDN/>
        <w:bidi w:val="0"/>
        <w:adjustRightInd/>
        <w:snapToGrid/>
        <w:spacing w:after="0" w:line="579" w:lineRule="exact"/>
        <w:ind w:left="0" w:leftChars="0" w:right="59" w:rightChars="21"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（5）《中低压配电网改造技术原则》（DL/T  599-2016）；</w:t>
      </w:r>
    </w:p>
    <w:p>
      <w:pPr>
        <w:pStyle w:val="15"/>
        <w:keepNext w:val="0"/>
        <w:keepLines w:val="0"/>
        <w:pageBreakBefore w:val="0"/>
        <w:widowControl w:val="0"/>
        <w:kinsoku/>
        <w:wordWrap/>
        <w:overflowPunct/>
        <w:topLinePunct w:val="0"/>
        <w:autoSpaceDE/>
        <w:autoSpaceDN/>
        <w:bidi w:val="0"/>
        <w:adjustRightInd/>
        <w:snapToGrid/>
        <w:spacing w:after="0" w:line="579" w:lineRule="exact"/>
        <w:ind w:left="0" w:leftChars="0" w:right="59" w:rightChars="21"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（6）《电能质量 公用电网谐波》（GB/T 14549-1993）；</w:t>
      </w:r>
    </w:p>
    <w:p>
      <w:pPr>
        <w:pStyle w:val="15"/>
        <w:keepNext w:val="0"/>
        <w:keepLines w:val="0"/>
        <w:pageBreakBefore w:val="0"/>
        <w:widowControl w:val="0"/>
        <w:kinsoku/>
        <w:wordWrap/>
        <w:overflowPunct/>
        <w:topLinePunct w:val="0"/>
        <w:autoSpaceDE/>
        <w:autoSpaceDN/>
        <w:bidi w:val="0"/>
        <w:adjustRightInd/>
        <w:snapToGrid/>
        <w:spacing w:after="0" w:line="579" w:lineRule="exact"/>
        <w:ind w:left="0" w:leftChars="0" w:right="59" w:rightChars="21"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（7）《电能质量 供电电压偏差》（GB/T 12325-2008）；</w:t>
      </w:r>
    </w:p>
    <w:p>
      <w:pPr>
        <w:pStyle w:val="15"/>
        <w:keepNext w:val="0"/>
        <w:keepLines w:val="0"/>
        <w:pageBreakBefore w:val="0"/>
        <w:widowControl w:val="0"/>
        <w:kinsoku/>
        <w:wordWrap/>
        <w:overflowPunct/>
        <w:topLinePunct w:val="0"/>
        <w:autoSpaceDE/>
        <w:autoSpaceDN/>
        <w:bidi w:val="0"/>
        <w:adjustRightInd/>
        <w:snapToGrid/>
        <w:spacing w:after="0" w:line="579" w:lineRule="exact"/>
        <w:ind w:left="0" w:leftChars="0" w:right="59" w:rightChars="21"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（8）《电能质量 三相电压允许不平衡度》（GB/T 15543-2008）；</w:t>
      </w:r>
    </w:p>
    <w:p>
      <w:pPr>
        <w:pStyle w:val="15"/>
        <w:keepNext w:val="0"/>
        <w:keepLines w:val="0"/>
        <w:pageBreakBefore w:val="0"/>
        <w:widowControl w:val="0"/>
        <w:kinsoku/>
        <w:wordWrap/>
        <w:overflowPunct/>
        <w:topLinePunct w:val="0"/>
        <w:autoSpaceDE/>
        <w:autoSpaceDN/>
        <w:bidi w:val="0"/>
        <w:adjustRightInd/>
        <w:snapToGrid/>
        <w:spacing w:after="0" w:line="579" w:lineRule="exact"/>
        <w:ind w:left="0" w:leftChars="0" w:right="59" w:rightChars="21" w:firstLine="659" w:firstLineChars="206"/>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（9）《电能质量 电压波动和闪变》（GB/T 12326-2008）。</w:t>
      </w:r>
    </w:p>
    <w:p>
      <w:pPr>
        <w:pStyle w:val="114"/>
        <w:adjustRightInd w:val="0"/>
        <w:snapToGrid w:val="0"/>
        <w:ind w:firstLine="640" w:firstLineChars="200"/>
        <w:outlineLvl w:val="0"/>
        <w:rPr>
          <w:rFonts w:hint="default" w:ascii="Times New Roman" w:hAnsi="Times New Roman" w:eastAsia="黑体" w:cs="Times New Roman"/>
          <w:sz w:val="32"/>
          <w:szCs w:val="32"/>
        </w:rPr>
      </w:pPr>
    </w:p>
    <w:p>
      <w:pPr>
        <w:pStyle w:val="81"/>
        <w:keepNext w:val="0"/>
        <w:keepLines w:val="0"/>
        <w:pageBreakBefore w:val="0"/>
        <w:kinsoku/>
        <w:wordWrap/>
        <w:overflowPunct/>
        <w:topLinePunct w:val="0"/>
        <w:autoSpaceDE/>
        <w:autoSpaceDN/>
        <w:bidi w:val="0"/>
        <w:adjustRightInd/>
        <w:snapToGrid/>
        <w:spacing w:before="0" w:beforeLines="0" w:after="0" w:afterLines="0" w:line="560" w:lineRule="exact"/>
        <w:ind w:right="59" w:rightChars="21" w:firstLine="56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一、试点范围</w:t>
      </w:r>
    </w:p>
    <w:p>
      <w:pPr>
        <w:pStyle w:val="81"/>
        <w:keepNext w:val="0"/>
        <w:keepLines w:val="0"/>
        <w:pageBreakBefore w:val="0"/>
        <w:kinsoku/>
        <w:wordWrap/>
        <w:overflowPunct/>
        <w:topLinePunct w:val="0"/>
        <w:autoSpaceDE/>
        <w:autoSpaceDN/>
        <w:bidi w:val="0"/>
        <w:adjustRightInd/>
        <w:snapToGrid/>
        <w:spacing w:before="0" w:beforeLines="0" w:after="0" w:afterLines="0" w:line="560" w:lineRule="exact"/>
        <w:ind w:right="59" w:rightChars="21" w:firstLine="56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依据</w:t>
      </w:r>
      <w:r>
        <w:rPr>
          <w:rFonts w:hint="default" w:ascii="Times New Roman" w:hAnsi="Times New Roman" w:eastAsia="仿宋_GB2312" w:cs="Times New Roman"/>
          <w:sz w:val="32"/>
          <w:szCs w:val="32"/>
        </w:rPr>
        <w:t>《有序放开配电网业务管理办法》（发改经体〔2016〕2120号）</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kern w:val="2"/>
          <w:sz w:val="32"/>
          <w:szCs w:val="32"/>
          <w:lang w:eastAsia="zh-CN"/>
        </w:rPr>
        <w:t>《关于进一步做好我省增量配电业务改革试点工作的</w:t>
      </w:r>
      <w:r>
        <w:rPr>
          <w:rFonts w:hint="default" w:ascii="Times New Roman" w:hAnsi="Times New Roman" w:eastAsia="仿宋_GB2312" w:cs="Times New Roman"/>
          <w:kern w:val="2"/>
          <w:sz w:val="32"/>
          <w:szCs w:val="32"/>
        </w:rPr>
        <w:t>通知</w:t>
      </w:r>
      <w:r>
        <w:rPr>
          <w:rFonts w:hint="default" w:ascii="Times New Roman" w:hAnsi="Times New Roman" w:eastAsia="仿宋_GB2312" w:cs="Times New Roman"/>
          <w:kern w:val="2"/>
          <w:sz w:val="32"/>
          <w:szCs w:val="32"/>
          <w:lang w:eastAsia="zh-CN"/>
        </w:rPr>
        <w:t>》（浙发改能源〔2018〕645</w:t>
      </w:r>
      <w:r>
        <w:rPr>
          <w:rFonts w:hint="default" w:ascii="Times New Roman" w:hAnsi="Times New Roman" w:eastAsia="仿宋_GB2312" w:cs="Times New Roman"/>
          <w:kern w:val="2"/>
          <w:sz w:val="32"/>
          <w:szCs w:val="32"/>
          <w:lang w:val="en-US" w:eastAsia="zh-CN"/>
        </w:rPr>
        <w:t>号</w:t>
      </w:r>
      <w:r>
        <w:rPr>
          <w:rFonts w:hint="default" w:ascii="Times New Roman" w:hAnsi="Times New Roman" w:eastAsia="仿宋_GB2312" w:cs="Times New Roman"/>
          <w:kern w:val="2"/>
          <w:sz w:val="32"/>
          <w:szCs w:val="32"/>
          <w:lang w:eastAsia="zh-CN"/>
        </w:rPr>
        <w:t>）、《关于进一步推进增量配电业务改革的通知》（发改经体〔201</w:t>
      </w:r>
      <w:r>
        <w:rPr>
          <w:rFonts w:hint="default" w:ascii="Times New Roman" w:hAnsi="Times New Roman" w:eastAsia="仿宋_GB2312" w:cs="Times New Roman"/>
          <w:kern w:val="2"/>
          <w:sz w:val="32"/>
          <w:szCs w:val="32"/>
          <w:lang w:val="en-US" w:eastAsia="zh-CN"/>
        </w:rPr>
        <w:t>9</w:t>
      </w:r>
      <w:r>
        <w:rPr>
          <w:rFonts w:hint="default" w:ascii="Times New Roman" w:hAnsi="Times New Roman" w:eastAsia="仿宋_GB2312" w:cs="Times New Roman"/>
          <w:kern w:val="2"/>
          <w:sz w:val="32"/>
          <w:szCs w:val="32"/>
          <w:lang w:eastAsia="zh-CN"/>
        </w:rPr>
        <w:t>〕2</w:t>
      </w:r>
      <w:r>
        <w:rPr>
          <w:rFonts w:hint="default" w:ascii="Times New Roman" w:hAnsi="Times New Roman" w:eastAsia="仿宋_GB2312" w:cs="Times New Roman"/>
          <w:kern w:val="2"/>
          <w:sz w:val="32"/>
          <w:szCs w:val="32"/>
          <w:lang w:val="en-US" w:eastAsia="zh-CN"/>
        </w:rPr>
        <w:t>7</w:t>
      </w:r>
      <w:r>
        <w:rPr>
          <w:rFonts w:hint="default" w:ascii="Times New Roman" w:hAnsi="Times New Roman" w:eastAsia="仿宋_GB2312" w:cs="Times New Roman"/>
          <w:kern w:val="2"/>
          <w:sz w:val="32"/>
          <w:szCs w:val="32"/>
          <w:lang w:eastAsia="zh-CN"/>
        </w:rPr>
        <w:t>号）</w:t>
      </w:r>
      <w:r>
        <w:rPr>
          <w:rFonts w:hint="default" w:ascii="Times New Roman" w:hAnsi="Times New Roman" w:eastAsia="仿宋_GB2312" w:cs="Times New Roman"/>
          <w:kern w:val="0"/>
          <w:sz w:val="32"/>
          <w:szCs w:val="32"/>
        </w:rPr>
        <w:t>等国家、省相关电改政策文件，按照规划引领、界限清晰、避免交叉供电的原则</w:t>
      </w:r>
      <w:r>
        <w:rPr>
          <w:rFonts w:hint="default" w:ascii="Times New Roman" w:hAnsi="Times New Roman" w:eastAsia="仿宋_GB2312" w:cs="Times New Roman"/>
          <w:kern w:val="0"/>
          <w:sz w:val="32"/>
          <w:szCs w:val="32"/>
          <w:lang w:val="en-US" w:eastAsia="zh-CN"/>
        </w:rPr>
        <w:t>划定</w:t>
      </w:r>
      <w:r>
        <w:rPr>
          <w:rFonts w:hint="default" w:ascii="Times New Roman" w:hAnsi="Times New Roman" w:eastAsia="仿宋_GB2312" w:cs="Times New Roman"/>
          <w:kern w:val="0"/>
          <w:sz w:val="32"/>
          <w:szCs w:val="32"/>
        </w:rPr>
        <w:t>试点区域。</w:t>
      </w:r>
    </w:p>
    <w:p>
      <w:pPr>
        <w:pStyle w:val="81"/>
        <w:keepNext w:val="0"/>
        <w:keepLines w:val="0"/>
        <w:pageBreakBefore w:val="0"/>
        <w:kinsoku/>
        <w:wordWrap/>
        <w:overflowPunct/>
        <w:topLinePunct w:val="0"/>
        <w:autoSpaceDE/>
        <w:autoSpaceDN/>
        <w:bidi w:val="0"/>
        <w:adjustRightInd/>
        <w:snapToGrid/>
        <w:spacing w:before="0" w:beforeLines="0" w:after="0" w:afterLines="0" w:line="560" w:lineRule="exact"/>
        <w:ind w:right="59" w:rightChars="21" w:firstLine="56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试点区域</w:t>
      </w:r>
      <w:r>
        <w:rPr>
          <w:rFonts w:hint="default" w:ascii="Times New Roman" w:hAnsi="Times New Roman" w:eastAsia="仿宋_GB2312" w:cs="Times New Roman"/>
          <w:sz w:val="32"/>
          <w:szCs w:val="32"/>
        </w:rPr>
        <w:t>位于嘉兴市海盐县秦山街道，</w:t>
      </w:r>
      <w:r>
        <w:rPr>
          <w:rFonts w:hint="default" w:ascii="Times New Roman" w:hAnsi="Times New Roman" w:eastAsia="仿宋_GB2312" w:cs="Times New Roman"/>
          <w:kern w:val="0"/>
          <w:sz w:val="32"/>
          <w:szCs w:val="32"/>
        </w:rPr>
        <w:t>区域面积为</w:t>
      </w:r>
      <w:r>
        <w:rPr>
          <w:rFonts w:hint="default" w:ascii="Times New Roman" w:hAnsi="Times New Roman" w:eastAsia="仿宋_GB2312" w:cs="Times New Roman"/>
          <w:kern w:val="0"/>
          <w:sz w:val="32"/>
          <w:szCs w:val="32"/>
          <w:lang w:val="en-US" w:eastAsia="zh-CN"/>
        </w:rPr>
        <w:t>3</w:t>
      </w:r>
      <w:r>
        <w:rPr>
          <w:rFonts w:hint="default" w:ascii="Times New Roman" w:hAnsi="Times New Roman" w:eastAsia="仿宋_GB2312" w:cs="Times New Roman"/>
          <w:kern w:val="0"/>
          <w:sz w:val="32"/>
          <w:szCs w:val="32"/>
        </w:rPr>
        <w:t>平方公里。试点区域范围为北至代里桥港，西至双北路、科普路、秦山大道（由北往南），南至三里港、金利路、落官公路（由东往西），东至白洋河，金州路，金沙路（由北往南）</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如下图 1-1 所示。</w:t>
      </w:r>
    </w:p>
    <w:p>
      <w:pPr>
        <w:pStyle w:val="81"/>
        <w:keepNext w:val="0"/>
        <w:keepLines w:val="0"/>
        <w:pageBreakBefore w:val="0"/>
        <w:kinsoku/>
        <w:wordWrap/>
        <w:overflowPunct/>
        <w:topLinePunct w:val="0"/>
        <w:autoSpaceDE/>
        <w:autoSpaceDN/>
        <w:bidi w:val="0"/>
        <w:adjustRightInd/>
        <w:snapToGrid/>
        <w:spacing w:before="0" w:beforeLines="0" w:after="0" w:afterLines="0" w:line="560" w:lineRule="exact"/>
        <w:ind w:right="59" w:rightChars="21" w:firstLine="56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海盐秦山</w:t>
      </w:r>
      <w:r>
        <w:rPr>
          <w:rFonts w:hint="default" w:ascii="Times New Roman" w:hAnsi="Times New Roman" w:eastAsia="仿宋_GB2312" w:cs="Times New Roman"/>
          <w:kern w:val="0"/>
          <w:sz w:val="32"/>
          <w:szCs w:val="32"/>
        </w:rPr>
        <w:t>增量配电</w:t>
      </w:r>
      <w:r>
        <w:rPr>
          <w:rFonts w:hint="default" w:ascii="Times New Roman" w:hAnsi="Times New Roman" w:eastAsia="仿宋_GB2312" w:cs="Times New Roman"/>
          <w:kern w:val="0"/>
          <w:sz w:val="32"/>
          <w:szCs w:val="32"/>
          <w:lang w:val="en-US" w:eastAsia="zh-CN"/>
        </w:rPr>
        <w:t>网</w:t>
      </w:r>
      <w:r>
        <w:rPr>
          <w:rFonts w:hint="default" w:ascii="Times New Roman" w:hAnsi="Times New Roman" w:eastAsia="仿宋_GB2312" w:cs="Times New Roman"/>
          <w:sz w:val="32"/>
          <w:szCs w:val="32"/>
        </w:rPr>
        <w:t>规划</w:t>
      </w:r>
      <w:r>
        <w:rPr>
          <w:rFonts w:hint="default" w:ascii="Times New Roman" w:hAnsi="Times New Roman" w:eastAsia="仿宋_GB2312" w:cs="Times New Roman"/>
          <w:kern w:val="0"/>
          <w:sz w:val="32"/>
          <w:szCs w:val="32"/>
          <w:lang w:val="en-US" w:eastAsia="zh-CN"/>
        </w:rPr>
        <w:t>区域内</w:t>
      </w:r>
      <w:r>
        <w:rPr>
          <w:rFonts w:hint="default" w:ascii="Times New Roman" w:hAnsi="Times New Roman" w:eastAsia="仿宋_GB2312" w:cs="Times New Roman"/>
          <w:sz w:val="32"/>
          <w:szCs w:val="32"/>
          <w:lang w:val="en-US" w:eastAsia="zh-CN"/>
        </w:rPr>
        <w:t>建设</w:t>
      </w:r>
      <w:r>
        <w:rPr>
          <w:rFonts w:hint="eastAsia" w:eastAsia="仿宋_GB2312" w:cs="Times New Roman"/>
          <w:sz w:val="32"/>
          <w:szCs w:val="32"/>
          <w:lang w:val="en-US" w:eastAsia="zh-CN"/>
        </w:rPr>
        <w:t>20</w:t>
      </w:r>
      <w:r>
        <w:rPr>
          <w:rFonts w:hint="default" w:ascii="Times New Roman" w:hAnsi="Times New Roman" w:eastAsia="仿宋_GB2312" w:cs="Times New Roman"/>
          <w:sz w:val="32"/>
          <w:szCs w:val="32"/>
          <w:lang w:val="en-US" w:eastAsia="zh-CN"/>
        </w:rPr>
        <w:t>千伏及以下增量配电网。</w:t>
      </w:r>
    </w:p>
    <w:p>
      <w:pPr>
        <w:pStyle w:val="81"/>
        <w:keepNext w:val="0"/>
        <w:keepLines w:val="0"/>
        <w:pageBreakBefore w:val="0"/>
        <w:kinsoku/>
        <w:wordWrap/>
        <w:overflowPunct/>
        <w:topLinePunct w:val="0"/>
        <w:autoSpaceDE/>
        <w:autoSpaceDN/>
        <w:bidi w:val="0"/>
        <w:adjustRightInd/>
        <w:snapToGrid/>
        <w:spacing w:before="0" w:beforeLines="0" w:after="0" w:afterLines="0" w:line="560" w:lineRule="exact"/>
        <w:ind w:right="59" w:rightChars="21" w:firstLine="560"/>
        <w:textAlignment w:val="auto"/>
        <w:rPr>
          <w:rFonts w:hint="default" w:ascii="Times New Roman" w:hAnsi="Times New Roman" w:cs="Times New Roman"/>
          <w:sz w:val="15"/>
          <w:szCs w:val="15"/>
        </w:rPr>
      </w:pPr>
      <w:r>
        <w:rPr>
          <w:rFonts w:hint="default" w:ascii="Times New Roman" w:hAnsi="Times New Roman" w:eastAsia="仿宋_GB2312" w:cs="Times New Roman"/>
          <w:sz w:val="32"/>
          <w:szCs w:val="32"/>
          <w:lang w:val="en-US" w:eastAsia="zh-CN"/>
        </w:rPr>
        <w:t>根据《省发展改革委办公室关于确认海盐云计算及智能中心基地增量配电业务改革试点项目业主的通知》（浙发改办能源〔2018〕115号）规定，确定国网浙江省电力有限公司（51%）、浙江浙能电力股份公司（49%）组成的联合体为</w:t>
      </w:r>
      <w:r>
        <w:rPr>
          <w:rFonts w:hint="default" w:ascii="Times New Roman" w:hAnsi="Times New Roman" w:eastAsia="仿宋_GB2312" w:cs="Times New Roman"/>
          <w:sz w:val="32"/>
          <w:szCs w:val="32"/>
        </w:rPr>
        <w:t>海盐秦山</w:t>
      </w:r>
      <w:r>
        <w:rPr>
          <w:rFonts w:hint="default" w:ascii="Times New Roman" w:hAnsi="Times New Roman" w:eastAsia="仿宋_GB2312" w:cs="Times New Roman"/>
          <w:kern w:val="0"/>
          <w:sz w:val="32"/>
          <w:szCs w:val="32"/>
        </w:rPr>
        <w:t>增量配电</w:t>
      </w:r>
      <w:r>
        <w:rPr>
          <w:rFonts w:hint="default" w:ascii="Times New Roman" w:hAnsi="Times New Roman" w:eastAsia="仿宋_GB2312" w:cs="Times New Roman"/>
          <w:kern w:val="0"/>
          <w:sz w:val="32"/>
          <w:szCs w:val="32"/>
          <w:lang w:val="en-US" w:eastAsia="zh-CN"/>
        </w:rPr>
        <w:t>网</w:t>
      </w:r>
      <w:r>
        <w:rPr>
          <w:rFonts w:hint="default" w:ascii="Times New Roman" w:hAnsi="Times New Roman" w:eastAsia="仿宋_GB2312" w:cs="Times New Roman"/>
          <w:sz w:val="32"/>
          <w:szCs w:val="32"/>
          <w:lang w:val="en-US" w:eastAsia="zh-CN"/>
        </w:rPr>
        <w:t>业主</w:t>
      </w:r>
      <w:r>
        <w:rPr>
          <w:rFonts w:hint="default" w:ascii="Times New Roman" w:hAnsi="Times New Roman" w:eastAsia="仿宋_GB2312" w:cs="Times New Roman"/>
          <w:kern w:val="0"/>
          <w:sz w:val="32"/>
          <w:szCs w:val="32"/>
          <w:lang w:val="en-US" w:eastAsia="zh-CN"/>
        </w:rPr>
        <w:t>。</w:t>
      </w:r>
    </w:p>
    <w:bookmarkEnd w:id="0"/>
    <w:bookmarkEnd w:id="1"/>
    <w:bookmarkEnd w:id="2"/>
    <w:bookmarkEnd w:id="3"/>
    <w:p>
      <w:pPr>
        <w:ind w:firstLine="0" w:firstLineChars="0"/>
        <w:jc w:val="center"/>
        <w:rPr>
          <w:rFonts w:hint="default" w:ascii="Times New Roman" w:hAnsi="Times New Roman" w:eastAsia="仿宋" w:cs="Times New Roman"/>
          <w:color w:val="FF0000"/>
          <w:szCs w:val="28"/>
        </w:rPr>
      </w:pPr>
      <w:bookmarkStart w:id="5" w:name="_Toc434851047"/>
      <w:bookmarkStart w:id="6" w:name="_Toc377557189"/>
      <w:bookmarkStart w:id="7" w:name="_Toc464203833"/>
      <w:r>
        <w:rPr>
          <w:rFonts w:hint="default" w:ascii="Times New Roman" w:hAnsi="Times New Roman" w:eastAsia="仿宋" w:cs="Times New Roman"/>
          <w:shd w:val="clear" w:color="auto" w:fill="FFFF00"/>
        </w:rPr>
        <w:drawing>
          <wp:inline distT="0" distB="0" distL="114300" distR="114300">
            <wp:extent cx="4248150" cy="424815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4248150" cy="4248150"/>
                    </a:xfrm>
                    <a:prstGeom prst="rect">
                      <a:avLst/>
                    </a:prstGeom>
                    <a:noFill/>
                    <a:ln>
                      <a:noFill/>
                    </a:ln>
                  </pic:spPr>
                </pic:pic>
              </a:graphicData>
            </a:graphic>
          </wp:inline>
        </w:drawing>
      </w:r>
    </w:p>
    <w:p>
      <w:pPr>
        <w:pStyle w:val="91"/>
        <w:keepNext w:val="0"/>
        <w:keepLines w:val="0"/>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图1-1 试点区域边界</w:t>
      </w:r>
      <w:bookmarkEnd w:id="5"/>
      <w:bookmarkEnd w:id="6"/>
      <w:bookmarkEnd w:id="7"/>
      <w:bookmarkStart w:id="8" w:name="_Toc495541304"/>
      <w:bookmarkStart w:id="9" w:name="_Toc494357495"/>
    </w:p>
    <w:p>
      <w:pPr>
        <w:pStyle w:val="91"/>
        <w:keepNext w:val="0"/>
        <w:keepLines w:val="0"/>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表1-1 试点区域边界对照表</w:t>
      </w:r>
    </w:p>
    <w:tbl>
      <w:tblPr>
        <w:tblStyle w:val="29"/>
        <w:tblW w:w="9004"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32"/>
        <w:gridCol w:w="1131"/>
        <w:gridCol w:w="1131"/>
        <w:gridCol w:w="2370"/>
        <w:gridCol w:w="1131"/>
        <w:gridCol w:w="210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blHeader/>
          <w:jc w:val="center"/>
        </w:trPr>
        <w:tc>
          <w:tcPr>
            <w:tcW w:w="1132"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编号</w:t>
            </w:r>
          </w:p>
        </w:tc>
        <w:tc>
          <w:tcPr>
            <w:tcW w:w="1131"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路名</w:t>
            </w:r>
          </w:p>
        </w:tc>
        <w:tc>
          <w:tcPr>
            <w:tcW w:w="1131"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编号</w:t>
            </w:r>
          </w:p>
        </w:tc>
        <w:tc>
          <w:tcPr>
            <w:tcW w:w="2370"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路名</w:t>
            </w:r>
          </w:p>
        </w:tc>
        <w:tc>
          <w:tcPr>
            <w:tcW w:w="1131"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编号</w:t>
            </w:r>
          </w:p>
        </w:tc>
        <w:tc>
          <w:tcPr>
            <w:tcW w:w="2109"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路名</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132"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①</w:t>
            </w:r>
          </w:p>
        </w:tc>
        <w:tc>
          <w:tcPr>
            <w:tcW w:w="1131"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代里桥港</w:t>
            </w:r>
          </w:p>
        </w:tc>
        <w:tc>
          <w:tcPr>
            <w:tcW w:w="1131"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⑦</w:t>
            </w:r>
          </w:p>
        </w:tc>
        <w:tc>
          <w:tcPr>
            <w:tcW w:w="2370"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金禾路</w:t>
            </w:r>
          </w:p>
        </w:tc>
        <w:tc>
          <w:tcPr>
            <w:tcW w:w="1131"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⑬</w:t>
            </w:r>
          </w:p>
        </w:tc>
        <w:tc>
          <w:tcPr>
            <w:tcW w:w="2109"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落官公路</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132"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②</w:t>
            </w:r>
          </w:p>
        </w:tc>
        <w:tc>
          <w:tcPr>
            <w:tcW w:w="1131"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双北路</w:t>
            </w:r>
          </w:p>
        </w:tc>
        <w:tc>
          <w:tcPr>
            <w:tcW w:w="1131"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⑧</w:t>
            </w:r>
          </w:p>
        </w:tc>
        <w:tc>
          <w:tcPr>
            <w:tcW w:w="2370"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秦山大道</w:t>
            </w:r>
          </w:p>
        </w:tc>
        <w:tc>
          <w:tcPr>
            <w:tcW w:w="1131"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⑭</w:t>
            </w:r>
          </w:p>
        </w:tc>
        <w:tc>
          <w:tcPr>
            <w:tcW w:w="2109"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金沙路</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132"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③</w:t>
            </w:r>
          </w:p>
        </w:tc>
        <w:tc>
          <w:tcPr>
            <w:tcW w:w="1131"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核电大道</w:t>
            </w:r>
          </w:p>
        </w:tc>
        <w:tc>
          <w:tcPr>
            <w:tcW w:w="1131"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⑨</w:t>
            </w:r>
          </w:p>
        </w:tc>
        <w:tc>
          <w:tcPr>
            <w:tcW w:w="2370"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落官公路</w:t>
            </w:r>
          </w:p>
        </w:tc>
        <w:tc>
          <w:tcPr>
            <w:tcW w:w="1131"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⑮</w:t>
            </w:r>
          </w:p>
        </w:tc>
        <w:tc>
          <w:tcPr>
            <w:tcW w:w="2109"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金利路</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132"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④</w:t>
            </w:r>
          </w:p>
        </w:tc>
        <w:tc>
          <w:tcPr>
            <w:tcW w:w="1131"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兴乐路</w:t>
            </w:r>
          </w:p>
        </w:tc>
        <w:tc>
          <w:tcPr>
            <w:tcW w:w="1131"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⑩</w:t>
            </w:r>
          </w:p>
        </w:tc>
        <w:tc>
          <w:tcPr>
            <w:tcW w:w="2370"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秦山大道西侧无名路</w:t>
            </w:r>
          </w:p>
        </w:tc>
        <w:tc>
          <w:tcPr>
            <w:tcW w:w="1131"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⑯</w:t>
            </w:r>
          </w:p>
        </w:tc>
        <w:tc>
          <w:tcPr>
            <w:tcW w:w="2109"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金州路</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132"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⑤</w:t>
            </w:r>
          </w:p>
        </w:tc>
        <w:tc>
          <w:tcPr>
            <w:tcW w:w="1131"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横溪街</w:t>
            </w:r>
          </w:p>
        </w:tc>
        <w:tc>
          <w:tcPr>
            <w:tcW w:w="1131"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⑪</w:t>
            </w:r>
          </w:p>
        </w:tc>
        <w:tc>
          <w:tcPr>
            <w:tcW w:w="2370"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金塔路南侧无名路</w:t>
            </w:r>
          </w:p>
        </w:tc>
        <w:tc>
          <w:tcPr>
            <w:tcW w:w="1131"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⑰</w:t>
            </w:r>
          </w:p>
        </w:tc>
        <w:tc>
          <w:tcPr>
            <w:tcW w:w="2109"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核电大道南部航道</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132"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⑥</w:t>
            </w:r>
          </w:p>
        </w:tc>
        <w:tc>
          <w:tcPr>
            <w:tcW w:w="1131"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科普路</w:t>
            </w:r>
          </w:p>
        </w:tc>
        <w:tc>
          <w:tcPr>
            <w:tcW w:w="1131"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⑫</w:t>
            </w:r>
          </w:p>
        </w:tc>
        <w:tc>
          <w:tcPr>
            <w:tcW w:w="2370"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金沙路西侧无名路</w:t>
            </w:r>
          </w:p>
        </w:tc>
        <w:tc>
          <w:tcPr>
            <w:tcW w:w="1131"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⑱</w:t>
            </w:r>
          </w:p>
        </w:tc>
        <w:tc>
          <w:tcPr>
            <w:tcW w:w="2109"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白洋河</w:t>
            </w:r>
          </w:p>
        </w:tc>
      </w:tr>
    </w:tbl>
    <w:p>
      <w:pPr>
        <w:autoSpaceDE w:val="0"/>
        <w:autoSpaceDN w:val="0"/>
        <w:adjustRightInd w:val="0"/>
        <w:snapToGrid w:val="0"/>
        <w:ind w:firstLine="640"/>
        <w:rPr>
          <w:rFonts w:hint="default" w:ascii="Times New Roman" w:hAnsi="Times New Roman" w:cs="Times New Roman"/>
          <w:color w:val="000000"/>
          <w:kern w:val="0"/>
          <w:sz w:val="32"/>
          <w:szCs w:val="32"/>
        </w:rPr>
      </w:pPr>
    </w:p>
    <w:bookmarkEnd w:id="8"/>
    <w:bookmarkEnd w:id="9"/>
    <w:p>
      <w:pPr>
        <w:pStyle w:val="43"/>
        <w:pageBreakBefore w:val="0"/>
        <w:widowControl w:val="0"/>
        <w:numPr>
          <w:ilvl w:val="0"/>
          <w:numId w:val="0"/>
        </w:numPr>
        <w:kinsoku/>
        <w:wordWrap/>
        <w:overflowPunct/>
        <w:topLinePunct w:val="0"/>
        <w:autoSpaceDE/>
        <w:autoSpaceDN/>
        <w:bidi w:val="0"/>
        <w:adjustRightInd w:val="0"/>
        <w:snapToGrid w:val="0"/>
        <w:spacing w:before="0" w:line="579" w:lineRule="exact"/>
        <w:textAlignment w:val="auto"/>
        <w:rPr>
          <w:rFonts w:hint="default" w:ascii="Times New Roman" w:hAnsi="Times New Roman" w:cs="Times New Roman"/>
          <w:b w:val="0"/>
          <w:sz w:val="32"/>
          <w:szCs w:val="32"/>
        </w:rPr>
      </w:pPr>
      <w:bookmarkStart w:id="10" w:name="_Toc495541308"/>
      <w:bookmarkStart w:id="11" w:name="_Toc434851052"/>
      <w:bookmarkStart w:id="12" w:name="_Toc377557193"/>
      <w:bookmarkStart w:id="13" w:name="_Toc494357499"/>
      <w:bookmarkStart w:id="14" w:name="_Toc23253626"/>
      <w:bookmarkStart w:id="15" w:name="_Toc488830810"/>
      <w:bookmarkStart w:id="16" w:name="_Toc464203838"/>
      <w:r>
        <w:rPr>
          <w:rFonts w:hint="default" w:ascii="Times New Roman" w:hAnsi="Times New Roman" w:cs="Times New Roman"/>
          <w:b w:val="0"/>
          <w:sz w:val="32"/>
          <w:szCs w:val="32"/>
          <w:lang w:val="en-US" w:eastAsia="zh-CN"/>
        </w:rPr>
        <w:t xml:space="preserve">    二、</w:t>
      </w:r>
      <w:r>
        <w:rPr>
          <w:rFonts w:hint="default" w:ascii="Times New Roman" w:hAnsi="Times New Roman" w:cs="Times New Roman"/>
          <w:b w:val="0"/>
          <w:sz w:val="32"/>
          <w:szCs w:val="32"/>
        </w:rPr>
        <w:t>区域经济社会发展情况</w:t>
      </w:r>
      <w:bookmarkEnd w:id="10"/>
      <w:bookmarkEnd w:id="11"/>
      <w:bookmarkEnd w:id="12"/>
      <w:bookmarkEnd w:id="13"/>
      <w:bookmarkEnd w:id="14"/>
      <w:bookmarkEnd w:id="15"/>
      <w:bookmarkEnd w:id="16"/>
      <w:bookmarkStart w:id="17" w:name="_Toc495540442"/>
      <w:bookmarkEnd w:id="17"/>
      <w:bookmarkStart w:id="18" w:name="_Toc495541108"/>
      <w:bookmarkEnd w:id="18"/>
      <w:bookmarkStart w:id="19" w:name="_Toc495541913"/>
      <w:bookmarkEnd w:id="19"/>
      <w:bookmarkStart w:id="20" w:name="_Toc495540575"/>
      <w:bookmarkEnd w:id="20"/>
      <w:bookmarkStart w:id="21" w:name="_Toc495541309"/>
      <w:bookmarkEnd w:id="21"/>
      <w:bookmarkStart w:id="22" w:name="_Toc495542160"/>
      <w:bookmarkEnd w:id="22"/>
      <w:bookmarkStart w:id="23" w:name="_Toc495540709"/>
      <w:bookmarkEnd w:id="23"/>
      <w:bookmarkStart w:id="24" w:name="_Toc495537782"/>
      <w:bookmarkEnd w:id="24"/>
      <w:bookmarkStart w:id="25" w:name="_Toc495561194"/>
      <w:bookmarkEnd w:id="25"/>
      <w:bookmarkStart w:id="26" w:name="_Toc495538036"/>
      <w:bookmarkEnd w:id="26"/>
      <w:bookmarkStart w:id="27" w:name="_Toc494357500"/>
      <w:bookmarkEnd w:id="27"/>
      <w:bookmarkStart w:id="28" w:name="_Toc495538426"/>
      <w:bookmarkEnd w:id="28"/>
      <w:bookmarkStart w:id="29" w:name="_Toc495537906"/>
      <w:bookmarkEnd w:id="29"/>
      <w:bookmarkStart w:id="30" w:name="_Toc493630064"/>
      <w:bookmarkEnd w:id="30"/>
      <w:bookmarkStart w:id="31" w:name="_Toc495538296"/>
      <w:bookmarkEnd w:id="31"/>
      <w:bookmarkStart w:id="32" w:name="_Toc493630191"/>
      <w:bookmarkEnd w:id="32"/>
      <w:bookmarkStart w:id="33" w:name="_Toc464203839"/>
      <w:bookmarkStart w:id="34" w:name="_Toc434851054"/>
      <w:bookmarkStart w:id="35" w:name="_Toc377557195"/>
      <w:bookmarkStart w:id="36" w:name="_Toc488830811"/>
    </w:p>
    <w:bookmarkEnd w:id="33"/>
    <w:bookmarkEnd w:id="34"/>
    <w:bookmarkEnd w:id="35"/>
    <w:bookmarkEnd w:id="36"/>
    <w:p>
      <w:pPr>
        <w:pStyle w:val="44"/>
        <w:pageBreakBefore w:val="0"/>
        <w:widowControl w:val="0"/>
        <w:kinsoku/>
        <w:wordWrap/>
        <w:overflowPunct/>
        <w:topLinePunct w:val="0"/>
        <w:autoSpaceDE/>
        <w:autoSpaceDN/>
        <w:bidi w:val="0"/>
        <w:adjustRightInd w:val="0"/>
        <w:snapToGrid w:val="0"/>
        <w:spacing w:before="0" w:line="579" w:lineRule="exact"/>
        <w:ind w:firstLine="640" w:firstLineChars="200"/>
        <w:textAlignment w:val="auto"/>
        <w:rPr>
          <w:rFonts w:hint="default" w:ascii="Times New Roman" w:hAnsi="Times New Roman" w:eastAsia="楷体" w:cs="Times New Roman"/>
          <w:b w:val="0"/>
        </w:rPr>
      </w:pPr>
      <w:bookmarkStart w:id="37" w:name="_Toc23253627"/>
      <w:r>
        <w:rPr>
          <w:rFonts w:hint="default" w:ascii="Times New Roman" w:hAnsi="Times New Roman" w:eastAsia="楷体" w:cs="Times New Roman"/>
          <w:b w:val="0"/>
        </w:rPr>
        <w:t>（一）区域经济社会发展现状</w:t>
      </w:r>
      <w:bookmarkEnd w:id="37"/>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秦山地处杭州湾北岸，因秦始皇东巡时曾登山遥望东海而得名。我国第一座自行设计的核电站——秦山核电站就坐落在街道境内。秦山街道区域面积54.97平方公里，辖5个行政村、6个社区、2个居委会，常住人口2.96万人。</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秦山街道依据自身资源优势，大力发展核电关联、仓储物流、休闲旅游、电子商务四大产业。中国核电城已正式落户秦山，海河联运、仓储物流等临港产业逐步兴起，以穆森电子为代表的电子商务产业蓬勃发展，现代农业不断推进，农业休闲观光游渐受追捧，宜居、宜业、宜游的特色乡村已初现端倪。</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海盐秦山增量配电业务改革试点项目位于秦山街道北部，与海盐县城武原街道相邻。试点范围东至翁金线，南至落塘公路，西至双北桥，北至代里桥港，面积约3平方公里，位于秦山工业园区内。该区域产业布局总体以秦山大道为界，东侧为工业区，用地类型以工业为主，西侧为综合配套服务区，包含居住、商业、商住混合、教育科研、行政办公等用地类型。</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试点区域2018年用电量约9200万千瓦时，主要用电类型为大工业用电，用电量约7456万千瓦时，占整个试点范围全社会用电量的81.04%。试点区域当前电力供</w:t>
      </w:r>
      <w:r>
        <w:rPr>
          <w:rFonts w:hint="eastAsia" w:cs="Times New Roman"/>
          <w:sz w:val="32"/>
          <w:szCs w:val="32"/>
          <w:lang w:val="en-US" w:eastAsia="zh-CN"/>
        </w:rPr>
        <w:t>应</w:t>
      </w:r>
      <w:r>
        <w:rPr>
          <w:rFonts w:hint="default" w:ascii="Times New Roman" w:hAnsi="Times New Roman" w:cs="Times New Roman"/>
          <w:sz w:val="32"/>
          <w:szCs w:val="32"/>
        </w:rPr>
        <w:t>均由国网浙江海盐县供电有限公司承担，无用户专用电力网络。</w:t>
      </w:r>
    </w:p>
    <w:p>
      <w:pPr>
        <w:pStyle w:val="44"/>
        <w:keepNext w:val="0"/>
        <w:keepLines w:val="0"/>
        <w:pageBreakBefore w:val="0"/>
        <w:widowControl w:val="0"/>
        <w:kinsoku/>
        <w:wordWrap/>
        <w:overflowPunct/>
        <w:topLinePunct w:val="0"/>
        <w:autoSpaceDE/>
        <w:autoSpaceDN/>
        <w:bidi w:val="0"/>
        <w:adjustRightInd w:val="0"/>
        <w:snapToGrid w:val="0"/>
        <w:spacing w:line="579" w:lineRule="exact"/>
        <w:ind w:firstLine="640" w:firstLineChars="200"/>
        <w:textAlignment w:val="auto"/>
        <w:rPr>
          <w:rFonts w:hint="default" w:ascii="Times New Roman" w:hAnsi="Times New Roman" w:eastAsia="楷体" w:cs="Times New Roman"/>
          <w:b w:val="0"/>
        </w:rPr>
      </w:pPr>
      <w:bookmarkStart w:id="38" w:name="_Toc23253628"/>
      <w:r>
        <w:rPr>
          <w:rFonts w:hint="default" w:ascii="Times New Roman" w:hAnsi="Times New Roman" w:eastAsia="楷体" w:cs="Times New Roman"/>
          <w:b w:val="0"/>
        </w:rPr>
        <w:t>（二）区域总体规划布局</w:t>
      </w:r>
      <w:bookmarkEnd w:id="38"/>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1．总体目标</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bCs/>
          <w:sz w:val="32"/>
          <w:szCs w:val="32"/>
          <w:lang w:bidi="en-US"/>
        </w:rPr>
        <w:t>到2030年，秦山街道将以核电小镇为中心，以技术创新进一步强化核电关联产业的核心竞争力，发展成一批在国际核电领域都具有领先水平的核电龙头企业，形成产业链完善、联系</w:t>
      </w:r>
    </w:p>
    <w:p>
      <w:pPr>
        <w:ind w:firstLine="0" w:firstLineChars="0"/>
        <w:jc w:val="center"/>
        <w:rPr>
          <w:rFonts w:hint="default" w:ascii="Times New Roman" w:hAnsi="Times New Roman" w:eastAsia="仿宋" w:cs="Times New Roman"/>
          <w:szCs w:val="28"/>
        </w:rPr>
      </w:pPr>
      <w:r>
        <w:rPr>
          <w:rFonts w:hint="default" w:ascii="Times New Roman" w:hAnsi="Times New Roman" w:eastAsia="仿宋" w:cs="Times New Roman"/>
        </w:rPr>
        <w:drawing>
          <wp:inline distT="0" distB="0" distL="114300" distR="114300">
            <wp:extent cx="3800475" cy="3924300"/>
            <wp:effectExtent l="0" t="0" r="9525"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rcRect l="45366" t="49678" r="35043" b="21544"/>
                    <a:stretch>
                      <a:fillRect/>
                    </a:stretch>
                  </pic:blipFill>
                  <pic:spPr>
                    <a:xfrm>
                      <a:off x="0" y="0"/>
                      <a:ext cx="3800475" cy="3924300"/>
                    </a:xfrm>
                    <a:prstGeom prst="rect">
                      <a:avLst/>
                    </a:prstGeom>
                    <a:noFill/>
                    <a:ln>
                      <a:noFill/>
                    </a:ln>
                  </pic:spPr>
                </pic:pic>
              </a:graphicData>
            </a:graphic>
          </wp:inline>
        </w:drawing>
      </w:r>
    </w:p>
    <w:p>
      <w:pPr>
        <w:pStyle w:val="91"/>
        <w:adjustRightInd w:val="0"/>
        <w:snapToGrid w:val="0"/>
        <w:spacing w:before="381" w:beforeLines="100" w:after="381" w:afterLines="100"/>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图2-1  试点区域位于秦山街道区位</w:t>
      </w:r>
    </w:p>
    <w:p>
      <w:pPr>
        <w:keepNext w:val="0"/>
        <w:keepLines w:val="0"/>
        <w:pageBreakBefore w:val="0"/>
        <w:widowControl w:val="0"/>
        <w:kinsoku/>
        <w:wordWrap/>
        <w:overflowPunct/>
        <w:topLinePunct w:val="0"/>
        <w:autoSpaceDE/>
        <w:autoSpaceDN/>
        <w:bidi w:val="0"/>
        <w:adjustRightInd w:val="0"/>
        <w:snapToGrid w:val="0"/>
        <w:spacing w:line="579" w:lineRule="exact"/>
        <w:ind w:left="0" w:leftChars="0" w:firstLine="0" w:firstLineChars="0"/>
        <w:textAlignment w:val="auto"/>
        <w:rPr>
          <w:rFonts w:hint="default" w:ascii="Times New Roman" w:hAnsi="Times New Roman" w:cs="Times New Roman"/>
          <w:sz w:val="32"/>
          <w:szCs w:val="32"/>
        </w:rPr>
      </w:pPr>
      <w:r>
        <w:rPr>
          <w:rFonts w:hint="default" w:ascii="Times New Roman" w:hAnsi="Times New Roman" w:cs="Times New Roman"/>
          <w:bCs/>
          <w:sz w:val="32"/>
          <w:szCs w:val="32"/>
          <w:lang w:bidi="en-US"/>
        </w:rPr>
        <w:t>技术研发、培训等服务能力，进一步突出核电文化展示和旅游建设，能够为全国甚至国际核电建设提供最先进的核电运行服务，最终把海盐核电小镇建设成一个经济实力强劲、产业特色突出、文化内涵丰富、人居环境和谐的特色小镇。</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2．总体发展战略</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bCs/>
          <w:sz w:val="32"/>
          <w:szCs w:val="32"/>
          <w:lang w:bidi="en-US"/>
        </w:rPr>
        <w:t>秦山街道将以核电小镇为中心，依托秦山核电基地、中国核电城建设和核电人才、人脉资源，突出服务优先、创新驱动、绿色低碳、开放合作等特色，以核电生产性服务业、核电装备制造业、核电工业科技旅游产业等三大核电产业为重点，围绕核电科技馆，将核电文化元素与城镇建设相融合，充分展现核电小镇独特的文化特色，进一步延伸核电作为清洁能源的内涵，以“绿色低碳”为理念，实现小镇的生态发展、循环发展、低碳发展，结合新市镇建设，完善城镇服务功能，优化人居环境建设，叠加产业、文化、旅游和社区功能，把海盐核电小镇建设成国内外一流的核电关联产业小镇、核电文化旅游小镇、绿色低碳示范小镇和品质宜居乐活小镇。</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3．产业发展战略</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lang w:val="zh-CN"/>
        </w:rPr>
      </w:pPr>
      <w:r>
        <w:rPr>
          <w:rFonts w:hint="default" w:ascii="Times New Roman" w:hAnsi="Times New Roman" w:cs="Times New Roman"/>
          <w:sz w:val="32"/>
          <w:szCs w:val="32"/>
          <w:lang w:val="zh-CN"/>
        </w:rPr>
        <w:t>规划秦山区域空间上形成“一心、一轴、三区”结构，其中：</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lang w:val="zh-CN"/>
        </w:rPr>
      </w:pPr>
      <w:r>
        <w:rPr>
          <w:rFonts w:hint="default" w:ascii="Times New Roman" w:hAnsi="Times New Roman" w:cs="Times New Roman"/>
          <w:sz w:val="32"/>
          <w:szCs w:val="32"/>
          <w:lang w:val="zh-CN"/>
        </w:rPr>
        <w:t>一心：综合配套服务区。承担“秦山核电关联产业区”综合配套功能，发展核电科研、教育、培训、会议、展览、居住等服务产业；结合综合配套服务区建设秦山新市镇，形成区域行政、商业、文化中心。新市镇应当高起点、高标准建设，严格参照城市标准，满足生产和生活所需的行政、商贸、居住、医疗、文化娱乐、体育等功能要求，以提高区域的品质与吸引力。</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lang w:val="zh-CN"/>
        </w:rPr>
      </w:pPr>
      <w:r>
        <w:rPr>
          <w:rFonts w:hint="default" w:ascii="Times New Roman" w:hAnsi="Times New Roman" w:cs="Times New Roman"/>
          <w:sz w:val="32"/>
          <w:szCs w:val="32"/>
          <w:lang w:val="zh-CN"/>
        </w:rPr>
        <w:t>一轴：秦山大道。加强与海盐中心城区，以及区域内各功能区之间的联系。</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lang w:val="zh-CN"/>
        </w:rPr>
      </w:pPr>
      <w:r>
        <w:rPr>
          <w:rFonts w:hint="default" w:ascii="Times New Roman" w:hAnsi="Times New Roman" w:cs="Times New Roman"/>
          <w:sz w:val="32"/>
          <w:szCs w:val="32"/>
          <w:lang w:val="zh-CN"/>
        </w:rPr>
        <w:t>三区：秦山核电基地、生产制造业基地、仓储物流园。</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mc:AlternateContent>
          <mc:Choice Requires="wps">
            <w:drawing>
              <wp:anchor distT="0" distB="0" distL="114300" distR="114300" simplePos="0" relativeHeight="1024" behindDoc="0" locked="0" layoutInCell="1" allowOverlap="1">
                <wp:simplePos x="0" y="0"/>
                <wp:positionH relativeFrom="column">
                  <wp:posOffset>11544300</wp:posOffset>
                </wp:positionH>
                <wp:positionV relativeFrom="paragraph">
                  <wp:posOffset>530860</wp:posOffset>
                </wp:positionV>
                <wp:extent cx="2532380" cy="297180"/>
                <wp:effectExtent l="0" t="0" r="0" b="0"/>
                <wp:wrapNone/>
                <wp:docPr id="922" name="Text Box 149"/>
                <wp:cNvGraphicFramePr/>
                <a:graphic xmlns:a="http://schemas.openxmlformats.org/drawingml/2006/main">
                  <a:graphicData uri="http://schemas.microsoft.com/office/word/2010/wordprocessingShape">
                    <wps:wsp>
                      <wps:cNvSpPr txBox="1">
                        <a:spLocks noChangeArrowheads="1"/>
                      </wps:cNvSpPr>
                      <wps:spPr bwMode="auto">
                        <a:xfrm>
                          <a:off x="0" y="0"/>
                          <a:ext cx="2532380" cy="297180"/>
                        </a:xfrm>
                        <a:prstGeom prst="rect">
                          <a:avLst/>
                        </a:prstGeom>
                        <a:noFill/>
                        <a:ln>
                          <a:noFill/>
                        </a:ln>
                        <a:effectLst/>
                      </wps:spPr>
                      <wps:txbx>
                        <w:txbxContent>
                          <w:p>
                            <w:pPr>
                              <w:ind w:firstLine="560"/>
                            </w:pPr>
                            <w:r>
                              <w:rPr>
                                <w:rFonts w:hint="eastAsia"/>
                              </w:rPr>
                              <w:t>镇域空间结构图</w:t>
                            </w:r>
                          </w:p>
                          <w:p>
                            <w:pPr>
                              <w:ind w:firstLine="560"/>
                            </w:pPr>
                          </w:p>
                        </w:txbxContent>
                      </wps:txbx>
                      <wps:bodyPr rot="0" vert="horz" wrap="square" lIns="91440" tIns="45720" rIns="91440" bIns="45720" anchor="t" anchorCtr="0" upright="1">
                        <a:noAutofit/>
                      </wps:bodyPr>
                    </wps:wsp>
                  </a:graphicData>
                </a:graphic>
              </wp:anchor>
            </w:drawing>
          </mc:Choice>
          <mc:Fallback>
            <w:pict>
              <v:shape id="Text Box 149" o:spid="_x0000_s1026" o:spt="202" type="#_x0000_t202" style="position:absolute;left:0pt;margin-left:909pt;margin-top:41.8pt;height:23.4pt;width:199.4pt;z-index:1024;mso-width-relative:page;mso-height-relative:page;" filled="f" stroked="f" coordsize="21600,21600" o:gfxdata="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RbgQdgAAAAMAQAADwAAAAAAAAABACAAAAAiAAAAZHJzL2Rvd25yZXYueG1sUEsBAhQA&#10;FAAAAAgAh07iQJrgSAHyAQAA2AMAAA4AAAAAAAAAAQAgAAAAJwEAAGRycy9lMm9Eb2MueG1sUEsF&#10;BgAAAAAGAAYAWQEAAIsFAAAAAA==&#10;">
                <v:fill on="f" focussize="0,0"/>
                <v:stroke on="f"/>
                <v:imagedata o:title=""/>
                <o:lock v:ext="edit" aspectratio="f"/>
                <v:textbox>
                  <w:txbxContent>
                    <w:p>
                      <w:pPr>
                        <w:ind w:firstLine="560"/>
                      </w:pPr>
                      <w:r>
                        <w:rPr>
                          <w:rFonts w:hint="eastAsia"/>
                        </w:rPr>
                        <w:t>镇域空间结构图</w:t>
                      </w:r>
                    </w:p>
                    <w:p>
                      <w:pPr>
                        <w:ind w:firstLine="560"/>
                      </w:pPr>
                    </w:p>
                  </w:txbxContent>
                </v:textbox>
              </v:shape>
            </w:pict>
          </mc:Fallback>
        </mc:AlternateContent>
      </w:r>
      <w:r>
        <w:rPr>
          <w:rFonts w:hint="default" w:ascii="Times New Roman" w:hAnsi="Times New Roman" w:cs="Times New Roman"/>
          <w:sz w:val="32"/>
          <w:szCs w:val="32"/>
        </w:rPr>
        <w:t>秦山老镇区处在核电限制区内，集镇建设受到制约，规划作为一个服务节点，为周边提供配套服务。</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试点区域经济发展功能定位如图2-2所示。以秦山大道为界，试点区西部定位为综合配套服务区，东部为生产制造业基地。</w:t>
      </w:r>
    </w:p>
    <w:p>
      <w:pPr>
        <w:pStyle w:val="72"/>
        <w:rPr>
          <w:rFonts w:hint="default" w:ascii="Times New Roman" w:hAnsi="Times New Roman" w:eastAsia="仿宋" w:cs="Times New Roman"/>
        </w:rPr>
      </w:pPr>
      <w:r>
        <w:rPr>
          <w:rFonts w:hint="default" w:ascii="Times New Roman" w:hAnsi="Times New Roman" w:eastAsia="仿宋" w:cs="Times New Roman"/>
          <w:lang w:val="en-US"/>
        </w:rPr>
        <mc:AlternateContent>
          <mc:Choice Requires="wps">
            <w:drawing>
              <wp:anchor distT="0" distB="0" distL="114300" distR="114300" simplePos="0" relativeHeight="1024" behindDoc="0" locked="0" layoutInCell="1" allowOverlap="1">
                <wp:simplePos x="0" y="0"/>
                <wp:positionH relativeFrom="column">
                  <wp:posOffset>3728085</wp:posOffset>
                </wp:positionH>
                <wp:positionV relativeFrom="paragraph">
                  <wp:posOffset>924560</wp:posOffset>
                </wp:positionV>
                <wp:extent cx="967740" cy="365760"/>
                <wp:effectExtent l="447675" t="341630" r="13335" b="16510"/>
                <wp:wrapNone/>
                <wp:docPr id="2" name="自选图形 38"/>
                <wp:cNvGraphicFramePr/>
                <a:graphic xmlns:a="http://schemas.openxmlformats.org/drawingml/2006/main">
                  <a:graphicData uri="http://schemas.microsoft.com/office/word/2010/wordprocessingShape">
                    <wps:wsp>
                      <wps:cNvSpPr/>
                      <wps:spPr>
                        <a:xfrm>
                          <a:off x="0" y="0"/>
                          <a:ext cx="967740" cy="365760"/>
                        </a:xfrm>
                        <a:prstGeom prst="wedgeRectCallout">
                          <a:avLst>
                            <a:gd name="adj1" fmla="val -92583"/>
                            <a:gd name="adj2" fmla="val -138370"/>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auto"/>
                              <w:ind w:firstLine="0" w:firstLineChars="0"/>
                              <w:rPr>
                                <w:sz w:val="24"/>
                                <w:szCs w:val="18"/>
                              </w:rPr>
                            </w:pPr>
                            <w:r>
                              <w:rPr>
                                <w:rFonts w:hint="eastAsia"/>
                                <w:sz w:val="24"/>
                                <w:szCs w:val="18"/>
                              </w:rPr>
                              <w:t>试点区范围</w:t>
                            </w:r>
                          </w:p>
                        </w:txbxContent>
                      </wps:txbx>
                      <wps:bodyPr upright="1"/>
                    </wps:wsp>
                  </a:graphicData>
                </a:graphic>
              </wp:anchor>
            </w:drawing>
          </mc:Choice>
          <mc:Fallback>
            <w:pict>
              <v:shape id="自选图形 38" o:spid="_x0000_s1026" o:spt="61" type="#_x0000_t61" style="position:absolute;left:0pt;margin-left:293.55pt;margin-top:72.8pt;height:28.8pt;width:76.2pt;z-index:1024;mso-width-relative:page;mso-height-relative:page;" fillcolor="#FFFFFF" filled="t" stroked="t" coordsize="21600,21600" o:gfxdata="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jJX/&#10;p9oAAAALAQAADwAAAAAAAAABACAAAAAiAAAAZHJzL2Rvd25yZXYueG1sUEsBAhQAFAAAAAgAh07i&#10;QFsUYXcgAgAAQQQAAA4AAAAAAAAAAQAgAAAAKQEAAGRycy9lMm9Eb2MueG1sUEsFBgAAAAAGAAYA&#10;WQEAALsFAAAAAA==&#10;" adj="-9198,-19088">
                <v:fill on="t" focussize="0,0"/>
                <v:stroke color="#000000" joinstyle="miter"/>
                <v:imagedata o:title=""/>
                <o:lock v:ext="edit" aspectratio="f"/>
                <v:textbox>
                  <w:txbxContent>
                    <w:p>
                      <w:pPr>
                        <w:adjustRightInd w:val="0"/>
                        <w:snapToGrid w:val="0"/>
                        <w:spacing w:line="240" w:lineRule="auto"/>
                        <w:ind w:firstLine="0" w:firstLineChars="0"/>
                        <w:rPr>
                          <w:sz w:val="24"/>
                          <w:szCs w:val="18"/>
                        </w:rPr>
                      </w:pPr>
                      <w:r>
                        <w:rPr>
                          <w:rFonts w:hint="eastAsia"/>
                          <w:sz w:val="24"/>
                          <w:szCs w:val="18"/>
                        </w:rPr>
                        <w:t>试点区范围</w:t>
                      </w:r>
                    </w:p>
                  </w:txbxContent>
                </v:textbox>
              </v:shape>
            </w:pict>
          </mc:Fallback>
        </mc:AlternateContent>
      </w:r>
      <w:r>
        <w:rPr>
          <w:rFonts w:hint="default" w:ascii="Times New Roman" w:hAnsi="Times New Roman" w:eastAsia="仿宋" w:cs="Times New Roman"/>
          <w:lang w:val="en-US"/>
        </w:rPr>
        <w:drawing>
          <wp:inline distT="0" distB="0" distL="114300" distR="114300">
            <wp:extent cx="3790950" cy="4010025"/>
            <wp:effectExtent l="0" t="0" r="0"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tretch>
                      <a:fillRect/>
                    </a:stretch>
                  </pic:blipFill>
                  <pic:spPr>
                    <a:xfrm>
                      <a:off x="0" y="0"/>
                      <a:ext cx="3790950" cy="4010025"/>
                    </a:xfrm>
                    <a:prstGeom prst="rect">
                      <a:avLst/>
                    </a:prstGeom>
                    <a:noFill/>
                    <a:ln>
                      <a:noFill/>
                    </a:ln>
                  </pic:spPr>
                </pic:pic>
              </a:graphicData>
            </a:graphic>
          </wp:inline>
        </w:drawing>
      </w:r>
    </w:p>
    <w:p>
      <w:pPr>
        <w:pStyle w:val="91"/>
        <w:adjustRightInd w:val="0"/>
        <w:snapToGrid w:val="0"/>
        <w:spacing w:before="381" w:beforeLines="100" w:after="381" w:afterLines="100"/>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图2-2  试点区域及周边功能定位</w:t>
      </w:r>
    </w:p>
    <w:p>
      <w:pPr>
        <w:pStyle w:val="44"/>
        <w:keepNext w:val="0"/>
        <w:keepLines w:val="0"/>
        <w:pageBreakBefore w:val="0"/>
        <w:widowControl w:val="0"/>
        <w:kinsoku/>
        <w:wordWrap/>
        <w:overflowPunct/>
        <w:topLinePunct w:val="0"/>
        <w:autoSpaceDE/>
        <w:autoSpaceDN/>
        <w:bidi w:val="0"/>
        <w:adjustRightInd w:val="0"/>
        <w:snapToGrid w:val="0"/>
        <w:spacing w:line="579" w:lineRule="exact"/>
        <w:ind w:firstLine="640" w:firstLineChars="200"/>
        <w:textAlignment w:val="auto"/>
        <w:rPr>
          <w:rFonts w:hint="default" w:ascii="Times New Roman" w:hAnsi="Times New Roman" w:eastAsia="楷体" w:cs="Times New Roman"/>
          <w:b w:val="0"/>
        </w:rPr>
      </w:pPr>
      <w:bookmarkStart w:id="39" w:name="_Toc23253629"/>
      <w:r>
        <w:rPr>
          <w:rFonts w:hint="default" w:ascii="Times New Roman" w:hAnsi="Times New Roman" w:eastAsia="楷体" w:cs="Times New Roman"/>
          <w:b w:val="0"/>
        </w:rPr>
        <w:t>（三）区域用地规划</w:t>
      </w:r>
      <w:bookmarkEnd w:id="39"/>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试点区建设用地面积约3平方公里，以工业用地和居住、商住用地为主。其中，工业用地1.16平方公里，占建设用地约38.67%；居住用地0.63平方公里，占建设用地的21.00%；商业服务业用地0.49平方公里，占建设用地的16.33%；公共服务及公共设施用地0.28平方公里，</w:t>
      </w:r>
      <w:bookmarkStart w:id="40" w:name="_Hlk21874143"/>
      <w:r>
        <w:rPr>
          <w:rFonts w:hint="default" w:ascii="Times New Roman" w:hAnsi="Times New Roman" w:cs="Times New Roman"/>
          <w:sz w:val="32"/>
          <w:szCs w:val="32"/>
        </w:rPr>
        <w:t>占建设用地的</w:t>
      </w:r>
      <w:bookmarkEnd w:id="40"/>
      <w:r>
        <w:rPr>
          <w:rFonts w:hint="default" w:ascii="Times New Roman" w:hAnsi="Times New Roman" w:cs="Times New Roman"/>
          <w:sz w:val="32"/>
          <w:szCs w:val="32"/>
        </w:rPr>
        <w:t>9.33%；其他用地包括道路交通用地、广场用地、防护绿地等，面积0.44平方公里，占建设用地的14.67%。试点区域用地规划图见图2-3。</w:t>
      </w:r>
    </w:p>
    <w:p>
      <w:pPr>
        <w:ind w:firstLine="0" w:firstLineChars="0"/>
        <w:jc w:val="center"/>
        <w:rPr>
          <w:rFonts w:hint="default" w:ascii="Times New Roman" w:hAnsi="Times New Roman" w:eastAsia="仿宋" w:cs="Times New Roman"/>
        </w:rPr>
      </w:pPr>
      <w:r>
        <w:rPr>
          <w:rFonts w:hint="default" w:ascii="Times New Roman" w:hAnsi="Times New Roman" w:eastAsia="仿宋" w:cs="Times New Roman"/>
        </w:rPr>
        <w:drawing>
          <wp:inline distT="0" distB="0" distL="114300" distR="114300">
            <wp:extent cx="4371975" cy="4381500"/>
            <wp:effectExtent l="0" t="0" r="9525"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3"/>
                    <a:stretch>
                      <a:fillRect/>
                    </a:stretch>
                  </pic:blipFill>
                  <pic:spPr>
                    <a:xfrm>
                      <a:off x="0" y="0"/>
                      <a:ext cx="4371975" cy="4381500"/>
                    </a:xfrm>
                    <a:prstGeom prst="rect">
                      <a:avLst/>
                    </a:prstGeom>
                    <a:noFill/>
                    <a:ln>
                      <a:noFill/>
                    </a:ln>
                  </pic:spPr>
                </pic:pic>
              </a:graphicData>
            </a:graphic>
          </wp:inline>
        </w:drawing>
      </w:r>
    </w:p>
    <w:p>
      <w:pPr>
        <w:pStyle w:val="91"/>
        <w:adjustRightInd w:val="0"/>
        <w:snapToGrid w:val="0"/>
        <w:spacing w:before="381" w:beforeLines="100" w:after="381" w:afterLines="100"/>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图2-3  试点区域用地性质规划图</w:t>
      </w:r>
    </w:p>
    <w:p>
      <w:pPr>
        <w:pStyle w:val="44"/>
        <w:keepNext w:val="0"/>
        <w:keepLines w:val="0"/>
        <w:pageBreakBefore w:val="0"/>
        <w:widowControl w:val="0"/>
        <w:kinsoku/>
        <w:wordWrap/>
        <w:overflowPunct/>
        <w:topLinePunct w:val="0"/>
        <w:autoSpaceDE/>
        <w:autoSpaceDN/>
        <w:bidi w:val="0"/>
        <w:adjustRightInd w:val="0"/>
        <w:snapToGrid w:val="0"/>
        <w:spacing w:line="579" w:lineRule="exact"/>
        <w:ind w:firstLine="640" w:firstLineChars="200"/>
        <w:textAlignment w:val="auto"/>
        <w:rPr>
          <w:rFonts w:hint="default" w:ascii="Times New Roman" w:hAnsi="Times New Roman" w:eastAsia="楷体" w:cs="Times New Roman"/>
          <w:b w:val="0"/>
        </w:rPr>
      </w:pPr>
      <w:bookmarkStart w:id="41" w:name="_Toc23253630"/>
      <w:r>
        <w:rPr>
          <w:rFonts w:hint="default" w:ascii="Times New Roman" w:hAnsi="Times New Roman" w:eastAsia="楷体" w:cs="Times New Roman"/>
          <w:b w:val="0"/>
        </w:rPr>
        <w:t>（四）已知重点建设项目情况</w:t>
      </w:r>
      <w:bookmarkEnd w:id="41"/>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试点区域主要为产业建设用地，入驻园区的用户主要有紧商科技（嘉兴）股份有限公司、浙江泓智新材料有限公司等，现状仍处在开发建设中。重点建设项目明细如表2-1所示，重点建设项目位置分布图如图2-4所示。</w:t>
      </w:r>
    </w:p>
    <w:p>
      <w:pPr>
        <w:ind w:firstLine="560"/>
        <w:rPr>
          <w:rFonts w:hint="default" w:ascii="Times New Roman" w:hAnsi="Times New Roman" w:eastAsia="仿宋" w:cs="Times New Roman"/>
        </w:rPr>
        <w:sectPr>
          <w:headerReference r:id="rId6" w:type="default"/>
          <w:footerReference r:id="rId7" w:type="default"/>
          <w:pgSz w:w="11907" w:h="16840"/>
          <w:pgMar w:top="1418" w:right="1418" w:bottom="1418" w:left="1701" w:header="964" w:footer="680" w:gutter="0"/>
          <w:cols w:space="720" w:num="1"/>
          <w:docGrid w:type="lines" w:linePitch="381" w:charSpace="0"/>
        </w:sectPr>
      </w:pPr>
    </w:p>
    <w:p>
      <w:pPr>
        <w:pStyle w:val="91"/>
        <w:adjustRightInd w:val="0"/>
        <w:snapToGrid w:val="0"/>
        <w:spacing w:before="381" w:beforeLines="100" w:after="190" w:afterLines="50"/>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表2-1 试点区域重点建设项目明细表</w:t>
      </w:r>
    </w:p>
    <w:tbl>
      <w:tblPr>
        <w:tblStyle w:val="29"/>
        <w:tblW w:w="14034"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402"/>
        <w:gridCol w:w="1314"/>
        <w:gridCol w:w="1260"/>
        <w:gridCol w:w="7682"/>
        <w:gridCol w:w="1316"/>
        <w:gridCol w:w="1030"/>
        <w:gridCol w:w="103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820" w:hRule="atLeast"/>
          <w:tblHeader/>
          <w:jc w:val="center"/>
        </w:trPr>
        <w:tc>
          <w:tcPr>
            <w:tcW w:w="402"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序号</w:t>
            </w:r>
          </w:p>
        </w:tc>
        <w:tc>
          <w:tcPr>
            <w:tcW w:w="1314"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企业名称</w:t>
            </w:r>
          </w:p>
        </w:tc>
        <w:tc>
          <w:tcPr>
            <w:tcW w:w="1260"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建设（技改）名称</w:t>
            </w:r>
          </w:p>
        </w:tc>
        <w:tc>
          <w:tcPr>
            <w:tcW w:w="7682"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主要建设内容及规模</w:t>
            </w:r>
          </w:p>
        </w:tc>
        <w:tc>
          <w:tcPr>
            <w:tcW w:w="1316"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总用地面积（平方米）</w:t>
            </w:r>
          </w:p>
        </w:tc>
        <w:tc>
          <w:tcPr>
            <w:tcW w:w="1030"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投产时间</w:t>
            </w:r>
          </w:p>
        </w:tc>
        <w:tc>
          <w:tcPr>
            <w:tcW w:w="1030"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预计报装容量（千伏安）</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10" w:hRule="atLeast"/>
          <w:jc w:val="center"/>
        </w:trPr>
        <w:tc>
          <w:tcPr>
            <w:tcW w:w="402"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314"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海盐凯特机械设备有限公司</w:t>
            </w:r>
          </w:p>
        </w:tc>
        <w:tc>
          <w:tcPr>
            <w:tcW w:w="1260"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建造标准厂房建设项目</w:t>
            </w:r>
          </w:p>
        </w:tc>
        <w:tc>
          <w:tcPr>
            <w:tcW w:w="7682" w:type="dxa"/>
            <w:shd w:val="clear" w:color="auto" w:fill="auto"/>
            <w:noWrap/>
            <w:vAlign w:val="center"/>
          </w:tcPr>
          <w:p>
            <w:pPr>
              <w:widowControl/>
              <w:spacing w:line="240" w:lineRule="auto"/>
              <w:ind w:firstLine="0" w:firstLineChars="0"/>
              <w:jc w:val="left"/>
              <w:rPr>
                <w:rFonts w:hint="default" w:ascii="Times New Roman" w:hAnsi="Times New Roman" w:eastAsia="宋体" w:cs="Times New Roman"/>
                <w:kern w:val="0"/>
                <w:sz w:val="21"/>
                <w:szCs w:val="21"/>
              </w:rPr>
            </w:pPr>
            <w:r>
              <w:rPr>
                <w:rFonts w:hint="eastAsia" w:eastAsia="宋体" w:cs="Times New Roman"/>
                <w:kern w:val="0"/>
                <w:sz w:val="21"/>
                <w:szCs w:val="21"/>
                <w:lang w:val="en-US" w:eastAsia="zh-CN"/>
              </w:rPr>
              <w:t xml:space="preserve">    </w:t>
            </w:r>
            <w:r>
              <w:rPr>
                <w:rFonts w:hint="default" w:ascii="Times New Roman" w:hAnsi="Times New Roman" w:eastAsia="宋体" w:cs="Times New Roman"/>
                <w:kern w:val="0"/>
                <w:sz w:val="21"/>
                <w:szCs w:val="21"/>
              </w:rPr>
              <w:t>项目总用地面积55,662.00平方米，项目建筑面积45,000.00平方米，其中：新增用地面积55,662.00平方米。</w:t>
            </w:r>
          </w:p>
        </w:tc>
        <w:tc>
          <w:tcPr>
            <w:tcW w:w="1316"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55662</w:t>
            </w:r>
          </w:p>
        </w:tc>
        <w:tc>
          <w:tcPr>
            <w:tcW w:w="1030"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2019.8</w:t>
            </w:r>
          </w:p>
        </w:tc>
        <w:tc>
          <w:tcPr>
            <w:tcW w:w="1030"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4000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1090" w:hRule="atLeast"/>
          <w:jc w:val="center"/>
        </w:trPr>
        <w:tc>
          <w:tcPr>
            <w:tcW w:w="402"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1314"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浙江博凡动力装备股份有限公司</w:t>
            </w:r>
          </w:p>
        </w:tc>
        <w:tc>
          <w:tcPr>
            <w:tcW w:w="1260"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年产7000吨通用设备易地技改项目</w:t>
            </w:r>
          </w:p>
        </w:tc>
        <w:tc>
          <w:tcPr>
            <w:tcW w:w="7682" w:type="dxa"/>
            <w:shd w:val="clear" w:color="auto" w:fill="auto"/>
            <w:noWrap/>
            <w:vAlign w:val="center"/>
          </w:tcPr>
          <w:p>
            <w:pPr>
              <w:widowControl/>
              <w:spacing w:line="240" w:lineRule="auto"/>
              <w:ind w:firstLine="0" w:firstLineChars="0"/>
              <w:jc w:val="left"/>
              <w:rPr>
                <w:rFonts w:hint="default" w:ascii="Times New Roman" w:hAnsi="Times New Roman" w:eastAsia="宋体" w:cs="Times New Roman"/>
                <w:kern w:val="0"/>
                <w:sz w:val="21"/>
                <w:szCs w:val="21"/>
              </w:rPr>
            </w:pPr>
            <w:r>
              <w:rPr>
                <w:rFonts w:hint="eastAsia" w:eastAsia="宋体" w:cs="Times New Roman"/>
                <w:kern w:val="0"/>
                <w:sz w:val="21"/>
                <w:szCs w:val="21"/>
                <w:lang w:val="en-US" w:eastAsia="zh-CN"/>
              </w:rPr>
              <w:t xml:space="preserve">    </w:t>
            </w:r>
            <w:r>
              <w:rPr>
                <w:rFonts w:hint="default" w:ascii="Times New Roman" w:hAnsi="Times New Roman" w:eastAsia="宋体" w:cs="Times New Roman"/>
                <w:kern w:val="0"/>
                <w:sz w:val="21"/>
                <w:szCs w:val="21"/>
              </w:rPr>
              <w:t>项目主要采用钢材为原料，经下料、成型、脱脂、除锈、酸洗（入管网）、焊接、检验探伤、热处理、坡口加工、组装、无损探伤、喷砂、除锈、喷漆、充氮封存、包装等技术或工艺，项目建成后形成年产通用设备7000吨的生产能力，产品具有质量优、品质好特点，实现销售收入22000万元，利税2748万元，项目新增一台630千伏安变压器，年用电量176.74万度，年用水量0.75万吨,年用乙炔量16300立方米，年氧气用量26700立方米，年氮气用量43850立方米。</w:t>
            </w:r>
          </w:p>
        </w:tc>
        <w:tc>
          <w:tcPr>
            <w:tcW w:w="1316"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46042</w:t>
            </w:r>
          </w:p>
        </w:tc>
        <w:tc>
          <w:tcPr>
            <w:tcW w:w="1030"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2019.3</w:t>
            </w:r>
          </w:p>
        </w:tc>
        <w:tc>
          <w:tcPr>
            <w:tcW w:w="1030"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630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10" w:hRule="atLeast"/>
          <w:jc w:val="center"/>
        </w:trPr>
        <w:tc>
          <w:tcPr>
            <w:tcW w:w="402"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1314"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浙江泓智新材料有限公司</w:t>
            </w:r>
          </w:p>
        </w:tc>
        <w:tc>
          <w:tcPr>
            <w:tcW w:w="1260"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年产700万米高分子移动防洪板桩建设项目</w:t>
            </w:r>
          </w:p>
        </w:tc>
        <w:tc>
          <w:tcPr>
            <w:tcW w:w="7682" w:type="dxa"/>
            <w:shd w:val="clear" w:color="auto" w:fill="auto"/>
            <w:noWrap/>
            <w:vAlign w:val="center"/>
          </w:tcPr>
          <w:p>
            <w:pPr>
              <w:widowControl/>
              <w:spacing w:line="240" w:lineRule="auto"/>
              <w:ind w:firstLine="0" w:firstLineChars="0"/>
              <w:jc w:val="left"/>
              <w:rPr>
                <w:rFonts w:hint="default" w:ascii="Times New Roman" w:hAnsi="Times New Roman" w:eastAsia="宋体" w:cs="Times New Roman"/>
                <w:kern w:val="0"/>
                <w:sz w:val="21"/>
                <w:szCs w:val="21"/>
              </w:rPr>
            </w:pPr>
            <w:r>
              <w:rPr>
                <w:rFonts w:hint="eastAsia" w:eastAsia="宋体" w:cs="Times New Roman"/>
                <w:kern w:val="0"/>
                <w:sz w:val="21"/>
                <w:szCs w:val="21"/>
                <w:lang w:val="en-US" w:eastAsia="zh-CN"/>
              </w:rPr>
              <w:t xml:space="preserve">    </w:t>
            </w:r>
            <w:r>
              <w:rPr>
                <w:rFonts w:hint="default" w:ascii="Times New Roman" w:hAnsi="Times New Roman" w:eastAsia="宋体" w:cs="Times New Roman"/>
                <w:kern w:val="0"/>
                <w:sz w:val="21"/>
                <w:szCs w:val="21"/>
              </w:rPr>
              <w:t>项目主要采用聚甲基乙撑碳酸酯高分子塑料为原料，经挤压成型、冷却定型、切割等技术或工艺，购置挤出机、自动牵引机、自动切割机等国产设备。项目建成后形成年产高分子移动防洪板桩700万米的生产能力，产品具有材质轻、强度高、止水性能好、抗腐蚀、耐候性强、使用寿命长、可重复使用、可回收再利用等特点，实现销售收入210000万元，利税20985万元，项目新增4台S13-M-2500/20型变压器，年用电量4978.03万度，年用水量6.48万吨。</w:t>
            </w:r>
          </w:p>
        </w:tc>
        <w:tc>
          <w:tcPr>
            <w:tcW w:w="1316"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79322</w:t>
            </w:r>
          </w:p>
        </w:tc>
        <w:tc>
          <w:tcPr>
            <w:tcW w:w="1030"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2019.3</w:t>
            </w:r>
          </w:p>
        </w:tc>
        <w:tc>
          <w:tcPr>
            <w:tcW w:w="1030"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10000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10" w:hRule="atLeast"/>
          <w:jc w:val="center"/>
        </w:trPr>
        <w:tc>
          <w:tcPr>
            <w:tcW w:w="402"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w:t>
            </w:r>
          </w:p>
        </w:tc>
        <w:tc>
          <w:tcPr>
            <w:tcW w:w="1314"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海盐欧亚特汽配有限公司</w:t>
            </w:r>
          </w:p>
        </w:tc>
        <w:tc>
          <w:tcPr>
            <w:tcW w:w="1260"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年产500万片碳纤维刹车片技改项目</w:t>
            </w:r>
          </w:p>
        </w:tc>
        <w:tc>
          <w:tcPr>
            <w:tcW w:w="7682" w:type="dxa"/>
            <w:shd w:val="clear" w:color="auto" w:fill="auto"/>
            <w:noWrap/>
            <w:vAlign w:val="center"/>
          </w:tcPr>
          <w:p>
            <w:pPr>
              <w:widowControl/>
              <w:spacing w:line="240" w:lineRule="auto"/>
              <w:ind w:firstLine="0" w:firstLineChars="0"/>
              <w:jc w:val="left"/>
              <w:rPr>
                <w:rFonts w:hint="default" w:ascii="Times New Roman" w:hAnsi="Times New Roman" w:eastAsia="宋体" w:cs="Times New Roman"/>
                <w:kern w:val="0"/>
                <w:sz w:val="21"/>
                <w:szCs w:val="21"/>
              </w:rPr>
            </w:pPr>
            <w:r>
              <w:rPr>
                <w:rFonts w:hint="eastAsia" w:eastAsia="宋体" w:cs="Times New Roman"/>
                <w:kern w:val="0"/>
                <w:sz w:val="21"/>
                <w:szCs w:val="21"/>
                <w:lang w:val="en-US" w:eastAsia="zh-CN"/>
              </w:rPr>
              <w:t xml:space="preserve">    </w:t>
            </w:r>
            <w:r>
              <w:rPr>
                <w:rFonts w:hint="default" w:ascii="Times New Roman" w:hAnsi="Times New Roman" w:eastAsia="宋体" w:cs="Times New Roman"/>
                <w:kern w:val="0"/>
                <w:sz w:val="21"/>
                <w:szCs w:val="21"/>
              </w:rPr>
              <w:t>项目主要采用碳纤维、硼改性耐高温树脂、酚醛树脂、摩擦粉、芳纶纤维、轮胎粉等为原料，经配料、拌和、压制成型、固化、性能试验、磨外弧、钻孔、磨内弧、印字、包装等技术或工艺，购置500T四柱万能液压机、全自动多孔钻床、全自动配料称重系统、外弧磨床流水线等国产设备。项目建成后形成年产碳纤维刹车片500万片的生产能力，产品具有质量优、品质好等特点，实现销售收入10000万元，利税3370万元，项目新增一台630千伏安变压器，年用电量380万度，年用水量0.2万吨。</w:t>
            </w:r>
          </w:p>
        </w:tc>
        <w:tc>
          <w:tcPr>
            <w:tcW w:w="1316"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15715</w:t>
            </w:r>
          </w:p>
        </w:tc>
        <w:tc>
          <w:tcPr>
            <w:tcW w:w="1030"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2019.3</w:t>
            </w:r>
          </w:p>
        </w:tc>
        <w:tc>
          <w:tcPr>
            <w:tcW w:w="1030"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630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10" w:hRule="atLeast"/>
          <w:jc w:val="center"/>
        </w:trPr>
        <w:tc>
          <w:tcPr>
            <w:tcW w:w="402"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p>
        </w:tc>
        <w:tc>
          <w:tcPr>
            <w:tcW w:w="1314"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紧商科技（嘉兴）股份有限公司</w:t>
            </w:r>
          </w:p>
        </w:tc>
        <w:tc>
          <w:tcPr>
            <w:tcW w:w="1260"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总部经济与核级不锈钢产业应用暨海盐紧固件转型升级示范园建设项目</w:t>
            </w:r>
          </w:p>
        </w:tc>
        <w:tc>
          <w:tcPr>
            <w:tcW w:w="7682" w:type="dxa"/>
            <w:shd w:val="clear" w:color="auto" w:fill="auto"/>
            <w:noWrap/>
            <w:vAlign w:val="center"/>
          </w:tcPr>
          <w:p>
            <w:pPr>
              <w:widowControl/>
              <w:spacing w:line="240" w:lineRule="auto"/>
              <w:ind w:firstLine="0" w:firstLineChars="0"/>
              <w:jc w:val="left"/>
              <w:rPr>
                <w:rFonts w:hint="default" w:ascii="Times New Roman" w:hAnsi="Times New Roman" w:eastAsia="宋体" w:cs="Times New Roman"/>
                <w:kern w:val="0"/>
                <w:sz w:val="21"/>
                <w:szCs w:val="21"/>
              </w:rPr>
            </w:pPr>
            <w:r>
              <w:rPr>
                <w:rFonts w:hint="eastAsia" w:eastAsia="宋体" w:cs="Times New Roman"/>
                <w:kern w:val="0"/>
                <w:sz w:val="21"/>
                <w:szCs w:val="21"/>
                <w:lang w:val="en-US" w:eastAsia="zh-CN"/>
              </w:rPr>
              <w:t xml:space="preserve">    </w:t>
            </w:r>
            <w:r>
              <w:rPr>
                <w:rFonts w:hint="default" w:ascii="Times New Roman" w:hAnsi="Times New Roman" w:eastAsia="宋体" w:cs="Times New Roman"/>
                <w:kern w:val="0"/>
                <w:sz w:val="21"/>
                <w:szCs w:val="21"/>
              </w:rPr>
              <w:t>项目建造标准厂房及配套用房78000平方米。</w:t>
            </w:r>
          </w:p>
        </w:tc>
        <w:tc>
          <w:tcPr>
            <w:tcW w:w="1316"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87723</w:t>
            </w:r>
          </w:p>
        </w:tc>
        <w:tc>
          <w:tcPr>
            <w:tcW w:w="1030"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2019.8</w:t>
            </w:r>
          </w:p>
        </w:tc>
        <w:tc>
          <w:tcPr>
            <w:tcW w:w="1030"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7000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10" w:hRule="atLeast"/>
          <w:jc w:val="center"/>
        </w:trPr>
        <w:tc>
          <w:tcPr>
            <w:tcW w:w="402"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w:t>
            </w:r>
          </w:p>
        </w:tc>
        <w:tc>
          <w:tcPr>
            <w:tcW w:w="1314"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嘉兴裕文机电科技有限公司</w:t>
            </w:r>
          </w:p>
        </w:tc>
        <w:tc>
          <w:tcPr>
            <w:tcW w:w="1260"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年产2000台工业机器人建设项目</w:t>
            </w:r>
          </w:p>
        </w:tc>
        <w:tc>
          <w:tcPr>
            <w:tcW w:w="7682" w:type="dxa"/>
            <w:shd w:val="clear" w:color="auto" w:fill="auto"/>
            <w:noWrap/>
            <w:vAlign w:val="center"/>
          </w:tcPr>
          <w:p>
            <w:pPr>
              <w:widowControl/>
              <w:spacing w:line="240" w:lineRule="auto"/>
              <w:ind w:firstLine="0" w:firstLineChars="0"/>
              <w:jc w:val="left"/>
              <w:rPr>
                <w:rFonts w:hint="default" w:ascii="Times New Roman" w:hAnsi="Times New Roman" w:eastAsia="宋体" w:cs="Times New Roman"/>
                <w:kern w:val="0"/>
                <w:sz w:val="21"/>
                <w:szCs w:val="21"/>
              </w:rPr>
            </w:pPr>
            <w:r>
              <w:rPr>
                <w:rFonts w:hint="eastAsia" w:eastAsia="宋体" w:cs="Times New Roman"/>
                <w:kern w:val="0"/>
                <w:sz w:val="21"/>
                <w:szCs w:val="21"/>
                <w:lang w:val="en-US" w:eastAsia="zh-CN"/>
              </w:rPr>
              <w:t xml:space="preserve">    </w:t>
            </w:r>
            <w:r>
              <w:rPr>
                <w:rFonts w:hint="default" w:ascii="Times New Roman" w:hAnsi="Times New Roman" w:eastAsia="宋体" w:cs="Times New Roman"/>
                <w:kern w:val="0"/>
                <w:sz w:val="21"/>
                <w:szCs w:val="21"/>
              </w:rPr>
              <w:t>项目主要采用铸铁、铝锭、圆钢、钢板、铝材等为原料，经压铸成型（外协）、精加工、喷塑（外协）、装配、检测、包装、入库等技术或工艺，购置加工中心、数控车床、铣床、钻床、磨床、三坐标测量仪等国产设备。项目建成后形成年产工业机器人2000台的生产能力，产品具有质量优、品质好等特点，实现销售收入12000万元，利税916万元，项目新增1台250千伏安变压器，年用电量177.84万度，年用水量0.15万吨。</w:t>
            </w:r>
          </w:p>
        </w:tc>
        <w:tc>
          <w:tcPr>
            <w:tcW w:w="1316"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13403</w:t>
            </w:r>
          </w:p>
        </w:tc>
        <w:tc>
          <w:tcPr>
            <w:tcW w:w="1030"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2019.9</w:t>
            </w:r>
          </w:p>
        </w:tc>
        <w:tc>
          <w:tcPr>
            <w:tcW w:w="1030"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10" w:hRule="atLeast"/>
          <w:jc w:val="center"/>
        </w:trPr>
        <w:tc>
          <w:tcPr>
            <w:tcW w:w="402"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w:t>
            </w:r>
          </w:p>
        </w:tc>
        <w:tc>
          <w:tcPr>
            <w:tcW w:w="1314"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嘉兴迈思特管件制造有限公司</w:t>
            </w:r>
          </w:p>
        </w:tc>
        <w:tc>
          <w:tcPr>
            <w:tcW w:w="1260"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年产800万件军工管件及风力发电管件技改项目</w:t>
            </w:r>
          </w:p>
        </w:tc>
        <w:tc>
          <w:tcPr>
            <w:tcW w:w="7682" w:type="dxa"/>
            <w:shd w:val="clear" w:color="auto" w:fill="auto"/>
            <w:noWrap/>
            <w:vAlign w:val="center"/>
          </w:tcPr>
          <w:p>
            <w:pPr>
              <w:widowControl/>
              <w:spacing w:line="240" w:lineRule="auto"/>
              <w:ind w:firstLine="0" w:firstLineChars="0"/>
              <w:jc w:val="left"/>
              <w:rPr>
                <w:rFonts w:hint="default" w:ascii="Times New Roman" w:hAnsi="Times New Roman" w:eastAsia="宋体" w:cs="Times New Roman"/>
                <w:kern w:val="0"/>
                <w:sz w:val="21"/>
                <w:szCs w:val="21"/>
              </w:rPr>
            </w:pPr>
            <w:r>
              <w:rPr>
                <w:rFonts w:hint="eastAsia" w:eastAsia="宋体" w:cs="Times New Roman"/>
                <w:kern w:val="0"/>
                <w:sz w:val="21"/>
                <w:szCs w:val="21"/>
                <w:lang w:val="en-US" w:eastAsia="zh-CN"/>
              </w:rPr>
              <w:t xml:space="preserve">    </w:t>
            </w:r>
            <w:r>
              <w:rPr>
                <w:rFonts w:hint="default" w:ascii="Times New Roman" w:hAnsi="Times New Roman" w:eastAsia="宋体" w:cs="Times New Roman"/>
                <w:kern w:val="0"/>
                <w:sz w:val="21"/>
                <w:szCs w:val="21"/>
              </w:rPr>
              <w:t>项目主要采用钢材、铜材、不锈钢等为原料，经冷拔下料、热锻毛坯、镦头、数控加工、弯管、焊接、气密性检测、镀锌（外协）、成品检验、包装等技术或工艺，购置弯管机、数控车床、数控加工中心、数控组合机床、全自动红冲一体机等国产设备。项目建成后形成年产军工管件及风力发电管件800万件的生产能力，产品具有精度高、耐酸碱腐蚀等特点，实现销售收入13780万元，利税840万元。项目新增1台800千伏安变压器，年用电量596.48万度，年用水量0.234万吨。</w:t>
            </w:r>
          </w:p>
        </w:tc>
        <w:tc>
          <w:tcPr>
            <w:tcW w:w="1316" w:type="dxa"/>
            <w:shd w:val="clear" w:color="auto" w:fill="auto"/>
            <w:vAlign w:val="center"/>
          </w:tcPr>
          <w:p>
            <w:pPr>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13403</w:t>
            </w:r>
          </w:p>
        </w:tc>
        <w:tc>
          <w:tcPr>
            <w:tcW w:w="1030" w:type="dxa"/>
            <w:shd w:val="clear" w:color="auto" w:fill="auto"/>
            <w:vAlign w:val="center"/>
          </w:tcPr>
          <w:p>
            <w:pPr>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2020.2</w:t>
            </w:r>
          </w:p>
        </w:tc>
        <w:tc>
          <w:tcPr>
            <w:tcW w:w="1030" w:type="dxa"/>
            <w:vAlign w:val="center"/>
          </w:tcPr>
          <w:p>
            <w:pPr>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10" w:hRule="atLeast"/>
          <w:jc w:val="center"/>
        </w:trPr>
        <w:tc>
          <w:tcPr>
            <w:tcW w:w="402"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w:t>
            </w:r>
          </w:p>
        </w:tc>
        <w:tc>
          <w:tcPr>
            <w:tcW w:w="1314"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浙江核普工程科技有限公司</w:t>
            </w:r>
          </w:p>
        </w:tc>
        <w:tc>
          <w:tcPr>
            <w:tcW w:w="1260"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年产1000套智能模板设备建设项目</w:t>
            </w:r>
          </w:p>
        </w:tc>
        <w:tc>
          <w:tcPr>
            <w:tcW w:w="7682" w:type="dxa"/>
            <w:shd w:val="clear" w:color="auto" w:fill="auto"/>
            <w:noWrap/>
            <w:vAlign w:val="center"/>
          </w:tcPr>
          <w:p>
            <w:pPr>
              <w:widowControl/>
              <w:spacing w:line="240" w:lineRule="auto"/>
              <w:ind w:firstLine="0" w:firstLineChars="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项目主要采用钢材、水性油漆等为原料，经切割、成型、焊接、抛丸、水性漆涂装、组装调试等技术或工艺，购置2000瓦激光切割机、2000瓦激光切管机、三轴液压自动冲压机、剪板机、液压折弯机、高频焊接机、自动物流仓库、AGV移动物料小车、抛丸机、水性漆全密封涂装线等国产设备。项目建成后形成年产1000套智能模板设备的生产能力，产品具有质量优、品质好等特点，实现销售收入10000万元，利税645.1万元。项目新增1台400千伏安变压器，年用电量35万度，年用水量0.24万吨。</w:t>
            </w:r>
          </w:p>
        </w:tc>
        <w:tc>
          <w:tcPr>
            <w:tcW w:w="1316" w:type="dxa"/>
            <w:shd w:val="clear" w:color="auto" w:fill="auto"/>
            <w:vAlign w:val="center"/>
          </w:tcPr>
          <w:p>
            <w:pPr>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9990</w:t>
            </w:r>
          </w:p>
        </w:tc>
        <w:tc>
          <w:tcPr>
            <w:tcW w:w="1030" w:type="dxa"/>
            <w:shd w:val="clear" w:color="auto" w:fill="auto"/>
            <w:vAlign w:val="center"/>
          </w:tcPr>
          <w:p>
            <w:pPr>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2020.3</w:t>
            </w:r>
          </w:p>
        </w:tc>
        <w:tc>
          <w:tcPr>
            <w:tcW w:w="1030" w:type="dxa"/>
            <w:vAlign w:val="center"/>
          </w:tcPr>
          <w:p>
            <w:pPr>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400</w:t>
            </w:r>
          </w:p>
        </w:tc>
      </w:tr>
    </w:tbl>
    <w:p>
      <w:pPr>
        <w:ind w:firstLine="560"/>
        <w:rPr>
          <w:rFonts w:hint="default" w:ascii="Times New Roman" w:hAnsi="Times New Roman" w:eastAsia="仿宋" w:cs="Times New Roman"/>
        </w:rPr>
        <w:sectPr>
          <w:pgSz w:w="16840" w:h="11907" w:orient="landscape"/>
          <w:pgMar w:top="1701" w:right="1418" w:bottom="1418" w:left="1418" w:header="964" w:footer="680" w:gutter="0"/>
          <w:cols w:space="720" w:num="1"/>
          <w:docGrid w:type="lines" w:linePitch="381" w:charSpace="0"/>
        </w:sectPr>
      </w:pPr>
    </w:p>
    <w:p>
      <w:pPr>
        <w:ind w:firstLine="560"/>
        <w:rPr>
          <w:rFonts w:hint="default" w:ascii="Times New Roman" w:hAnsi="Times New Roman" w:eastAsia="仿宋" w:cs="Times New Roman"/>
        </w:rPr>
      </w:pPr>
    </w:p>
    <w:tbl>
      <w:tblPr>
        <w:tblStyle w:val="29"/>
        <w:tblW w:w="8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1"/>
        <w:gridCol w:w="2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0" w:hRule="atLeast"/>
        </w:trPr>
        <w:tc>
          <w:tcPr>
            <w:tcW w:w="6451" w:type="dxa"/>
            <w:vMerge w:val="restart"/>
            <w:shd w:val="clear" w:color="auto" w:fill="auto"/>
          </w:tcPr>
          <w:p>
            <w:pPr>
              <w:adjustRightInd w:val="0"/>
              <w:snapToGrid w:val="0"/>
              <w:ind w:firstLine="0" w:firstLineChars="0"/>
              <w:jc w:val="center"/>
              <w:rPr>
                <w:rFonts w:hint="default" w:ascii="Times New Roman" w:hAnsi="Times New Roman" w:eastAsia="仿宋" w:cs="Times New Roman"/>
              </w:rPr>
            </w:pPr>
            <w:bookmarkStart w:id="42" w:name="OLE_LINK2"/>
            <w:bookmarkStart w:id="43" w:name="OLE_LINK1"/>
            <w:r>
              <w:rPr>
                <w:rFonts w:hint="default" w:ascii="Times New Roman" w:hAnsi="Times New Roman" w:eastAsia="仿宋" w:cs="Times New Roman"/>
              </w:rPr>
              <w:drawing>
                <wp:inline distT="0" distB="0" distL="114300" distR="114300">
                  <wp:extent cx="4124325" cy="4914900"/>
                  <wp:effectExtent l="0" t="0" r="9525" b="0"/>
                  <wp:docPr id="8" name="图片 6" descr="重点建设项目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重点建设项目 Model (1)"/>
                          <pic:cNvPicPr>
                            <a:picLocks noChangeAspect="1"/>
                          </pic:cNvPicPr>
                        </pic:nvPicPr>
                        <pic:blipFill>
                          <a:blip r:embed="rId14"/>
                          <a:srcRect l="5342" t="10503" r="2850" b="12311"/>
                          <a:stretch>
                            <a:fillRect/>
                          </a:stretch>
                        </pic:blipFill>
                        <pic:spPr>
                          <a:xfrm>
                            <a:off x="0" y="0"/>
                            <a:ext cx="4124325" cy="4914900"/>
                          </a:xfrm>
                          <a:prstGeom prst="rect">
                            <a:avLst/>
                          </a:prstGeom>
                          <a:noFill/>
                          <a:ln>
                            <a:noFill/>
                          </a:ln>
                        </pic:spPr>
                      </pic:pic>
                    </a:graphicData>
                  </a:graphic>
                </wp:inline>
              </w:drawing>
            </w:r>
          </w:p>
        </w:tc>
        <w:tc>
          <w:tcPr>
            <w:tcW w:w="2429" w:type="dxa"/>
            <w:shd w:val="clear" w:color="auto" w:fill="auto"/>
            <w:vAlign w:val="center"/>
          </w:tcPr>
          <w:p>
            <w:pPr>
              <w:adjustRightInd w:val="0"/>
              <w:snapToGrid w:val="0"/>
              <w:ind w:firstLine="0" w:firstLineChars="0"/>
              <w:jc w:val="center"/>
              <w:rPr>
                <w:rFonts w:hint="default" w:ascii="Times New Roman" w:hAnsi="Times New Roman" w:eastAsia="仿宋" w:cs="Times New Roman"/>
                <w:sz w:val="44"/>
              </w:rPr>
            </w:pPr>
            <w:r>
              <w:rPr>
                <w:rFonts w:hint="default" w:ascii="Times New Roman" w:hAnsi="Times New Roman" w:eastAsia="仿宋" w:cs="Times New Roman"/>
                <w:sz w:val="44"/>
              </w:rPr>
              <w:t>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1" w:hRule="atLeast"/>
        </w:trPr>
        <w:tc>
          <w:tcPr>
            <w:tcW w:w="6451" w:type="dxa"/>
            <w:vMerge w:val="continue"/>
            <w:shd w:val="clear" w:color="auto" w:fill="auto"/>
          </w:tcPr>
          <w:p>
            <w:pPr>
              <w:adjustRightInd w:val="0"/>
              <w:snapToGrid w:val="0"/>
              <w:ind w:firstLine="0" w:firstLineChars="0"/>
              <w:jc w:val="center"/>
              <w:rPr>
                <w:rFonts w:hint="default" w:ascii="Times New Roman" w:hAnsi="Times New Roman" w:eastAsia="仿宋" w:cs="Times New Roman"/>
              </w:rPr>
            </w:pPr>
          </w:p>
        </w:tc>
        <w:tc>
          <w:tcPr>
            <w:tcW w:w="2429" w:type="dxa"/>
            <w:shd w:val="clear" w:color="auto" w:fill="auto"/>
            <w:vAlign w:val="center"/>
          </w:tcPr>
          <w:p>
            <w:pPr>
              <w:adjustRightInd w:val="0"/>
              <w:snapToGrid w:val="0"/>
              <w:ind w:firstLine="0" w:firstLineChars="0"/>
              <w:jc w:val="center"/>
              <w:rPr>
                <w:rFonts w:hint="default" w:ascii="Times New Roman" w:hAnsi="Times New Roman" w:eastAsia="仿宋" w:cs="Times New Roman"/>
              </w:rPr>
            </w:pPr>
            <w:r>
              <w:rPr>
                <w:rFonts w:hint="default" w:ascii="Times New Roman" w:hAnsi="Times New Roman" w:eastAsia="仿宋" w:cs="Times New Roman"/>
              </w:rPr>
              <w:drawing>
                <wp:inline distT="0" distB="0" distL="114300" distR="114300">
                  <wp:extent cx="1466850" cy="3352800"/>
                  <wp:effectExtent l="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5"/>
                          <a:srcRect t="8894"/>
                          <a:stretch>
                            <a:fillRect/>
                          </a:stretch>
                        </pic:blipFill>
                        <pic:spPr>
                          <a:xfrm>
                            <a:off x="0" y="0"/>
                            <a:ext cx="1466850" cy="3352800"/>
                          </a:xfrm>
                          <a:prstGeom prst="rect">
                            <a:avLst/>
                          </a:prstGeom>
                          <a:noFill/>
                          <a:ln>
                            <a:noFill/>
                          </a:ln>
                        </pic:spPr>
                      </pic:pic>
                    </a:graphicData>
                  </a:graphic>
                </wp:inline>
              </w:drawing>
            </w:r>
          </w:p>
        </w:tc>
      </w:tr>
      <w:bookmarkEnd w:id="42"/>
      <w:bookmarkEnd w:id="43"/>
    </w:tbl>
    <w:p>
      <w:pPr>
        <w:pStyle w:val="91"/>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图2-4 重点建设项目分布图</w:t>
      </w:r>
    </w:p>
    <w:p>
      <w:pPr>
        <w:pStyle w:val="43"/>
        <w:pageBreakBefore w:val="0"/>
        <w:widowControl w:val="0"/>
        <w:numPr>
          <w:ilvl w:val="0"/>
          <w:numId w:val="0"/>
        </w:numPr>
        <w:kinsoku/>
        <w:wordWrap/>
        <w:overflowPunct/>
        <w:topLinePunct w:val="0"/>
        <w:autoSpaceDE/>
        <w:autoSpaceDN/>
        <w:bidi w:val="0"/>
        <w:adjustRightInd w:val="0"/>
        <w:snapToGrid w:val="0"/>
        <w:spacing w:before="0" w:after="0" w:line="579" w:lineRule="exact"/>
        <w:textAlignment w:val="auto"/>
        <w:rPr>
          <w:rFonts w:hint="default" w:ascii="Times New Roman" w:hAnsi="Times New Roman" w:cs="Times New Roman"/>
          <w:b w:val="0"/>
          <w:sz w:val="32"/>
          <w:szCs w:val="32"/>
        </w:rPr>
      </w:pPr>
      <w:bookmarkStart w:id="44" w:name="_Toc23253631"/>
      <w:bookmarkStart w:id="45" w:name="_Toc495541315"/>
      <w:bookmarkStart w:id="46" w:name="_Toc488830816"/>
      <w:bookmarkStart w:id="47" w:name="_Toc494357506"/>
      <w:bookmarkStart w:id="48" w:name="_Toc464203845"/>
      <w:bookmarkStart w:id="49" w:name="_Toc439933772"/>
      <w:bookmarkStart w:id="50" w:name="_Toc439933787"/>
      <w:bookmarkStart w:id="51" w:name="_Toc464203860"/>
      <w:r>
        <w:rPr>
          <w:rFonts w:hint="default" w:ascii="Times New Roman" w:hAnsi="Times New Roman" w:cs="Times New Roman"/>
          <w:b w:val="0"/>
          <w:sz w:val="32"/>
          <w:szCs w:val="32"/>
          <w:lang w:val="en-US" w:eastAsia="zh-CN"/>
        </w:rPr>
        <w:t xml:space="preserve">    三、</w:t>
      </w:r>
      <w:r>
        <w:rPr>
          <w:rFonts w:hint="default" w:ascii="Times New Roman" w:hAnsi="Times New Roman" w:cs="Times New Roman"/>
          <w:b w:val="0"/>
          <w:sz w:val="32"/>
          <w:szCs w:val="32"/>
        </w:rPr>
        <w:t>区域电网发展情况</w:t>
      </w:r>
      <w:bookmarkEnd w:id="44"/>
      <w:bookmarkStart w:id="52" w:name="_Toc495542167"/>
      <w:bookmarkEnd w:id="52"/>
      <w:bookmarkStart w:id="53" w:name="_Toc495540716"/>
      <w:bookmarkEnd w:id="53"/>
      <w:bookmarkStart w:id="54" w:name="_Toc495561201"/>
      <w:bookmarkEnd w:id="54"/>
      <w:bookmarkStart w:id="55" w:name="_Toc495541920"/>
      <w:bookmarkEnd w:id="55"/>
      <w:bookmarkStart w:id="56" w:name="_Toc495541316"/>
      <w:bookmarkEnd w:id="56"/>
      <w:bookmarkStart w:id="57" w:name="_Toc495540582"/>
      <w:bookmarkEnd w:id="57"/>
      <w:bookmarkStart w:id="58" w:name="_Toc495541115"/>
      <w:bookmarkEnd w:id="58"/>
      <w:bookmarkStart w:id="59" w:name="_Toc493630198"/>
      <w:bookmarkEnd w:id="59"/>
      <w:bookmarkStart w:id="60" w:name="_Toc495540449"/>
      <w:bookmarkEnd w:id="60"/>
      <w:bookmarkStart w:id="61" w:name="_Toc495537913"/>
      <w:bookmarkEnd w:id="61"/>
      <w:bookmarkStart w:id="62" w:name="_Toc495537789"/>
      <w:bookmarkEnd w:id="62"/>
      <w:bookmarkStart w:id="63" w:name="_Toc495538433"/>
      <w:bookmarkEnd w:id="63"/>
      <w:bookmarkStart w:id="64" w:name="_Toc495538043"/>
      <w:bookmarkEnd w:id="64"/>
      <w:bookmarkStart w:id="65" w:name="_Toc493630071"/>
      <w:bookmarkEnd w:id="65"/>
      <w:bookmarkStart w:id="66" w:name="_Toc494357507"/>
      <w:bookmarkEnd w:id="66"/>
      <w:bookmarkStart w:id="67" w:name="_Toc495538303"/>
      <w:bookmarkEnd w:id="67"/>
      <w:bookmarkStart w:id="68" w:name="_Toc488830817"/>
    </w:p>
    <w:bookmarkEnd w:id="68"/>
    <w:p>
      <w:pPr>
        <w:pStyle w:val="44"/>
        <w:pageBreakBefore w:val="0"/>
        <w:widowControl w:val="0"/>
        <w:kinsoku/>
        <w:wordWrap/>
        <w:overflowPunct/>
        <w:topLinePunct w:val="0"/>
        <w:autoSpaceDE/>
        <w:autoSpaceDN/>
        <w:bidi w:val="0"/>
        <w:adjustRightInd w:val="0"/>
        <w:snapToGrid w:val="0"/>
        <w:spacing w:before="0" w:after="0" w:line="579" w:lineRule="exact"/>
        <w:ind w:firstLine="640" w:firstLineChars="200"/>
        <w:textAlignment w:val="auto"/>
        <w:rPr>
          <w:rFonts w:hint="default" w:ascii="Times New Roman" w:hAnsi="Times New Roman" w:eastAsia="楷体" w:cs="Times New Roman"/>
          <w:b w:val="0"/>
        </w:rPr>
      </w:pPr>
      <w:bookmarkStart w:id="69" w:name="_Toc23253632"/>
      <w:r>
        <w:rPr>
          <w:rFonts w:hint="default" w:ascii="Times New Roman" w:hAnsi="Times New Roman" w:eastAsia="楷体" w:cs="Times New Roman"/>
          <w:b w:val="0"/>
        </w:rPr>
        <w:t>（一）周边区域电网现状和发展规划</w:t>
      </w:r>
      <w:bookmarkEnd w:id="69"/>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1．35千伏及以上电网</w:t>
      </w:r>
    </w:p>
    <w:p>
      <w:pPr>
        <w:pageBreakBefore w:val="0"/>
        <w:widowControl w:val="0"/>
        <w:kinsoku/>
        <w:wordWrap/>
        <w:overflowPunct/>
        <w:topLinePunct w:val="0"/>
        <w:autoSpaceDE/>
        <w:autoSpaceDN/>
        <w:bidi w:val="0"/>
        <w:adjustRightInd w:val="0"/>
        <w:snapToGrid w:val="0"/>
        <w:spacing w:line="579" w:lineRule="exact"/>
        <w:ind w:firstLine="640"/>
        <w:jc w:val="left"/>
        <w:textAlignment w:val="auto"/>
        <w:rPr>
          <w:rFonts w:hint="default" w:ascii="Times New Roman" w:hAnsi="Times New Roman" w:cs="Times New Roman"/>
          <w:sz w:val="32"/>
          <w:szCs w:val="32"/>
        </w:rPr>
      </w:pPr>
      <w:r>
        <w:rPr>
          <w:rFonts w:hint="default" w:ascii="Times New Roman" w:hAnsi="Times New Roman" w:cs="Times New Roman"/>
          <w:sz w:val="32"/>
          <w:szCs w:val="32"/>
        </w:rPr>
        <w:t>试点区周边区域现有220千伏变电站3座，分别是立峰变、跃新变和海塘变。</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试点区周边区域现有110千伏变电站4座，分别为万兴变、澉浦变、富亭变和通元变，其中万兴变1#主变容量为80兆伏安，2#主变容量为31.5兆伏安；澉浦变1#主变容量为50兆伏安，2#主变容量为80兆伏安；富亭变变电容量为2×40兆伏安；通元变1#主变容量为31.5兆伏安，2#主变容量为40兆伏安。万兴变两路电源均来自于220千伏立峰变，澉浦变两路电源均来自于220千伏立峰变，富亭变两路电源来自于220千伏跃新变和220千伏海塘变，通元变电源来自于220千伏跃新变、220千伏立峰变和海盐县域外的220千伏潮乡变。</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试点区周边区域现有35千伏变电站1座，即城南变，主变容量2×16兆伏安，电源来自于220千伏立峰变和海塘变。</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2．10（20）千伏电网</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试点区域位于秦山街道北部，位于秦山20千伏供区范围。秦山20千伏供区包含秦山镇区、何家桥仓储物流园、临港工业区、秦山南部农村等功能区块。供电面积45平方公里，2018年负荷39.15兆瓦，负荷密度为0.87兆瓦/平方公里。</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2010年，万兴变第一台110/20千伏主变建成，标志着该地区20千伏电网改造工作正式开始。之后通过逐步改造，分阶段实现区域10千伏电网全面升压至20千伏。海盐20千伏电网建设改造过程可分成两个阶段，可分为“重构期”和“优化期”。</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2010至2011年为海盐县20千伏电网“重构期”，在该阶段，对海盐县域内已建成110/20千伏公用变电站均进行20千伏改造，10千伏中压配电网根据改造边界条件逐步升压至20千伏，35千伏变电站退出运行，该时期内主要考虑20千伏电网改造与新建，根据地区用户性质、供电可靠性需求以及现状电网布局，在不同变电站间建设部分联络线路。</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2012年至2018年为海盐县20千伏电网“优化期”，经过2010至2011年的“重构期”，海盐县20千伏电网初步建成，2012至2018年，20千伏供区根据区域负荷发展需求、供电可靠性需求以及电网运营管理需求等，按照推荐接线方式，优化20千伏电网结构，提高电网供电可靠性与运行灵活性。</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目前，秦山20千伏供区主要有2座20千伏电源点，分别为110千伏万兴变和110千伏澉浦变，共有110/20千伏主变3台，总容量191.5兆伏安，现有20千伏出线间隔30个，已用17个，剩余13个。其中，万兴变有110/20千伏主变2台，容量111.5兆伏安，有20千伏间隔20个，已用10个，剩余10个；澉浦变有110/20千伏主变1台，容量80兆伏安，有20千伏间隔10个，已用7个，剩余3个。</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试点区周边涉及10（20）千伏线路9回，分别为20千伏秦工D140线、夏家D151线、落塘D150线、建丰D143线以及10千伏太平Y274线、盐中Y289线、城塘Y184线、联星Y134线和富万Y291线。</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bookmarkStart w:id="70" w:name="_Toc464203847"/>
      <w:bookmarkStart w:id="71" w:name="_Toc439933774"/>
      <w:r>
        <w:rPr>
          <w:rFonts w:hint="default" w:ascii="Times New Roman" w:hAnsi="Times New Roman" w:cs="Times New Roman"/>
          <w:sz w:val="32"/>
          <w:szCs w:val="32"/>
        </w:rPr>
        <w:t>2019年，海盐县计划投运220千伏五圣变，将原塘富13553线接入五圣变，减轻220千伏海塘变负荷。</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随着试点区域内外负荷持续增长，110千伏富亭变将出现重载，而110千伏万兴变负荷较低，考虑110千伏万兴变新出20千伏线路切割110千伏富亭变负荷，同时解决区域周边20千伏线路与10千伏线路交叉供电的问题，优化试点区域周边的电网结构，提高供电可靠性。</w:t>
      </w:r>
    </w:p>
    <w:p>
      <w:pPr>
        <w:pStyle w:val="44"/>
        <w:keepNext w:val="0"/>
        <w:keepLines w:val="0"/>
        <w:pageBreakBefore w:val="0"/>
        <w:widowControl w:val="0"/>
        <w:kinsoku/>
        <w:wordWrap/>
        <w:overflowPunct/>
        <w:topLinePunct w:val="0"/>
        <w:autoSpaceDE/>
        <w:autoSpaceDN/>
        <w:bidi w:val="0"/>
        <w:adjustRightInd w:val="0"/>
        <w:snapToGrid w:val="0"/>
        <w:spacing w:line="579" w:lineRule="exact"/>
        <w:ind w:firstLine="640" w:firstLineChars="200"/>
        <w:textAlignment w:val="auto"/>
        <w:rPr>
          <w:rFonts w:hint="default" w:ascii="Times New Roman" w:hAnsi="Times New Roman" w:eastAsia="楷体" w:cs="Times New Roman"/>
          <w:b w:val="0"/>
        </w:rPr>
      </w:pPr>
      <w:bookmarkStart w:id="72" w:name="_Toc23253633"/>
      <w:r>
        <w:rPr>
          <w:rFonts w:hint="default" w:ascii="Times New Roman" w:hAnsi="Times New Roman" w:eastAsia="楷体" w:cs="Times New Roman"/>
          <w:b w:val="0"/>
        </w:rPr>
        <w:t>（二）区域电网发展现状</w:t>
      </w:r>
      <w:bookmarkEnd w:id="72"/>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现状试点区内无35千伏及以上电网，有20千伏公用线路4回，10千伏公用线路4回，有配变106台，容量49905千伏安，现为海盐供电公司资产，未来可折合存量资产残值，出售或租赁给增量配电公司，或以资产入股方式参与到增量配电公司。</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试点区域内包含20千伏、10千伏及0.4千伏电网。区域内20千伏线路由区域外110千伏万兴变供电，区域内10千伏线路由区域外110千伏富亭变、110千伏通元变和35千伏城南变供电。</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1．35千伏及以上电网</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试点区内无35千伏以上变电站。</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2．10（20）千伏电网</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试点区内20千伏线路4回，分别为20千伏秦工D140线、夏家D151线、落塘D150线和建丰D143线；10千伏线路4回，分别为太平Y274线、盐中Y289线、城塘Y184线和联星Y134线。</w:t>
      </w:r>
    </w:p>
    <w:bookmarkEnd w:id="70"/>
    <w:bookmarkEnd w:id="71"/>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1）10（20）千伏电网结构</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10（20）千伏电网结构从线路结构、分段合理性、“N-1”校验等方面进行分析。试点区域10千伏电网结构评估总体情况如表3-</w:t>
      </w:r>
      <w:r>
        <w:rPr>
          <w:rFonts w:hint="eastAsia" w:cs="Times New Roman"/>
          <w:sz w:val="32"/>
          <w:szCs w:val="32"/>
          <w:lang w:val="en-US" w:eastAsia="zh-CN"/>
        </w:rPr>
        <w:t>1</w:t>
      </w:r>
      <w:r>
        <w:rPr>
          <w:rFonts w:hint="default" w:ascii="Times New Roman" w:hAnsi="Times New Roman" w:cs="Times New Roman"/>
          <w:sz w:val="32"/>
          <w:szCs w:val="32"/>
        </w:rPr>
        <w:t>所示。</w:t>
      </w:r>
    </w:p>
    <w:p>
      <w:pPr>
        <w:pStyle w:val="91"/>
        <w:keepNext w:val="0"/>
        <w:keepLines w:val="0"/>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表3-</w:t>
      </w:r>
      <w:r>
        <w:rPr>
          <w:rFonts w:hint="eastAsia" w:eastAsia="宋体" w:cs="Times New Roman"/>
          <w:b w:val="0"/>
          <w:sz w:val="28"/>
          <w:szCs w:val="28"/>
          <w:lang w:val="en-US" w:eastAsia="zh-CN"/>
        </w:rPr>
        <w:t>1</w:t>
      </w:r>
      <w:r>
        <w:rPr>
          <w:rFonts w:hint="default" w:ascii="Times New Roman" w:hAnsi="Times New Roman" w:eastAsia="宋体" w:cs="Times New Roman"/>
          <w:b w:val="0"/>
          <w:sz w:val="28"/>
          <w:szCs w:val="28"/>
          <w:lang w:eastAsia="zh-CN"/>
        </w:rPr>
        <w:t xml:space="preserve">  试点区域</w:t>
      </w:r>
      <w:bookmarkStart w:id="73" w:name="_Hlk534719814"/>
      <w:r>
        <w:rPr>
          <w:rFonts w:hint="default" w:ascii="Times New Roman" w:hAnsi="Times New Roman" w:eastAsia="宋体" w:cs="Times New Roman"/>
          <w:b w:val="0"/>
          <w:sz w:val="28"/>
          <w:szCs w:val="28"/>
          <w:lang w:eastAsia="zh-CN"/>
        </w:rPr>
        <w:t>10（20）</w:t>
      </w:r>
      <w:bookmarkEnd w:id="73"/>
      <w:r>
        <w:rPr>
          <w:rFonts w:hint="default" w:ascii="Times New Roman" w:hAnsi="Times New Roman" w:eastAsia="宋体" w:cs="Times New Roman"/>
          <w:b w:val="0"/>
          <w:sz w:val="28"/>
          <w:szCs w:val="28"/>
          <w:lang w:eastAsia="zh-CN"/>
        </w:rPr>
        <w:t>千伏电网结构情况统计表</w:t>
      </w:r>
    </w:p>
    <w:tbl>
      <w:tblPr>
        <w:tblStyle w:val="29"/>
        <w:tblW w:w="8818"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434"/>
        <w:gridCol w:w="714"/>
        <w:gridCol w:w="1277"/>
        <w:gridCol w:w="993"/>
        <w:gridCol w:w="915"/>
        <w:gridCol w:w="928"/>
        <w:gridCol w:w="2554"/>
        <w:gridCol w:w="1003"/>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blHeader/>
        </w:trPr>
        <w:tc>
          <w:tcPr>
            <w:tcW w:w="43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71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变电站</w:t>
            </w:r>
          </w:p>
        </w:tc>
        <w:tc>
          <w:tcPr>
            <w:tcW w:w="1277"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线路名称</w:t>
            </w:r>
          </w:p>
        </w:tc>
        <w:tc>
          <w:tcPr>
            <w:tcW w:w="993" w:type="dxa"/>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电压等级</w:t>
            </w:r>
          </w:p>
        </w:tc>
        <w:tc>
          <w:tcPr>
            <w:tcW w:w="915"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主干分段数</w:t>
            </w:r>
          </w:p>
        </w:tc>
        <w:tc>
          <w:tcPr>
            <w:tcW w:w="928"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线路结构</w:t>
            </w:r>
          </w:p>
        </w:tc>
        <w:tc>
          <w:tcPr>
            <w:tcW w:w="255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联络线路</w:t>
            </w:r>
          </w:p>
        </w:tc>
        <w:tc>
          <w:tcPr>
            <w:tcW w:w="1003"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“N-1”</w:t>
            </w:r>
          </w:p>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校验</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43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71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万兴变</w:t>
            </w:r>
          </w:p>
        </w:tc>
        <w:tc>
          <w:tcPr>
            <w:tcW w:w="1277"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秦工D140线</w:t>
            </w:r>
          </w:p>
        </w:tc>
        <w:tc>
          <w:tcPr>
            <w:tcW w:w="993" w:type="dxa"/>
            <w:vAlign w:val="center"/>
          </w:tcPr>
          <w:p>
            <w:pPr>
              <w:adjustRightInd w:val="0"/>
              <w:snapToGrid w:val="0"/>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20千伏</w:t>
            </w:r>
          </w:p>
        </w:tc>
        <w:tc>
          <w:tcPr>
            <w:tcW w:w="915"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928"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单联络</w:t>
            </w:r>
          </w:p>
        </w:tc>
        <w:tc>
          <w:tcPr>
            <w:tcW w:w="255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落塘D150线</w:t>
            </w:r>
          </w:p>
        </w:tc>
        <w:tc>
          <w:tcPr>
            <w:tcW w:w="1003"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通过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43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71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万兴变</w:t>
            </w:r>
          </w:p>
        </w:tc>
        <w:tc>
          <w:tcPr>
            <w:tcW w:w="1277"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建丰D143线</w:t>
            </w:r>
          </w:p>
        </w:tc>
        <w:tc>
          <w:tcPr>
            <w:tcW w:w="993"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20千伏</w:t>
            </w:r>
          </w:p>
        </w:tc>
        <w:tc>
          <w:tcPr>
            <w:tcW w:w="915"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928"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单联络</w:t>
            </w:r>
          </w:p>
        </w:tc>
        <w:tc>
          <w:tcPr>
            <w:tcW w:w="255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夏家D151线</w:t>
            </w:r>
          </w:p>
        </w:tc>
        <w:tc>
          <w:tcPr>
            <w:tcW w:w="1003"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通过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43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71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万兴变</w:t>
            </w:r>
          </w:p>
        </w:tc>
        <w:tc>
          <w:tcPr>
            <w:tcW w:w="1277"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落塘D150线</w:t>
            </w:r>
          </w:p>
        </w:tc>
        <w:tc>
          <w:tcPr>
            <w:tcW w:w="993"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20千伏</w:t>
            </w:r>
          </w:p>
        </w:tc>
        <w:tc>
          <w:tcPr>
            <w:tcW w:w="915"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928"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单联络</w:t>
            </w:r>
          </w:p>
        </w:tc>
        <w:tc>
          <w:tcPr>
            <w:tcW w:w="255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秦工D140线</w:t>
            </w:r>
          </w:p>
        </w:tc>
        <w:tc>
          <w:tcPr>
            <w:tcW w:w="1003"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通过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43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71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万兴变</w:t>
            </w:r>
          </w:p>
        </w:tc>
        <w:tc>
          <w:tcPr>
            <w:tcW w:w="1277"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夏家D151线</w:t>
            </w:r>
          </w:p>
        </w:tc>
        <w:tc>
          <w:tcPr>
            <w:tcW w:w="993"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20千伏</w:t>
            </w:r>
          </w:p>
        </w:tc>
        <w:tc>
          <w:tcPr>
            <w:tcW w:w="915"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928"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单联络</w:t>
            </w:r>
          </w:p>
        </w:tc>
        <w:tc>
          <w:tcPr>
            <w:tcW w:w="255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建丰D143线</w:t>
            </w:r>
          </w:p>
        </w:tc>
        <w:tc>
          <w:tcPr>
            <w:tcW w:w="1003"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通过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43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71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富亭变</w:t>
            </w:r>
          </w:p>
        </w:tc>
        <w:tc>
          <w:tcPr>
            <w:tcW w:w="1277"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太平274线</w:t>
            </w:r>
          </w:p>
        </w:tc>
        <w:tc>
          <w:tcPr>
            <w:tcW w:w="993"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10千伏</w:t>
            </w:r>
          </w:p>
        </w:tc>
        <w:tc>
          <w:tcPr>
            <w:tcW w:w="915"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928"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两联络</w:t>
            </w:r>
          </w:p>
        </w:tc>
        <w:tc>
          <w:tcPr>
            <w:tcW w:w="255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联星Y134线、城塘Y184线</w:t>
            </w:r>
          </w:p>
        </w:tc>
        <w:tc>
          <w:tcPr>
            <w:tcW w:w="1003"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通过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43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71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富亭变</w:t>
            </w:r>
          </w:p>
        </w:tc>
        <w:tc>
          <w:tcPr>
            <w:tcW w:w="1277"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盐中289线</w:t>
            </w:r>
          </w:p>
        </w:tc>
        <w:tc>
          <w:tcPr>
            <w:tcW w:w="993"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10千伏</w:t>
            </w:r>
          </w:p>
        </w:tc>
        <w:tc>
          <w:tcPr>
            <w:tcW w:w="915"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928"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单联络</w:t>
            </w:r>
          </w:p>
        </w:tc>
        <w:tc>
          <w:tcPr>
            <w:tcW w:w="255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城塘Y184线</w:t>
            </w:r>
          </w:p>
        </w:tc>
        <w:tc>
          <w:tcPr>
            <w:tcW w:w="1003"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通过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43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71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城南变</w:t>
            </w:r>
          </w:p>
        </w:tc>
        <w:tc>
          <w:tcPr>
            <w:tcW w:w="1277"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城塘184线</w:t>
            </w:r>
          </w:p>
        </w:tc>
        <w:tc>
          <w:tcPr>
            <w:tcW w:w="993"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10千伏</w:t>
            </w:r>
          </w:p>
        </w:tc>
        <w:tc>
          <w:tcPr>
            <w:tcW w:w="915"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928"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两联络</w:t>
            </w:r>
          </w:p>
        </w:tc>
        <w:tc>
          <w:tcPr>
            <w:tcW w:w="255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盐中Y289线、太平Y274线</w:t>
            </w:r>
          </w:p>
        </w:tc>
        <w:tc>
          <w:tcPr>
            <w:tcW w:w="1003"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通过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rPr>
        <w:tc>
          <w:tcPr>
            <w:tcW w:w="43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71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通元变</w:t>
            </w:r>
          </w:p>
        </w:tc>
        <w:tc>
          <w:tcPr>
            <w:tcW w:w="1277"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联星Y134线</w:t>
            </w:r>
          </w:p>
        </w:tc>
        <w:tc>
          <w:tcPr>
            <w:tcW w:w="993"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10千伏</w:t>
            </w:r>
          </w:p>
        </w:tc>
        <w:tc>
          <w:tcPr>
            <w:tcW w:w="915"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928"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两联络</w:t>
            </w:r>
          </w:p>
        </w:tc>
        <w:tc>
          <w:tcPr>
            <w:tcW w:w="255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富万Y291线、太平Y274线</w:t>
            </w:r>
          </w:p>
        </w:tc>
        <w:tc>
          <w:tcPr>
            <w:tcW w:w="1003"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通过</w:t>
            </w:r>
          </w:p>
        </w:tc>
      </w:tr>
    </w:tbl>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由上表可见，试点区内10（20）千伏线路均已实现联络，其中4回20千伏线路（秦工D140线、建丰D143线、落塘D150线和夏家D151线）是站内联络，其余为站间联络；8回线路均可以通过“N-1”校验。</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2）10（20）千伏线路供电能力</w:t>
      </w:r>
    </w:p>
    <w:p>
      <w:pPr>
        <w:pStyle w:val="91"/>
        <w:adjustRightInd w:val="0"/>
        <w:snapToGrid w:val="0"/>
        <w:spacing w:before="381" w:beforeLines="100"/>
        <w:outlineLvl w:val="9"/>
        <w:rPr>
          <w:rFonts w:hint="default" w:ascii="Times New Roman" w:hAnsi="Times New Roman" w:eastAsia="仿宋" w:cs="Times New Roman"/>
          <w:szCs w:val="24"/>
          <w:lang w:eastAsia="zh-CN"/>
        </w:rPr>
      </w:pPr>
      <w:r>
        <w:rPr>
          <w:rFonts w:hint="default" w:ascii="Times New Roman" w:hAnsi="Times New Roman" w:eastAsia="宋体" w:cs="Times New Roman"/>
          <w:b w:val="0"/>
          <w:sz w:val="28"/>
          <w:szCs w:val="28"/>
          <w:lang w:eastAsia="zh-CN"/>
        </w:rPr>
        <w:t>表3-</w:t>
      </w:r>
      <w:r>
        <w:rPr>
          <w:rFonts w:hint="eastAsia" w:eastAsia="宋体" w:cs="Times New Roman"/>
          <w:b w:val="0"/>
          <w:sz w:val="28"/>
          <w:szCs w:val="28"/>
          <w:lang w:val="en-US" w:eastAsia="zh-CN"/>
        </w:rPr>
        <w:t>2</w:t>
      </w:r>
      <w:r>
        <w:rPr>
          <w:rFonts w:hint="default" w:ascii="Times New Roman" w:hAnsi="Times New Roman" w:eastAsia="宋体" w:cs="Times New Roman"/>
          <w:b w:val="0"/>
          <w:sz w:val="28"/>
          <w:szCs w:val="28"/>
          <w:lang w:eastAsia="zh-CN"/>
        </w:rPr>
        <w:t xml:space="preserve">  试点区域10（20）千伏电网供电能力情况统计表</w:t>
      </w:r>
    </w:p>
    <w:tbl>
      <w:tblPr>
        <w:tblStyle w:val="29"/>
        <w:tblW w:w="8818"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720"/>
        <w:gridCol w:w="1563"/>
        <w:gridCol w:w="1280"/>
        <w:gridCol w:w="1705"/>
        <w:gridCol w:w="1705"/>
        <w:gridCol w:w="184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tblHeader/>
          <w:jc w:val="center"/>
        </w:trPr>
        <w:tc>
          <w:tcPr>
            <w:tcW w:w="720"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563"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变电站</w:t>
            </w:r>
          </w:p>
        </w:tc>
        <w:tc>
          <w:tcPr>
            <w:tcW w:w="1280"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线路名称</w:t>
            </w:r>
          </w:p>
        </w:tc>
        <w:tc>
          <w:tcPr>
            <w:tcW w:w="1705"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电压等级</w:t>
            </w:r>
          </w:p>
        </w:tc>
        <w:tc>
          <w:tcPr>
            <w:tcW w:w="1705"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供电半径（公里）</w:t>
            </w:r>
          </w:p>
        </w:tc>
        <w:tc>
          <w:tcPr>
            <w:tcW w:w="1845"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2018年线路</w:t>
            </w:r>
          </w:p>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最大负载率（%）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jc w:val="center"/>
        </w:trPr>
        <w:tc>
          <w:tcPr>
            <w:tcW w:w="720"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563"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万兴变</w:t>
            </w:r>
          </w:p>
        </w:tc>
        <w:tc>
          <w:tcPr>
            <w:tcW w:w="1280"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秦工D140线</w:t>
            </w:r>
          </w:p>
        </w:tc>
        <w:tc>
          <w:tcPr>
            <w:tcW w:w="1705"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20千伏</w:t>
            </w:r>
          </w:p>
        </w:tc>
        <w:tc>
          <w:tcPr>
            <w:tcW w:w="1705"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3.691</w:t>
            </w:r>
          </w:p>
        </w:tc>
        <w:tc>
          <w:tcPr>
            <w:tcW w:w="1845"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39.78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jc w:val="center"/>
        </w:trPr>
        <w:tc>
          <w:tcPr>
            <w:tcW w:w="720"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563"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万兴变</w:t>
            </w:r>
          </w:p>
        </w:tc>
        <w:tc>
          <w:tcPr>
            <w:tcW w:w="1280"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建丰D143线</w:t>
            </w:r>
          </w:p>
        </w:tc>
        <w:tc>
          <w:tcPr>
            <w:tcW w:w="1705"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20千伏</w:t>
            </w:r>
          </w:p>
        </w:tc>
        <w:tc>
          <w:tcPr>
            <w:tcW w:w="1705"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3.976</w:t>
            </w:r>
          </w:p>
        </w:tc>
        <w:tc>
          <w:tcPr>
            <w:tcW w:w="1845"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jc w:val="center"/>
        </w:trPr>
        <w:tc>
          <w:tcPr>
            <w:tcW w:w="720"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563"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万兴变</w:t>
            </w:r>
          </w:p>
        </w:tc>
        <w:tc>
          <w:tcPr>
            <w:tcW w:w="1280"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落塘D150线</w:t>
            </w:r>
          </w:p>
        </w:tc>
        <w:tc>
          <w:tcPr>
            <w:tcW w:w="1705"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20千伏</w:t>
            </w:r>
          </w:p>
        </w:tc>
        <w:tc>
          <w:tcPr>
            <w:tcW w:w="1705"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3.776</w:t>
            </w:r>
          </w:p>
        </w:tc>
        <w:tc>
          <w:tcPr>
            <w:tcW w:w="1845"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13.14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jc w:val="center"/>
        </w:trPr>
        <w:tc>
          <w:tcPr>
            <w:tcW w:w="720"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563"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万兴变</w:t>
            </w:r>
          </w:p>
        </w:tc>
        <w:tc>
          <w:tcPr>
            <w:tcW w:w="1280"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夏家D151线</w:t>
            </w:r>
          </w:p>
        </w:tc>
        <w:tc>
          <w:tcPr>
            <w:tcW w:w="1705"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20千伏</w:t>
            </w:r>
          </w:p>
        </w:tc>
        <w:tc>
          <w:tcPr>
            <w:tcW w:w="1705"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4.663</w:t>
            </w:r>
          </w:p>
        </w:tc>
        <w:tc>
          <w:tcPr>
            <w:tcW w:w="1845"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26.73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jc w:val="center"/>
        </w:trPr>
        <w:tc>
          <w:tcPr>
            <w:tcW w:w="720"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563"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富亭变</w:t>
            </w:r>
          </w:p>
        </w:tc>
        <w:tc>
          <w:tcPr>
            <w:tcW w:w="1280"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太平274线</w:t>
            </w:r>
          </w:p>
        </w:tc>
        <w:tc>
          <w:tcPr>
            <w:tcW w:w="1705"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10千伏</w:t>
            </w:r>
          </w:p>
        </w:tc>
        <w:tc>
          <w:tcPr>
            <w:tcW w:w="1705"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7.369</w:t>
            </w:r>
          </w:p>
        </w:tc>
        <w:tc>
          <w:tcPr>
            <w:tcW w:w="1845"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60.03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jc w:val="center"/>
        </w:trPr>
        <w:tc>
          <w:tcPr>
            <w:tcW w:w="720"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563"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富亭变</w:t>
            </w:r>
          </w:p>
        </w:tc>
        <w:tc>
          <w:tcPr>
            <w:tcW w:w="1280"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盐中289线</w:t>
            </w:r>
          </w:p>
        </w:tc>
        <w:tc>
          <w:tcPr>
            <w:tcW w:w="1705"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10千伏</w:t>
            </w:r>
          </w:p>
        </w:tc>
        <w:tc>
          <w:tcPr>
            <w:tcW w:w="1705"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6.626</w:t>
            </w:r>
          </w:p>
        </w:tc>
        <w:tc>
          <w:tcPr>
            <w:tcW w:w="1845"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41.26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jc w:val="center"/>
        </w:trPr>
        <w:tc>
          <w:tcPr>
            <w:tcW w:w="720"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1563"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城南变</w:t>
            </w:r>
          </w:p>
        </w:tc>
        <w:tc>
          <w:tcPr>
            <w:tcW w:w="1280"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城塘184线</w:t>
            </w:r>
          </w:p>
        </w:tc>
        <w:tc>
          <w:tcPr>
            <w:tcW w:w="1705"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10千伏</w:t>
            </w:r>
          </w:p>
        </w:tc>
        <w:tc>
          <w:tcPr>
            <w:tcW w:w="1705"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4.663</w:t>
            </w:r>
          </w:p>
        </w:tc>
        <w:tc>
          <w:tcPr>
            <w:tcW w:w="1845"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42.21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jc w:val="center"/>
        </w:trPr>
        <w:tc>
          <w:tcPr>
            <w:tcW w:w="720"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1563"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通元变</w:t>
            </w:r>
          </w:p>
        </w:tc>
        <w:tc>
          <w:tcPr>
            <w:tcW w:w="1280"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联星Y134线</w:t>
            </w:r>
          </w:p>
        </w:tc>
        <w:tc>
          <w:tcPr>
            <w:tcW w:w="1705" w:type="dxa"/>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10千伏</w:t>
            </w:r>
          </w:p>
        </w:tc>
        <w:tc>
          <w:tcPr>
            <w:tcW w:w="1705"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11.76</w:t>
            </w:r>
          </w:p>
        </w:tc>
        <w:tc>
          <w:tcPr>
            <w:tcW w:w="1845"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26.58</w:t>
            </w:r>
          </w:p>
        </w:tc>
      </w:tr>
    </w:tbl>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按照2018年典型日负荷统计线路负载，区域内10（20）千伏线路无重载情况。其中10千伏太平274线负载率较高，为60.03%，随着未来负荷增长，存在重载风险。</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3）10（20）千伏线路装备水平</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eastAsia" w:ascii="Times New Roman" w:hAnsi="Times New Roman" w:cs="Times New Roman"/>
          <w:sz w:val="32"/>
          <w:szCs w:val="32"/>
          <w:lang w:eastAsia="zh-CN"/>
        </w:rPr>
      </w:pPr>
      <w:r>
        <w:rPr>
          <w:rFonts w:hint="default" w:ascii="Times New Roman" w:hAnsi="Times New Roman" w:cs="Times New Roman"/>
          <w:sz w:val="32"/>
          <w:szCs w:val="32"/>
        </w:rPr>
        <w:t>试点区内现状10（20）千伏架空线路主干截面主要为240、185平方毫米，电缆线路主干截面主要为400、300、240平方毫米。20千伏夏家D151线装接配变容量略大于24000千伏安，其余线路装接配变容量满足要求</w:t>
      </w:r>
      <w:bookmarkStart w:id="74" w:name="_Toc23253634"/>
      <w:bookmarkStart w:id="75" w:name="_Toc488830819"/>
      <w:r>
        <w:rPr>
          <w:rFonts w:hint="eastAsia" w:ascii="Times New Roman" w:hAnsi="Times New Roman" w:cs="Times New Roman"/>
          <w:sz w:val="32"/>
          <w:szCs w:val="32"/>
          <w:lang w:eastAsia="zh-CN"/>
        </w:rPr>
        <w:t>。</w:t>
      </w:r>
    </w:p>
    <w:p>
      <w:pPr>
        <w:pStyle w:val="44"/>
        <w:keepNext w:val="0"/>
        <w:keepLines w:val="0"/>
        <w:pageBreakBefore w:val="0"/>
        <w:widowControl w:val="0"/>
        <w:kinsoku/>
        <w:wordWrap/>
        <w:overflowPunct/>
        <w:topLinePunct w:val="0"/>
        <w:autoSpaceDE/>
        <w:autoSpaceDN/>
        <w:bidi w:val="0"/>
        <w:adjustRightInd w:val="0"/>
        <w:snapToGrid w:val="0"/>
        <w:spacing w:line="579" w:lineRule="exact"/>
        <w:ind w:firstLine="640" w:firstLineChars="200"/>
        <w:textAlignment w:val="auto"/>
        <w:rPr>
          <w:rFonts w:hint="default" w:ascii="Times New Roman" w:hAnsi="Times New Roman" w:eastAsia="楷体" w:cs="Times New Roman"/>
          <w:b w:val="0"/>
        </w:rPr>
      </w:pPr>
      <w:r>
        <w:rPr>
          <w:rFonts w:hint="default" w:ascii="Times New Roman" w:hAnsi="Times New Roman" w:eastAsia="楷体" w:cs="Times New Roman"/>
          <w:b w:val="0"/>
        </w:rPr>
        <w:t>（三）区域电源现状</w:t>
      </w:r>
      <w:bookmarkEnd w:id="74"/>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试点区内现状及规划均无常规电厂，存在部分分布式光伏发电，分为企业屋顶光伏发电和家庭屋顶光伏发电。</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截至2018年底，区域内共有屋顶光伏58家，总装机容量为6065.2千瓦。其中，企业屋顶光伏发电10家，发电装机容量5771.16千瓦；家庭屋顶光伏发电48家，发电装机容量294.04千瓦。企业屋顶光伏和家庭屋顶光伏明细如表3-</w:t>
      </w:r>
      <w:r>
        <w:rPr>
          <w:rFonts w:hint="eastAsia" w:cs="Times New Roman"/>
          <w:sz w:val="32"/>
          <w:szCs w:val="32"/>
          <w:lang w:val="en-US" w:eastAsia="zh-CN"/>
        </w:rPr>
        <w:t>3</w:t>
      </w:r>
      <w:r>
        <w:rPr>
          <w:rFonts w:hint="default" w:ascii="Times New Roman" w:hAnsi="Times New Roman" w:cs="Times New Roman"/>
          <w:sz w:val="32"/>
          <w:szCs w:val="32"/>
        </w:rPr>
        <w:t>和表3-</w:t>
      </w:r>
      <w:r>
        <w:rPr>
          <w:rFonts w:hint="eastAsia" w:cs="Times New Roman"/>
          <w:sz w:val="32"/>
          <w:szCs w:val="32"/>
          <w:lang w:val="en-US" w:eastAsia="zh-CN"/>
        </w:rPr>
        <w:t>4</w:t>
      </w:r>
      <w:r>
        <w:rPr>
          <w:rFonts w:hint="default" w:ascii="Times New Roman" w:hAnsi="Times New Roman" w:cs="Times New Roman"/>
          <w:sz w:val="32"/>
          <w:szCs w:val="32"/>
        </w:rPr>
        <w:t>所示。</w:t>
      </w:r>
    </w:p>
    <w:p>
      <w:pPr>
        <w:pStyle w:val="91"/>
        <w:adjustRightInd w:val="0"/>
        <w:snapToGrid w:val="0"/>
        <w:spacing w:before="381" w:beforeLines="100"/>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表3-</w:t>
      </w:r>
      <w:r>
        <w:rPr>
          <w:rFonts w:hint="eastAsia" w:eastAsia="宋体" w:cs="Times New Roman"/>
          <w:b w:val="0"/>
          <w:sz w:val="28"/>
          <w:szCs w:val="28"/>
          <w:lang w:val="en-US" w:eastAsia="zh-CN"/>
        </w:rPr>
        <w:t>3</w:t>
      </w:r>
      <w:r>
        <w:rPr>
          <w:rFonts w:hint="default" w:ascii="Times New Roman" w:hAnsi="Times New Roman" w:eastAsia="宋体" w:cs="Times New Roman"/>
          <w:b w:val="0"/>
          <w:sz w:val="28"/>
          <w:szCs w:val="28"/>
          <w:lang w:eastAsia="zh-CN"/>
        </w:rPr>
        <w:t xml:space="preserve"> 试点区域企业屋顶光伏明细表</w:t>
      </w:r>
    </w:p>
    <w:tbl>
      <w:tblPr>
        <w:tblStyle w:val="29"/>
        <w:tblW w:w="8818"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238"/>
        <w:gridCol w:w="1608"/>
        <w:gridCol w:w="2878"/>
        <w:gridCol w:w="867"/>
        <w:gridCol w:w="602"/>
        <w:gridCol w:w="655"/>
        <w:gridCol w:w="443"/>
        <w:gridCol w:w="867"/>
        <w:gridCol w:w="66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90" w:hRule="atLeast"/>
          <w:tblHeader/>
        </w:trPr>
        <w:tc>
          <w:tcPr>
            <w:tcW w:w="23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序号</w:t>
            </w:r>
          </w:p>
        </w:tc>
        <w:tc>
          <w:tcPr>
            <w:tcW w:w="160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发电客户名称</w:t>
            </w:r>
          </w:p>
        </w:tc>
        <w:tc>
          <w:tcPr>
            <w:tcW w:w="287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发电地址</w:t>
            </w:r>
          </w:p>
        </w:tc>
        <w:tc>
          <w:tcPr>
            <w:tcW w:w="8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合同容量（千瓦）</w:t>
            </w:r>
          </w:p>
        </w:tc>
        <w:tc>
          <w:tcPr>
            <w:tcW w:w="602"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并网电压</w:t>
            </w:r>
          </w:p>
        </w:tc>
        <w:tc>
          <w:tcPr>
            <w:tcW w:w="655"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发电客户类型</w:t>
            </w:r>
          </w:p>
        </w:tc>
        <w:tc>
          <w:tcPr>
            <w:tcW w:w="44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发电方式</w:t>
            </w:r>
          </w:p>
        </w:tc>
        <w:tc>
          <w:tcPr>
            <w:tcW w:w="8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发电量消纳方式</w:t>
            </w:r>
          </w:p>
        </w:tc>
        <w:tc>
          <w:tcPr>
            <w:tcW w:w="660"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接入方式</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90" w:hRule="atLeast"/>
        </w:trPr>
        <w:tc>
          <w:tcPr>
            <w:tcW w:w="23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w:t>
            </w:r>
          </w:p>
        </w:tc>
        <w:tc>
          <w:tcPr>
            <w:tcW w:w="160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浙江保利钢能源科技有限公司</w:t>
            </w:r>
          </w:p>
        </w:tc>
        <w:tc>
          <w:tcPr>
            <w:tcW w:w="287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浙江省嘉兴市海盐县秦山街道落塘社区秦山工业区金平路8号</w:t>
            </w:r>
          </w:p>
        </w:tc>
        <w:tc>
          <w:tcPr>
            <w:tcW w:w="8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800</w:t>
            </w:r>
          </w:p>
        </w:tc>
        <w:tc>
          <w:tcPr>
            <w:tcW w:w="602"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交流380伏</w:t>
            </w:r>
          </w:p>
        </w:tc>
        <w:tc>
          <w:tcPr>
            <w:tcW w:w="655"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44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8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660"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90" w:hRule="atLeast"/>
        </w:trPr>
        <w:tc>
          <w:tcPr>
            <w:tcW w:w="23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w:t>
            </w:r>
          </w:p>
        </w:tc>
        <w:tc>
          <w:tcPr>
            <w:tcW w:w="160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浙江岐达科技股份有限公司</w:t>
            </w:r>
          </w:p>
        </w:tc>
        <w:tc>
          <w:tcPr>
            <w:tcW w:w="287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海盐县秦山街道落塘社区庆丰南路1号</w:t>
            </w:r>
          </w:p>
        </w:tc>
        <w:tc>
          <w:tcPr>
            <w:tcW w:w="8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1000</w:t>
            </w:r>
          </w:p>
        </w:tc>
        <w:tc>
          <w:tcPr>
            <w:tcW w:w="602"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交流380伏</w:t>
            </w:r>
          </w:p>
        </w:tc>
        <w:tc>
          <w:tcPr>
            <w:tcW w:w="655"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44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8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660"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90" w:hRule="atLeast"/>
        </w:trPr>
        <w:tc>
          <w:tcPr>
            <w:tcW w:w="23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w:t>
            </w:r>
          </w:p>
        </w:tc>
        <w:tc>
          <w:tcPr>
            <w:tcW w:w="160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嘉兴迈思特管件制造有限公司</w:t>
            </w:r>
          </w:p>
        </w:tc>
        <w:tc>
          <w:tcPr>
            <w:tcW w:w="287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海盐县秦山街道落塘社区金城路秦山工业园区1号</w:t>
            </w:r>
          </w:p>
        </w:tc>
        <w:tc>
          <w:tcPr>
            <w:tcW w:w="8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600</w:t>
            </w:r>
          </w:p>
        </w:tc>
        <w:tc>
          <w:tcPr>
            <w:tcW w:w="602"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交流380伏</w:t>
            </w:r>
          </w:p>
        </w:tc>
        <w:tc>
          <w:tcPr>
            <w:tcW w:w="655"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44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8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660"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90" w:hRule="atLeast"/>
        </w:trPr>
        <w:tc>
          <w:tcPr>
            <w:tcW w:w="23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w:t>
            </w:r>
          </w:p>
        </w:tc>
        <w:tc>
          <w:tcPr>
            <w:tcW w:w="160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浙江保利钢能源科技有限公司</w:t>
            </w:r>
          </w:p>
        </w:tc>
        <w:tc>
          <w:tcPr>
            <w:tcW w:w="287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海盐县秦山街道秦山社区长丰公路北侧办公楼</w:t>
            </w:r>
          </w:p>
        </w:tc>
        <w:tc>
          <w:tcPr>
            <w:tcW w:w="8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301.6</w:t>
            </w:r>
          </w:p>
        </w:tc>
        <w:tc>
          <w:tcPr>
            <w:tcW w:w="602"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交流380伏</w:t>
            </w:r>
          </w:p>
        </w:tc>
        <w:tc>
          <w:tcPr>
            <w:tcW w:w="655"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44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8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660"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90" w:hRule="atLeast"/>
        </w:trPr>
        <w:tc>
          <w:tcPr>
            <w:tcW w:w="23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w:t>
            </w:r>
          </w:p>
        </w:tc>
        <w:tc>
          <w:tcPr>
            <w:tcW w:w="160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海盐联众紧固件有限公司</w:t>
            </w:r>
          </w:p>
        </w:tc>
        <w:tc>
          <w:tcPr>
            <w:tcW w:w="287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海盐县秦山街道落塘社区金城路秦山镇工业园区2号</w:t>
            </w:r>
          </w:p>
        </w:tc>
        <w:tc>
          <w:tcPr>
            <w:tcW w:w="8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159</w:t>
            </w:r>
          </w:p>
        </w:tc>
        <w:tc>
          <w:tcPr>
            <w:tcW w:w="602"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交流380伏</w:t>
            </w:r>
          </w:p>
        </w:tc>
        <w:tc>
          <w:tcPr>
            <w:tcW w:w="655"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44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8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660"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90" w:hRule="atLeast"/>
        </w:trPr>
        <w:tc>
          <w:tcPr>
            <w:tcW w:w="23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w:t>
            </w:r>
          </w:p>
        </w:tc>
        <w:tc>
          <w:tcPr>
            <w:tcW w:w="160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浙江艾能聚光伏科技股份有限公司</w:t>
            </w:r>
          </w:p>
        </w:tc>
        <w:tc>
          <w:tcPr>
            <w:tcW w:w="287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海盐县秦山街道落塘社区金城路秦山镇工业园区6号</w:t>
            </w:r>
          </w:p>
        </w:tc>
        <w:tc>
          <w:tcPr>
            <w:tcW w:w="8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291.5</w:t>
            </w:r>
          </w:p>
        </w:tc>
        <w:tc>
          <w:tcPr>
            <w:tcW w:w="602"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交流380伏</w:t>
            </w:r>
          </w:p>
        </w:tc>
        <w:tc>
          <w:tcPr>
            <w:tcW w:w="655"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44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8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660"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90" w:hRule="atLeast"/>
        </w:trPr>
        <w:tc>
          <w:tcPr>
            <w:tcW w:w="23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w:t>
            </w:r>
          </w:p>
        </w:tc>
        <w:tc>
          <w:tcPr>
            <w:tcW w:w="160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浙江艾能聚光伏科技股份有限公司</w:t>
            </w:r>
          </w:p>
        </w:tc>
        <w:tc>
          <w:tcPr>
            <w:tcW w:w="287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海盐县秦山街道落塘社区金平路18号</w:t>
            </w:r>
          </w:p>
        </w:tc>
        <w:tc>
          <w:tcPr>
            <w:tcW w:w="8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503.36</w:t>
            </w:r>
          </w:p>
        </w:tc>
        <w:tc>
          <w:tcPr>
            <w:tcW w:w="602"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交流380伏</w:t>
            </w:r>
          </w:p>
        </w:tc>
        <w:tc>
          <w:tcPr>
            <w:tcW w:w="655"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44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8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660"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90" w:hRule="atLeast"/>
        </w:trPr>
        <w:tc>
          <w:tcPr>
            <w:tcW w:w="23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w:t>
            </w:r>
          </w:p>
        </w:tc>
        <w:tc>
          <w:tcPr>
            <w:tcW w:w="160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浙江艾能聚光伏科技股份有限公司</w:t>
            </w:r>
          </w:p>
        </w:tc>
        <w:tc>
          <w:tcPr>
            <w:tcW w:w="287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海盐县秦山街道庆丰社区庆丰南一路秦山镇工业园1号</w:t>
            </w:r>
          </w:p>
        </w:tc>
        <w:tc>
          <w:tcPr>
            <w:tcW w:w="8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933.12</w:t>
            </w:r>
          </w:p>
        </w:tc>
        <w:tc>
          <w:tcPr>
            <w:tcW w:w="602"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交流20千伏</w:t>
            </w:r>
          </w:p>
        </w:tc>
        <w:tc>
          <w:tcPr>
            <w:tcW w:w="655"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44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8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全额上网</w:t>
            </w:r>
          </w:p>
        </w:tc>
        <w:tc>
          <w:tcPr>
            <w:tcW w:w="660"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接入公共电网</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90" w:hRule="atLeast"/>
        </w:trPr>
        <w:tc>
          <w:tcPr>
            <w:tcW w:w="23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9</w:t>
            </w:r>
          </w:p>
        </w:tc>
        <w:tc>
          <w:tcPr>
            <w:tcW w:w="160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浙江艾能聚光伏科技股份有限公司</w:t>
            </w:r>
          </w:p>
        </w:tc>
        <w:tc>
          <w:tcPr>
            <w:tcW w:w="287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海盐县秦山街道落塘社区金城路工业区8号</w:t>
            </w:r>
          </w:p>
        </w:tc>
        <w:tc>
          <w:tcPr>
            <w:tcW w:w="8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1052.58</w:t>
            </w:r>
          </w:p>
        </w:tc>
        <w:tc>
          <w:tcPr>
            <w:tcW w:w="602"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交流10千伏</w:t>
            </w:r>
          </w:p>
        </w:tc>
        <w:tc>
          <w:tcPr>
            <w:tcW w:w="655"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44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8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660"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90" w:hRule="atLeast"/>
        </w:trPr>
        <w:tc>
          <w:tcPr>
            <w:tcW w:w="23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10</w:t>
            </w:r>
          </w:p>
        </w:tc>
        <w:tc>
          <w:tcPr>
            <w:tcW w:w="160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海盐宏达五金制造有限公司</w:t>
            </w:r>
          </w:p>
        </w:tc>
        <w:tc>
          <w:tcPr>
            <w:tcW w:w="287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海盐县秦山街道落塘社区金城二路5号</w:t>
            </w:r>
          </w:p>
        </w:tc>
        <w:tc>
          <w:tcPr>
            <w:tcW w:w="8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130</w:t>
            </w:r>
          </w:p>
        </w:tc>
        <w:tc>
          <w:tcPr>
            <w:tcW w:w="602"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交流380伏</w:t>
            </w:r>
          </w:p>
        </w:tc>
        <w:tc>
          <w:tcPr>
            <w:tcW w:w="655"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44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8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660"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90" w:hRule="atLeast"/>
        </w:trPr>
        <w:tc>
          <w:tcPr>
            <w:tcW w:w="4724" w:type="dxa"/>
            <w:gridSpan w:val="3"/>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合计</w:t>
            </w:r>
          </w:p>
        </w:tc>
        <w:tc>
          <w:tcPr>
            <w:tcW w:w="8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fldChar w:fldCharType="begin"/>
            </w:r>
            <w:r>
              <w:rPr>
                <w:rFonts w:hint="default" w:ascii="Times New Roman" w:hAnsi="Times New Roman" w:eastAsia="宋体" w:cs="Times New Roman"/>
                <w:color w:val="000000"/>
                <w:kern w:val="0"/>
                <w:sz w:val="18"/>
                <w:szCs w:val="18"/>
              </w:rPr>
              <w:instrText xml:space="preserve"> =SUM(ABOVE) </w:instrText>
            </w:r>
            <w:r>
              <w:rPr>
                <w:rFonts w:hint="default" w:ascii="Times New Roman" w:hAnsi="Times New Roman" w:eastAsia="宋体" w:cs="Times New Roman"/>
                <w:color w:val="000000"/>
                <w:kern w:val="0"/>
                <w:sz w:val="18"/>
                <w:szCs w:val="18"/>
              </w:rPr>
              <w:fldChar w:fldCharType="separate"/>
            </w:r>
            <w:r>
              <w:rPr>
                <w:rFonts w:hint="default" w:ascii="Times New Roman" w:hAnsi="Times New Roman" w:eastAsia="宋体" w:cs="Times New Roman"/>
                <w:color w:val="000000"/>
                <w:kern w:val="0"/>
                <w:sz w:val="18"/>
                <w:szCs w:val="18"/>
              </w:rPr>
              <w:t>5771.16</w:t>
            </w:r>
            <w:r>
              <w:rPr>
                <w:rFonts w:hint="default" w:ascii="Times New Roman" w:hAnsi="Times New Roman" w:eastAsia="宋体" w:cs="Times New Roman"/>
                <w:color w:val="000000"/>
                <w:kern w:val="0"/>
                <w:sz w:val="18"/>
                <w:szCs w:val="18"/>
              </w:rPr>
              <w:fldChar w:fldCharType="end"/>
            </w:r>
          </w:p>
        </w:tc>
        <w:tc>
          <w:tcPr>
            <w:tcW w:w="602"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w:t>
            </w:r>
          </w:p>
        </w:tc>
        <w:tc>
          <w:tcPr>
            <w:tcW w:w="655"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w:t>
            </w:r>
          </w:p>
        </w:tc>
        <w:tc>
          <w:tcPr>
            <w:tcW w:w="44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w:t>
            </w:r>
          </w:p>
        </w:tc>
        <w:tc>
          <w:tcPr>
            <w:tcW w:w="8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w:t>
            </w:r>
          </w:p>
        </w:tc>
        <w:tc>
          <w:tcPr>
            <w:tcW w:w="660"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w:t>
            </w:r>
          </w:p>
        </w:tc>
      </w:tr>
    </w:tbl>
    <w:p>
      <w:pPr>
        <w:pStyle w:val="91"/>
        <w:adjustRightInd w:val="0"/>
        <w:snapToGrid w:val="0"/>
        <w:spacing w:before="381" w:beforeLines="100"/>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表3-</w:t>
      </w:r>
      <w:r>
        <w:rPr>
          <w:rFonts w:hint="eastAsia" w:eastAsia="宋体" w:cs="Times New Roman"/>
          <w:b w:val="0"/>
          <w:sz w:val="28"/>
          <w:szCs w:val="28"/>
          <w:lang w:val="en-US" w:eastAsia="zh-CN"/>
        </w:rPr>
        <w:t>4</w:t>
      </w:r>
      <w:r>
        <w:rPr>
          <w:rFonts w:hint="default" w:ascii="Times New Roman" w:hAnsi="Times New Roman" w:eastAsia="宋体" w:cs="Times New Roman"/>
          <w:b w:val="0"/>
          <w:sz w:val="28"/>
          <w:szCs w:val="28"/>
          <w:lang w:eastAsia="zh-CN"/>
        </w:rPr>
        <w:t xml:space="preserve"> 试点区域家庭屋顶光伏明细表</w:t>
      </w:r>
    </w:p>
    <w:tbl>
      <w:tblPr>
        <w:tblStyle w:val="29"/>
        <w:tblW w:w="88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7"/>
        <w:gridCol w:w="780"/>
        <w:gridCol w:w="2652"/>
        <w:gridCol w:w="1136"/>
        <w:gridCol w:w="875"/>
        <w:gridCol w:w="780"/>
        <w:gridCol w:w="524"/>
        <w:gridCol w:w="1032"/>
        <w:gridCol w:w="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blHeader/>
        </w:trPr>
        <w:tc>
          <w:tcPr>
            <w:tcW w:w="267" w:type="dxa"/>
            <w:tcBorders>
              <w:top w:val="single" w:color="auto" w:sz="12"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序号</w:t>
            </w:r>
          </w:p>
        </w:tc>
        <w:tc>
          <w:tcPr>
            <w:tcW w:w="780" w:type="dxa"/>
            <w:tcBorders>
              <w:top w:val="single" w:color="auto" w:sz="12"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发电客户名称</w:t>
            </w:r>
          </w:p>
        </w:tc>
        <w:tc>
          <w:tcPr>
            <w:tcW w:w="2652" w:type="dxa"/>
            <w:tcBorders>
              <w:top w:val="single" w:color="auto" w:sz="12"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发电地址</w:t>
            </w:r>
          </w:p>
        </w:tc>
        <w:tc>
          <w:tcPr>
            <w:tcW w:w="1136" w:type="dxa"/>
            <w:tcBorders>
              <w:top w:val="single" w:color="auto" w:sz="12"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合同容量（千瓦）</w:t>
            </w:r>
          </w:p>
        </w:tc>
        <w:tc>
          <w:tcPr>
            <w:tcW w:w="875" w:type="dxa"/>
            <w:tcBorders>
              <w:top w:val="single" w:color="auto" w:sz="12"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并网电压</w:t>
            </w:r>
          </w:p>
        </w:tc>
        <w:tc>
          <w:tcPr>
            <w:tcW w:w="780" w:type="dxa"/>
            <w:tcBorders>
              <w:top w:val="single" w:color="auto" w:sz="12"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发电客户类型</w:t>
            </w:r>
          </w:p>
        </w:tc>
        <w:tc>
          <w:tcPr>
            <w:tcW w:w="524" w:type="dxa"/>
            <w:tcBorders>
              <w:top w:val="single" w:color="auto" w:sz="12"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发电方式</w:t>
            </w:r>
          </w:p>
        </w:tc>
        <w:tc>
          <w:tcPr>
            <w:tcW w:w="1032" w:type="dxa"/>
            <w:tcBorders>
              <w:top w:val="single" w:color="auto" w:sz="12"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发电量消纳方式</w:t>
            </w:r>
          </w:p>
        </w:tc>
        <w:tc>
          <w:tcPr>
            <w:tcW w:w="772" w:type="dxa"/>
            <w:tcBorders>
              <w:top w:val="single" w:color="auto" w:sz="12"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陆燕敏</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海盐县秦山街道落塘社区落塘村陆家场05号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3.06</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陆永龙</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海盐县秦山街道落塘社区陆家场</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5.83</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杨戴军</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海盐县秦山街道落塘社区落塘村落塘头二区52号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5.3</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全额上网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接入公共电网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杨文革</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海盐县秦山街道落塘社区落塘村落塘头二区50号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陈晓东</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浙江省嘉兴市海盐县秦山街道落塘社区落塘村落塘头二区11号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7.56</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朱家忠</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海盐县秦山街道落塘社区落塘村落塘头二区62号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6.48</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朱祥生</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海盐县秦山街道落塘社区落塘村落塘头二区86号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5.4</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姜海良</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海盐县秦山街道落塘社区落塘村庵前6号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6.24</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全额上网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接入公共电网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9</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徐红军</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海盐县秦山街道落塘社区落塘村安全10号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10</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徐新良</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海盐县秦山街道落塘社区落塘村安全30号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11</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徐顺荣</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海盐县秦山街道落塘社区落塘村安全32号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12</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王国明</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海盐县秦山街道落塘社区落塘村渡船头39号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10</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交流380伏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13</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蒋凤祥</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海盐县秦山街道落塘社区落塘村落塘头一区14号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14</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姜超琴</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海盐县秦山街道落塘社区落塘村姜介埭</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15</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姜敏凯</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海盐县秦山街道落塘社区落塘村庵前5号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5.04</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16</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张行宝</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海盐县秦山街道庆丰社区庆丰村张家2号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17</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陈华明</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海盐县秦山街道落塘社区落塘村落塘头二区7号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18</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张建英</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海盐县秦山街道落塘社区落塘村姜介埭28号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7.8</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全额上网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接入公共电网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19</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姜华峰</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海盐县秦山街道落塘社区落塘村庵前17号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交流380伏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20</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沈建生</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海盐县秦山街道庆丰社区太平村东风组</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6.325</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21</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姜新荣</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海盐县秦山街道落塘社区落塘村庵前组</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22</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张小英</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海盐县秦山街道落塘社区落塘村渡船头24号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8.32</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全额上网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接入公共电网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23</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姜海卫</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海盐县秦山街道落塘社区落塘村庵前组</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5.3</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24</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陈怡</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海盐县秦山街道落塘社区落塘村落塘头二区19号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7.95</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25</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林建祥</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海盐县秦山街道落塘社区落塘村落塘头一区136号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2.65</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交流380伏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26</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罗文兵</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海盐县秦山街道落塘社区落塘村落塘头一区109号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5.94</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27</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杨炳林</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海盐县秦山街道落塘社区落塘村落塘头二区33号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5.4</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28</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罗树英</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海盐县秦山街道落塘社区落塘村落塘头一区124号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29</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徐冬梅</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海盐县秦山街道落塘社区落塘村安全12号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5.4</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30</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王月明</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海盐县秦山街道落塘社区落塘村海塘组渡船头14号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5.94</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31</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王永明</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海盐县秦山街道落塘社区落塘村渡船头19号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6.48</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32</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王建中</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海盐县秦山街道落塘社区落塘村海塘组渡船头42号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7.83</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交流380伏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33</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王红福</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海盐县秦山街道落塘社区落塘村海塘组渡船头20号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5.4</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34</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蒋雪良</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海盐县秦山街道落塘社区落塘村落塘头一区45号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7.83</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35</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罗李明</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海盐县秦山街道落塘社区落塘村落塘头一区102号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4.32</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全额上网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接入公共电网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36</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肖建祥</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海盐县秦山街道落塘社区落塘村落塘头一区62号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7.29</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37</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陈凤祥</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海盐县秦山街道落塘社区落塘村翁东桥</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6.48</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38</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蔡建琴</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海盐县秦山街道落塘社区落塘村一区137号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7.83</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39</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曹娟瑶</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海盐县秦山街道落塘社区落塘村落塘头一区75号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7.83</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40</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陈良</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海盐县秦山街道落塘社区落塘村落塘头二区13号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5.4</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41</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虞燕华</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海盐县秦山街道落塘社区落塘村落塘头一区59号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42</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陈生明</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海盐县秦山街道落塘社区落塘村落塘头二区25号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7.98</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43</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陈春华</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海盐县秦山街道落塘社区落塘村落塘头二区15号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7.98</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44</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吴凤英</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海盐县秦山街道落塘社区落塘村落塘头一区144号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7.83</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45</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虞其英</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海盐县秦山街道落塘社区落塘村落塘头一区60号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46</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周军华</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海盐县秦山街道落塘社区落塘村落塘头一区40号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3.575</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47</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王海良</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浙江省嘉兴市海盐县秦山街道落塘社区落塘村渡船头32号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6.05</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全额上网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接入公共电网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67" w:type="dxa"/>
            <w:tcBorders>
              <w:top w:val="single" w:color="auto" w:sz="8" w:space="0"/>
              <w:left w:val="single" w:color="auto" w:sz="12"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48</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罗敏锋</w:t>
            </w:r>
          </w:p>
        </w:tc>
        <w:tc>
          <w:tcPr>
            <w:tcW w:w="265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浙江省嘉兴市海盐县秦山街道落塘社区落塘村落塘头一区116号</w:t>
            </w:r>
          </w:p>
        </w:tc>
        <w:tc>
          <w:tcPr>
            <w:tcW w:w="113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8</w:t>
            </w:r>
          </w:p>
        </w:tc>
        <w:tc>
          <w:tcPr>
            <w:tcW w:w="87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交流220伏</w:t>
            </w:r>
          </w:p>
        </w:tc>
        <w:tc>
          <w:tcPr>
            <w:tcW w:w="7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第一类</w:t>
            </w:r>
          </w:p>
        </w:tc>
        <w:tc>
          <w:tcPr>
            <w:tcW w:w="524"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光伏发电</w:t>
            </w:r>
          </w:p>
        </w:tc>
        <w:tc>
          <w:tcPr>
            <w:tcW w:w="1032"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自发自用余电上网</w:t>
            </w:r>
          </w:p>
        </w:tc>
        <w:tc>
          <w:tcPr>
            <w:tcW w:w="772" w:type="dxa"/>
            <w:tcBorders>
              <w:top w:val="single" w:color="auto" w:sz="8" w:space="0"/>
              <w:left w:val="single" w:color="auto" w:sz="8" w:space="0"/>
              <w:bottom w:val="single" w:color="auto" w:sz="8"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接入用户侧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3699" w:type="dxa"/>
            <w:gridSpan w:val="3"/>
            <w:tcBorders>
              <w:top w:val="single" w:color="auto" w:sz="8" w:space="0"/>
              <w:left w:val="single" w:color="auto" w:sz="12" w:space="0"/>
              <w:bottom w:val="single" w:color="auto" w:sz="12"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合计</w:t>
            </w:r>
          </w:p>
        </w:tc>
        <w:tc>
          <w:tcPr>
            <w:tcW w:w="1136" w:type="dxa"/>
            <w:tcBorders>
              <w:top w:val="single" w:color="auto" w:sz="8" w:space="0"/>
              <w:left w:val="single" w:color="auto" w:sz="8" w:space="0"/>
              <w:bottom w:val="single" w:color="auto" w:sz="12"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fldChar w:fldCharType="begin"/>
            </w:r>
            <w:r>
              <w:rPr>
                <w:rFonts w:hint="default" w:ascii="Times New Roman" w:hAnsi="Times New Roman" w:eastAsia="宋体" w:cs="Times New Roman"/>
                <w:color w:val="000000"/>
                <w:kern w:val="0"/>
                <w:sz w:val="18"/>
                <w:szCs w:val="18"/>
              </w:rPr>
              <w:instrText xml:space="preserve"> =SUM(ABOVE) </w:instrText>
            </w:r>
            <w:r>
              <w:rPr>
                <w:rFonts w:hint="default" w:ascii="Times New Roman" w:hAnsi="Times New Roman" w:eastAsia="宋体" w:cs="Times New Roman"/>
                <w:color w:val="000000"/>
                <w:kern w:val="0"/>
                <w:sz w:val="18"/>
                <w:szCs w:val="18"/>
              </w:rPr>
              <w:fldChar w:fldCharType="separate"/>
            </w:r>
            <w:r>
              <w:rPr>
                <w:rFonts w:hint="default" w:ascii="Times New Roman" w:hAnsi="Times New Roman" w:eastAsia="宋体" w:cs="Times New Roman"/>
                <w:color w:val="000000"/>
                <w:kern w:val="0"/>
                <w:sz w:val="18"/>
                <w:szCs w:val="18"/>
              </w:rPr>
              <w:t>294.04</w:t>
            </w:r>
            <w:r>
              <w:rPr>
                <w:rFonts w:hint="default" w:ascii="Times New Roman" w:hAnsi="Times New Roman" w:eastAsia="宋体" w:cs="Times New Roman"/>
                <w:color w:val="000000"/>
                <w:kern w:val="0"/>
                <w:sz w:val="18"/>
                <w:szCs w:val="18"/>
              </w:rPr>
              <w:fldChar w:fldCharType="end"/>
            </w:r>
          </w:p>
        </w:tc>
        <w:tc>
          <w:tcPr>
            <w:tcW w:w="875" w:type="dxa"/>
            <w:tcBorders>
              <w:top w:val="single" w:color="auto" w:sz="8" w:space="0"/>
              <w:left w:val="single" w:color="auto" w:sz="8" w:space="0"/>
              <w:bottom w:val="single" w:color="auto" w:sz="12"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w:t>
            </w:r>
          </w:p>
        </w:tc>
        <w:tc>
          <w:tcPr>
            <w:tcW w:w="780" w:type="dxa"/>
            <w:tcBorders>
              <w:top w:val="single" w:color="auto" w:sz="8" w:space="0"/>
              <w:left w:val="single" w:color="auto" w:sz="8" w:space="0"/>
              <w:bottom w:val="single" w:color="auto" w:sz="12"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w:t>
            </w:r>
          </w:p>
        </w:tc>
        <w:tc>
          <w:tcPr>
            <w:tcW w:w="524" w:type="dxa"/>
            <w:tcBorders>
              <w:top w:val="single" w:color="auto" w:sz="8" w:space="0"/>
              <w:left w:val="single" w:color="auto" w:sz="8" w:space="0"/>
              <w:bottom w:val="single" w:color="auto" w:sz="12"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w:t>
            </w:r>
          </w:p>
        </w:tc>
        <w:tc>
          <w:tcPr>
            <w:tcW w:w="1032" w:type="dxa"/>
            <w:tcBorders>
              <w:top w:val="single" w:color="auto" w:sz="8" w:space="0"/>
              <w:left w:val="single" w:color="auto" w:sz="8" w:space="0"/>
              <w:bottom w:val="single" w:color="auto" w:sz="12" w:space="0"/>
              <w:right w:val="single" w:color="auto" w:sz="8"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w:t>
            </w:r>
          </w:p>
        </w:tc>
        <w:tc>
          <w:tcPr>
            <w:tcW w:w="772" w:type="dxa"/>
            <w:tcBorders>
              <w:top w:val="single" w:color="auto" w:sz="8" w:space="0"/>
              <w:left w:val="single" w:color="auto" w:sz="8" w:space="0"/>
              <w:bottom w:val="single" w:color="auto" w:sz="12" w:space="0"/>
              <w:right w:val="single" w:color="auto" w:sz="12" w:space="0"/>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w:t>
            </w:r>
          </w:p>
        </w:tc>
      </w:tr>
      <w:bookmarkEnd w:id="75"/>
    </w:tbl>
    <w:p>
      <w:pPr>
        <w:pStyle w:val="44"/>
        <w:keepNext w:val="0"/>
        <w:keepLines w:val="0"/>
        <w:pageBreakBefore w:val="0"/>
        <w:widowControl w:val="0"/>
        <w:kinsoku/>
        <w:wordWrap/>
        <w:overflowPunct/>
        <w:topLinePunct w:val="0"/>
        <w:autoSpaceDE/>
        <w:autoSpaceDN/>
        <w:bidi w:val="0"/>
        <w:adjustRightInd w:val="0"/>
        <w:snapToGrid w:val="0"/>
        <w:spacing w:line="579" w:lineRule="exact"/>
        <w:ind w:firstLine="640" w:firstLineChars="200"/>
        <w:textAlignment w:val="auto"/>
        <w:rPr>
          <w:rFonts w:hint="default" w:ascii="Times New Roman" w:hAnsi="Times New Roman" w:eastAsia="楷体" w:cs="Times New Roman"/>
          <w:b w:val="0"/>
        </w:rPr>
      </w:pPr>
      <w:bookmarkStart w:id="76" w:name="_Toc23253635"/>
      <w:bookmarkStart w:id="77" w:name="_Toc464203859"/>
      <w:bookmarkStart w:id="78" w:name="_Toc439933786"/>
      <w:r>
        <w:rPr>
          <w:rFonts w:hint="default" w:ascii="Times New Roman" w:hAnsi="Times New Roman" w:eastAsia="楷体" w:cs="Times New Roman"/>
          <w:b w:val="0"/>
        </w:rPr>
        <w:t>（四）区域电网发展规划</w:t>
      </w:r>
      <w:bookmarkEnd w:id="76"/>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根据《海盐秦山街道配电网专项规划》，海盐电网20千伏供区</w:t>
      </w:r>
      <w:bookmarkStart w:id="79" w:name="_Hlk6150288"/>
      <w:r>
        <w:rPr>
          <w:rFonts w:hint="default" w:ascii="Times New Roman" w:hAnsi="Times New Roman" w:cs="Times New Roman"/>
          <w:sz w:val="32"/>
          <w:szCs w:val="32"/>
        </w:rPr>
        <w:t>范围为北至秦山街道行政边界，西至六级航道官塘线和七级航道永明线，南至长山河，东临杭州湾。</w:t>
      </w:r>
      <w:bookmarkEnd w:id="79"/>
      <w:r>
        <w:rPr>
          <w:rFonts w:hint="default" w:ascii="Times New Roman" w:hAnsi="Times New Roman" w:cs="Times New Roman"/>
          <w:sz w:val="32"/>
          <w:szCs w:val="32"/>
        </w:rPr>
        <w:t>根据秦山区域专项规划，试点区域位于万兴网格（JXX3-TY-03C）范围内。</w:t>
      </w:r>
    </w:p>
    <w:p>
      <w:pPr>
        <w:pStyle w:val="44"/>
        <w:keepNext w:val="0"/>
        <w:keepLines w:val="0"/>
        <w:pageBreakBefore w:val="0"/>
        <w:widowControl w:val="0"/>
        <w:kinsoku/>
        <w:wordWrap/>
        <w:overflowPunct/>
        <w:topLinePunct w:val="0"/>
        <w:autoSpaceDE/>
        <w:autoSpaceDN/>
        <w:bidi w:val="0"/>
        <w:adjustRightInd w:val="0"/>
        <w:snapToGrid w:val="0"/>
        <w:spacing w:before="0" w:after="0" w:line="579" w:lineRule="exact"/>
        <w:ind w:firstLine="640" w:firstLineChars="200"/>
        <w:textAlignment w:val="auto"/>
        <w:rPr>
          <w:rFonts w:hint="default" w:ascii="Times New Roman" w:hAnsi="Times New Roman" w:eastAsia="楷体" w:cs="Times New Roman"/>
          <w:b w:val="0"/>
        </w:rPr>
      </w:pPr>
      <w:bookmarkStart w:id="80" w:name="_Toc23253636"/>
      <w:r>
        <w:rPr>
          <w:rFonts w:hint="default" w:ascii="Times New Roman" w:hAnsi="Times New Roman" w:eastAsia="楷体" w:cs="Times New Roman"/>
          <w:b w:val="0"/>
        </w:rPr>
        <w:t>（五）存在的主要问题</w:t>
      </w:r>
      <w:bookmarkEnd w:id="80"/>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通过对试点区域电网的分析，现状电网主要存在以下几方面问题：</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1．10千伏与20千伏线路交叉混供</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目前区域内由4回10千伏线路和4回20千伏线路供电，电网交叉混供，浪费通道资源，增加了运行成本和管理难度。</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2．10千伏线路联络关系较为复杂，运行管理难度较大</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区域周边10千伏线路联络关系较为复杂，存在三联络、四联络甚至五联络，如下图所示，给电网运行方式调整及设备管理带来一定困难。</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3．区域内20千伏电网为万兴变站内自环结构，供电可靠性不足。</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区域内4回20千伏线路均为110千伏万兴变出线，组成2组站内自环。110千伏万兴变故障情况下，仅能通过110千伏澉浦变联络线路给母线供电。</w:t>
      </w:r>
    </w:p>
    <w:bookmarkEnd w:id="45"/>
    <w:bookmarkEnd w:id="46"/>
    <w:bookmarkEnd w:id="47"/>
    <w:bookmarkEnd w:id="48"/>
    <w:bookmarkEnd w:id="49"/>
    <w:bookmarkEnd w:id="50"/>
    <w:bookmarkEnd w:id="51"/>
    <w:bookmarkEnd w:id="77"/>
    <w:bookmarkEnd w:id="78"/>
    <w:p>
      <w:pPr>
        <w:pStyle w:val="43"/>
        <w:pageBreakBefore w:val="0"/>
        <w:widowControl w:val="0"/>
        <w:numPr>
          <w:ilvl w:val="0"/>
          <w:numId w:val="0"/>
        </w:numPr>
        <w:kinsoku/>
        <w:wordWrap/>
        <w:overflowPunct/>
        <w:topLinePunct w:val="0"/>
        <w:autoSpaceDE/>
        <w:autoSpaceDN/>
        <w:bidi w:val="0"/>
        <w:adjustRightInd w:val="0"/>
        <w:snapToGrid w:val="0"/>
        <w:spacing w:before="381" w:beforeLines="100" w:line="579" w:lineRule="exact"/>
        <w:textAlignment w:val="auto"/>
        <w:rPr>
          <w:rFonts w:hint="default" w:ascii="Times New Roman" w:hAnsi="Times New Roman" w:cs="Times New Roman"/>
          <w:b w:val="0"/>
          <w:sz w:val="32"/>
          <w:szCs w:val="32"/>
        </w:rPr>
      </w:pPr>
      <w:bookmarkStart w:id="81" w:name="_Toc23253637"/>
      <w:bookmarkStart w:id="82" w:name="_Toc494357526"/>
      <w:bookmarkStart w:id="83" w:name="_Toc495541335"/>
      <w:bookmarkStart w:id="84" w:name="_Toc464203861"/>
      <w:bookmarkStart w:id="85" w:name="_Toc464203872"/>
      <w:r>
        <w:rPr>
          <w:rFonts w:hint="default" w:ascii="Times New Roman" w:hAnsi="Times New Roman" w:cs="Times New Roman"/>
          <w:b w:val="0"/>
          <w:sz w:val="32"/>
          <w:szCs w:val="32"/>
          <w:lang w:val="en-US" w:eastAsia="zh-CN"/>
        </w:rPr>
        <w:t xml:space="preserve">    四、</w:t>
      </w:r>
      <w:r>
        <w:rPr>
          <w:rFonts w:hint="default" w:ascii="Times New Roman" w:hAnsi="Times New Roman" w:cs="Times New Roman"/>
          <w:b w:val="0"/>
          <w:sz w:val="32"/>
          <w:szCs w:val="32"/>
        </w:rPr>
        <w:t>区域用电预测</w:t>
      </w:r>
      <w:bookmarkEnd w:id="81"/>
      <w:bookmarkEnd w:id="82"/>
      <w:bookmarkEnd w:id="83"/>
      <w:bookmarkEnd w:id="84"/>
    </w:p>
    <w:p>
      <w:pPr>
        <w:pStyle w:val="44"/>
        <w:pageBreakBefore w:val="0"/>
        <w:widowControl w:val="0"/>
        <w:kinsoku/>
        <w:wordWrap/>
        <w:overflowPunct/>
        <w:topLinePunct w:val="0"/>
        <w:autoSpaceDE/>
        <w:autoSpaceDN/>
        <w:bidi w:val="0"/>
        <w:adjustRightInd w:val="0"/>
        <w:snapToGrid w:val="0"/>
        <w:spacing w:line="579" w:lineRule="exact"/>
        <w:ind w:firstLine="640" w:firstLineChars="200"/>
        <w:textAlignment w:val="auto"/>
        <w:rPr>
          <w:rFonts w:hint="default" w:ascii="Times New Roman" w:hAnsi="Times New Roman" w:eastAsia="楷体" w:cs="Times New Roman"/>
          <w:b w:val="0"/>
        </w:rPr>
      </w:pPr>
      <w:bookmarkStart w:id="86" w:name="_Toc23253638"/>
      <w:r>
        <w:rPr>
          <w:rFonts w:hint="default" w:ascii="Times New Roman" w:hAnsi="Times New Roman" w:eastAsia="楷体" w:cs="Times New Roman"/>
          <w:b w:val="0"/>
        </w:rPr>
        <w:t>（一）区域电力需求增长趋势分析和负荷特性分析</w:t>
      </w:r>
      <w:bookmarkEnd w:id="86"/>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试点区域2018年用电总负荷约24.075兆瓦（按配变负荷叠加统计，试点区域现有配变106台，总容量49.905兆伏安），用电量0.92亿千瓦时。</w:t>
      </w:r>
    </w:p>
    <w:p>
      <w:pPr>
        <w:keepNext w:val="0"/>
        <w:keepLines w:val="0"/>
        <w:pageBreakBefore w:val="0"/>
        <w:widowControl w:val="0"/>
        <w:kinsoku/>
        <w:wordWrap/>
        <w:overflowPunct/>
        <w:topLinePunct w:val="0"/>
        <w:autoSpaceDE/>
        <w:autoSpaceDN/>
        <w:bidi w:val="0"/>
        <w:adjustRightInd w:val="0"/>
        <w:snapToGrid w:val="0"/>
        <w:spacing w:line="579" w:lineRule="exact"/>
        <w:ind w:firstLine="561" w:firstLineChars="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十二五”以来，试点区域内负荷、电量总体呈现较快增长，2010～2018年期间负荷年均增长率7.8%，电量年均增长率7.4%。“十二五”前两年，试点区负荷增长率保持在10%左右的较高增速，2012年受经济形势影响，负荷增长率有所下降，2014年以来，随着经济状况回暖，负荷增长率有所回升。</w:t>
      </w:r>
    </w:p>
    <w:p>
      <w:pPr>
        <w:keepNext w:val="0"/>
        <w:keepLines w:val="0"/>
        <w:pageBreakBefore w:val="0"/>
        <w:widowControl w:val="0"/>
        <w:kinsoku/>
        <w:wordWrap/>
        <w:overflowPunct/>
        <w:topLinePunct w:val="0"/>
        <w:autoSpaceDE/>
        <w:autoSpaceDN/>
        <w:bidi w:val="0"/>
        <w:adjustRightInd w:val="0"/>
        <w:snapToGrid w:val="0"/>
        <w:spacing w:line="579" w:lineRule="exact"/>
        <w:ind w:firstLine="561" w:firstLineChars="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试点区2010～2018年负荷、电量增长趋势分别见图4-1、4-2所示。</w:t>
      </w:r>
    </w:p>
    <w:p>
      <w:pPr>
        <w:pStyle w:val="44"/>
        <w:keepNext w:val="0"/>
        <w:keepLines w:val="0"/>
        <w:pageBreakBefore w:val="0"/>
        <w:widowControl w:val="0"/>
        <w:kinsoku/>
        <w:wordWrap/>
        <w:overflowPunct/>
        <w:topLinePunct w:val="0"/>
        <w:autoSpaceDE/>
        <w:autoSpaceDN/>
        <w:bidi w:val="0"/>
        <w:adjustRightInd w:val="0"/>
        <w:snapToGrid w:val="0"/>
        <w:spacing w:line="579" w:lineRule="exact"/>
        <w:ind w:firstLine="640" w:firstLineChars="200"/>
        <w:textAlignment w:val="auto"/>
        <w:rPr>
          <w:rFonts w:hint="default" w:ascii="Times New Roman" w:hAnsi="Times New Roman" w:cs="Times New Roman"/>
        </w:rPr>
      </w:pPr>
      <w:bookmarkStart w:id="87" w:name="_Toc23253639"/>
      <w:r>
        <w:rPr>
          <w:rFonts w:hint="default" w:ascii="Times New Roman" w:hAnsi="Times New Roman" w:eastAsia="楷体" w:cs="Times New Roman"/>
          <w:b w:val="0"/>
        </w:rPr>
        <w:t>（二）区域用电量预测</w:t>
      </w:r>
      <w:bookmarkEnd w:id="87"/>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1．远景年电力需求预测</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采用空间负荷密度法进行远景年负荷预测，已有控制性详细规划。已知规划用地性质和建筑面积的情况下，可采用如下计算公式进行预测：</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p>
    <w:p>
      <w:pPr>
        <w:pStyle w:val="72"/>
        <w:spacing w:before="114" w:after="114"/>
        <w:ind w:firstLine="480"/>
        <w:rPr>
          <w:rFonts w:hint="default" w:ascii="Times New Roman" w:hAnsi="Times New Roman" w:eastAsia="仿宋" w:cs="Times New Roman"/>
        </w:rPr>
      </w:pPr>
      <w:r>
        <w:rPr>
          <w:rFonts w:hint="default" w:ascii="Times New Roman" w:hAnsi="Times New Roman" w:eastAsia="仿宋" w:cs="Times New Roman"/>
          <w:lang w:val="en-US"/>
        </w:rPr>
        <w:drawing>
          <wp:inline distT="0" distB="0" distL="114300" distR="114300">
            <wp:extent cx="4884420" cy="2887980"/>
            <wp:effectExtent l="4445" t="4445" r="6985" b="22225"/>
            <wp:docPr id="1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91"/>
        <w:adjustRightInd w:val="0"/>
        <w:snapToGrid w:val="0"/>
        <w:spacing w:before="381" w:beforeLines="100"/>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图4-1  试点区域2010</w:t>
      </w:r>
      <w:r>
        <w:rPr>
          <w:rFonts w:hint="default" w:ascii="Times New Roman" w:hAnsi="Times New Roman" w:cs="Times New Roman"/>
          <w:color w:val="000000"/>
          <w:sz w:val="32"/>
          <w:szCs w:val="32"/>
        </w:rPr>
        <w:t>～</w:t>
      </w:r>
      <w:r>
        <w:rPr>
          <w:rFonts w:hint="default" w:ascii="Times New Roman" w:hAnsi="Times New Roman" w:eastAsia="宋体" w:cs="Times New Roman"/>
          <w:b w:val="0"/>
          <w:sz w:val="28"/>
          <w:szCs w:val="28"/>
          <w:lang w:eastAsia="zh-CN"/>
        </w:rPr>
        <w:t>2018年负荷增长趋势</w:t>
      </w:r>
    </w:p>
    <w:p>
      <w:pPr>
        <w:ind w:firstLine="0" w:firstLineChars="0"/>
        <w:jc w:val="center"/>
        <w:rPr>
          <w:rFonts w:hint="default" w:ascii="Times New Roman" w:hAnsi="Times New Roman" w:eastAsia="仿宋" w:cs="Times New Roman"/>
        </w:rPr>
      </w:pPr>
      <w:r>
        <w:rPr>
          <w:rFonts w:hint="default" w:ascii="Times New Roman" w:hAnsi="Times New Roman" w:eastAsia="仿宋" w:cs="Times New Roman"/>
        </w:rPr>
        <w:drawing>
          <wp:inline distT="0" distB="0" distL="114300" distR="114300">
            <wp:extent cx="4578350" cy="2749550"/>
            <wp:effectExtent l="4445" t="4445" r="8255" b="8255"/>
            <wp:docPr id="19" name="图片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91"/>
        <w:adjustRightInd w:val="0"/>
        <w:snapToGrid w:val="0"/>
        <w:spacing w:before="381" w:beforeLines="100" w:after="381" w:afterLines="100"/>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图4-2  试点区域2010</w:t>
      </w:r>
      <w:r>
        <w:rPr>
          <w:rFonts w:hint="default" w:ascii="Times New Roman" w:hAnsi="Times New Roman" w:cs="Times New Roman"/>
          <w:color w:val="000000"/>
          <w:sz w:val="32"/>
          <w:szCs w:val="32"/>
        </w:rPr>
        <w:t>～</w:t>
      </w:r>
      <w:r>
        <w:rPr>
          <w:rFonts w:hint="default" w:ascii="Times New Roman" w:hAnsi="Times New Roman" w:eastAsia="宋体" w:cs="Times New Roman"/>
          <w:b w:val="0"/>
          <w:sz w:val="28"/>
          <w:szCs w:val="28"/>
          <w:lang w:eastAsia="zh-CN"/>
        </w:rPr>
        <w:t>2018年电量增长趋势</w:t>
      </w:r>
    </w:p>
    <w:p>
      <w:pPr>
        <w:adjustRightInd w:val="0"/>
        <w:snapToGrid w:val="0"/>
        <w:ind w:firstLine="640"/>
        <w:rPr>
          <w:rFonts w:hint="default" w:ascii="Times New Roman" w:hAnsi="Times New Roman" w:cs="Times New Roman"/>
          <w:sz w:val="32"/>
          <w:szCs w:val="32"/>
        </w:rPr>
      </w:pPr>
      <w:r>
        <w:rPr>
          <w:rFonts w:hint="default" w:ascii="Times New Roman" w:hAnsi="Times New Roman" w:cs="Times New Roman"/>
          <w:sz w:val="32"/>
          <w:szCs w:val="32"/>
        </w:rPr>
        <w:object>
          <v:shape id="_x0000_i1025" o:spt="75" type="#_x0000_t75" style="height:34.5pt;width:129pt;" o:ole="t" filled="f" o:preferrelative="t" stroked="f" coordsize="21600,21600">
            <v:path/>
            <v:fill on="f" focussize="0,0"/>
            <v:stroke on="f" joinstyle="miter"/>
            <v:imagedata r:id="rId19" o:title=""/>
            <o:lock v:ext="edit" aspectratio="t"/>
            <w10:wrap type="none"/>
            <w10:anchorlock/>
          </v:shape>
          <o:OLEObject Type="Embed" ProgID="Equation.DSMT4" ShapeID="_x0000_i1025" DrawAspect="Content" ObjectID="_1468075725" r:id="rId18">
            <o:LockedField>false</o:LockedField>
          </o:OLEObject>
        </w:object>
      </w:r>
    </w:p>
    <w:p>
      <w:pPr>
        <w:adjustRightInd w:val="0"/>
        <w:snapToGrid w:val="0"/>
        <w:ind w:firstLine="640"/>
        <w:rPr>
          <w:rFonts w:hint="default" w:ascii="Times New Roman" w:hAnsi="Times New Roman" w:cs="Times New Roman"/>
          <w:sz w:val="32"/>
          <w:szCs w:val="32"/>
        </w:rPr>
      </w:pPr>
      <w:r>
        <w:rPr>
          <w:rFonts w:hint="default" w:ascii="Times New Roman" w:hAnsi="Times New Roman" w:cs="Times New Roman"/>
          <w:sz w:val="32"/>
          <w:szCs w:val="32"/>
        </w:rPr>
        <w:t>式中：m为地块个数；</w:t>
      </w:r>
    </w:p>
    <w:p>
      <w:pPr>
        <w:adjustRightInd w:val="0"/>
        <w:snapToGrid w:val="0"/>
        <w:ind w:firstLine="640"/>
        <w:rPr>
          <w:rFonts w:hint="default" w:ascii="Times New Roman" w:hAnsi="Times New Roman" w:cs="Times New Roman"/>
          <w:sz w:val="32"/>
          <w:szCs w:val="32"/>
        </w:rPr>
      </w:pPr>
      <w:r>
        <w:rPr>
          <w:rFonts w:hint="default" w:ascii="Times New Roman" w:hAnsi="Times New Roman" w:cs="Times New Roman"/>
          <w:sz w:val="32"/>
          <w:szCs w:val="32"/>
        </w:rPr>
        <w:tab/>
      </w:r>
      <w:r>
        <w:rPr>
          <w:rFonts w:hint="default" w:ascii="Times New Roman" w:hAnsi="Times New Roman" w:cs="Times New Roman"/>
          <w:sz w:val="32"/>
          <w:szCs w:val="32"/>
        </w:rPr>
        <w:tab/>
      </w:r>
      <w:r>
        <w:rPr>
          <w:rFonts w:hint="default" w:ascii="Times New Roman" w:hAnsi="Times New Roman" w:cs="Times New Roman"/>
          <w:sz w:val="32"/>
          <w:szCs w:val="32"/>
        </w:rPr>
        <w:t xml:space="preserve"> </w:t>
      </w:r>
      <w:r>
        <w:rPr>
          <w:rFonts w:hint="default" w:ascii="Times New Roman" w:hAnsi="Times New Roman" w:cs="Times New Roman"/>
          <w:sz w:val="32"/>
          <w:szCs w:val="32"/>
        </w:rPr>
        <w:object>
          <v:shape id="_x0000_i1026" o:spt="75" type="#_x0000_t75" style="height:16.5pt;width: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default" w:ascii="Times New Roman" w:hAnsi="Times New Roman" w:cs="Times New Roman"/>
          <w:sz w:val="32"/>
          <w:szCs w:val="32"/>
        </w:rPr>
        <w:t>为第i个地块建筑用电水平指标；</w:t>
      </w:r>
    </w:p>
    <w:p>
      <w:pPr>
        <w:adjustRightInd w:val="0"/>
        <w:snapToGrid w:val="0"/>
        <w:ind w:firstLine="640"/>
        <w:rPr>
          <w:rFonts w:hint="default" w:ascii="Times New Roman" w:hAnsi="Times New Roman" w:cs="Times New Roman"/>
          <w:sz w:val="32"/>
          <w:szCs w:val="32"/>
        </w:rPr>
      </w:pPr>
      <w:r>
        <w:rPr>
          <w:rFonts w:hint="default" w:ascii="Times New Roman" w:hAnsi="Times New Roman" w:cs="Times New Roman"/>
          <w:sz w:val="32"/>
          <w:szCs w:val="32"/>
        </w:rPr>
        <w:tab/>
      </w:r>
      <w:r>
        <w:rPr>
          <w:rFonts w:hint="default" w:ascii="Times New Roman" w:hAnsi="Times New Roman" w:cs="Times New Roman"/>
          <w:sz w:val="32"/>
          <w:szCs w:val="32"/>
        </w:rPr>
        <w:tab/>
      </w:r>
      <w:r>
        <w:rPr>
          <w:rFonts w:hint="default" w:ascii="Times New Roman" w:hAnsi="Times New Roman" w:cs="Times New Roman"/>
          <w:sz w:val="32"/>
          <w:szCs w:val="32"/>
        </w:rPr>
        <w:t xml:space="preserve"> </w:t>
      </w:r>
      <w:r>
        <w:rPr>
          <w:rFonts w:hint="default" w:ascii="Times New Roman" w:hAnsi="Times New Roman" w:cs="Times New Roman"/>
          <w:sz w:val="32"/>
          <w:szCs w:val="32"/>
        </w:rPr>
        <w:object>
          <v:shape id="_x0000_i1027" o:spt="75" type="#_x0000_t75" style="height:16.5pt;width:12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default" w:ascii="Times New Roman" w:hAnsi="Times New Roman" w:cs="Times New Roman"/>
          <w:sz w:val="32"/>
          <w:szCs w:val="32"/>
        </w:rPr>
        <w:t>为第i个地块建筑面积；</w:t>
      </w:r>
    </w:p>
    <w:p>
      <w:pPr>
        <w:adjustRightInd w:val="0"/>
        <w:snapToGrid w:val="0"/>
        <w:ind w:firstLine="640"/>
        <w:rPr>
          <w:rFonts w:hint="default" w:ascii="Times New Roman" w:hAnsi="Times New Roman" w:cs="Times New Roman"/>
          <w:sz w:val="32"/>
          <w:szCs w:val="32"/>
        </w:rPr>
      </w:pPr>
      <w:r>
        <w:rPr>
          <w:rFonts w:hint="default" w:ascii="Times New Roman" w:hAnsi="Times New Roman" w:cs="Times New Roman"/>
          <w:sz w:val="32"/>
          <w:szCs w:val="32"/>
        </w:rPr>
        <w:object>
          <v:shape id="_x0000_i1028" o:spt="75" type="#_x0000_t75" style="height:16.5pt;width:16.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rFonts w:hint="default" w:ascii="Times New Roman" w:hAnsi="Times New Roman" w:cs="Times New Roman"/>
          <w:sz w:val="32"/>
          <w:szCs w:val="32"/>
        </w:rPr>
        <w:t>为第i个地块所属行业选取需用系数；</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W为同时率。</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bookmarkStart w:id="88" w:name="_Toc486858643"/>
      <w:r>
        <w:rPr>
          <w:rFonts w:hint="default" w:ascii="Times New Roman" w:hAnsi="Times New Roman" w:cs="Times New Roman"/>
          <w:sz w:val="32"/>
          <w:szCs w:val="32"/>
        </w:rPr>
        <w:t>（1）相关指标选取</w:t>
      </w:r>
      <w:bookmarkEnd w:id="88"/>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各类分区负荷预测的相关指标有：用户负荷的需用系数、同时率、建筑面积负荷密度等。</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1）居住用地</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居住用地包括安置用地、二类居住用地和商住用地，二类居住用地主要以多层住宅为主；商住用地主要是商业与居住类混合的用地。</w:t>
      </w:r>
    </w:p>
    <w:p>
      <w:pPr>
        <w:pStyle w:val="91"/>
        <w:keepNext w:val="0"/>
        <w:keepLines w:val="0"/>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表4-1 《城市配电网规划设计规范2010版》居住用电指标</w:t>
      </w:r>
    </w:p>
    <w:tbl>
      <w:tblPr>
        <w:tblStyle w:val="29"/>
        <w:tblW w:w="8818"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2255"/>
        <w:gridCol w:w="2799"/>
        <w:gridCol w:w="376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tblHeader/>
          <w:jc w:val="center"/>
        </w:trPr>
        <w:tc>
          <w:tcPr>
            <w:tcW w:w="5054" w:type="dxa"/>
            <w:gridSpan w:val="2"/>
            <w:shd w:val="clear" w:color="auto" w:fill="auto"/>
            <w:noWrap/>
            <w:vAlign w:val="center"/>
          </w:tcPr>
          <w:p>
            <w:pPr>
              <w:adjustRightInd w:val="0"/>
              <w:snapToGrid w:val="0"/>
              <w:spacing w:line="240" w:lineRule="exac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类 型</w:t>
            </w:r>
          </w:p>
        </w:tc>
        <w:tc>
          <w:tcPr>
            <w:tcW w:w="3764" w:type="dxa"/>
            <w:shd w:val="clear" w:color="auto" w:fill="auto"/>
            <w:noWrap/>
            <w:vAlign w:val="center"/>
          </w:tcPr>
          <w:p>
            <w:pPr>
              <w:adjustRightInd w:val="0"/>
              <w:snapToGrid w:val="0"/>
              <w:spacing w:line="240" w:lineRule="exac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用电指标（千瓦/户）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2255" w:type="dxa"/>
            <w:vMerge w:val="restart"/>
            <w:shd w:val="clear" w:color="auto" w:fill="auto"/>
            <w:noWrap/>
            <w:vAlign w:val="center"/>
          </w:tcPr>
          <w:p>
            <w:pPr>
              <w:adjustRightInd w:val="0"/>
              <w:snapToGrid w:val="0"/>
              <w:spacing w:line="240" w:lineRule="exact"/>
              <w:ind w:firstLine="42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康居住宅套型</w:t>
            </w:r>
          </w:p>
        </w:tc>
        <w:tc>
          <w:tcPr>
            <w:tcW w:w="2799" w:type="dxa"/>
            <w:shd w:val="clear" w:color="auto" w:fill="auto"/>
            <w:noWrap/>
            <w:vAlign w:val="center"/>
          </w:tcPr>
          <w:p>
            <w:pPr>
              <w:adjustRightInd w:val="0"/>
              <w:snapToGrid w:val="0"/>
              <w:spacing w:line="240" w:lineRule="exact"/>
              <w:ind w:firstLine="1050" w:firstLineChars="5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基本型</w:t>
            </w:r>
          </w:p>
        </w:tc>
        <w:tc>
          <w:tcPr>
            <w:tcW w:w="3764" w:type="dxa"/>
            <w:shd w:val="clear" w:color="auto" w:fill="auto"/>
            <w:noWrap/>
            <w:vAlign w:val="center"/>
          </w:tcPr>
          <w:p>
            <w:pPr>
              <w:adjustRightInd w:val="0"/>
              <w:snapToGrid w:val="0"/>
              <w:spacing w:line="240" w:lineRule="exac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2255" w:type="dxa"/>
            <w:vMerge w:val="continue"/>
            <w:shd w:val="clear" w:color="auto" w:fill="auto"/>
            <w:vAlign w:val="center"/>
          </w:tcPr>
          <w:p>
            <w:pPr>
              <w:adjustRightInd w:val="0"/>
              <w:snapToGrid w:val="0"/>
              <w:spacing w:line="240" w:lineRule="exact"/>
              <w:ind w:firstLine="420"/>
              <w:rPr>
                <w:rFonts w:hint="default" w:ascii="Times New Roman" w:hAnsi="Times New Roman" w:eastAsia="宋体" w:cs="Times New Roman"/>
                <w:sz w:val="21"/>
                <w:szCs w:val="21"/>
              </w:rPr>
            </w:pPr>
          </w:p>
        </w:tc>
        <w:tc>
          <w:tcPr>
            <w:tcW w:w="2799" w:type="dxa"/>
            <w:shd w:val="clear" w:color="auto" w:fill="auto"/>
            <w:noWrap/>
            <w:vAlign w:val="center"/>
          </w:tcPr>
          <w:p>
            <w:pPr>
              <w:adjustRightInd w:val="0"/>
              <w:snapToGrid w:val="0"/>
              <w:spacing w:line="240" w:lineRule="exact"/>
              <w:ind w:firstLine="1050" w:firstLineChars="5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提高型</w:t>
            </w:r>
          </w:p>
        </w:tc>
        <w:tc>
          <w:tcPr>
            <w:tcW w:w="3764" w:type="dxa"/>
            <w:shd w:val="clear" w:color="auto" w:fill="auto"/>
            <w:noWrap/>
            <w:vAlign w:val="center"/>
          </w:tcPr>
          <w:p>
            <w:pPr>
              <w:adjustRightInd w:val="0"/>
              <w:snapToGrid w:val="0"/>
              <w:spacing w:line="240" w:lineRule="exac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2255" w:type="dxa"/>
            <w:vMerge w:val="continue"/>
            <w:shd w:val="clear" w:color="auto" w:fill="auto"/>
            <w:vAlign w:val="center"/>
          </w:tcPr>
          <w:p>
            <w:pPr>
              <w:adjustRightInd w:val="0"/>
              <w:snapToGrid w:val="0"/>
              <w:spacing w:line="240" w:lineRule="exact"/>
              <w:ind w:firstLine="420"/>
              <w:rPr>
                <w:rFonts w:hint="default" w:ascii="Times New Roman" w:hAnsi="Times New Roman" w:eastAsia="宋体" w:cs="Times New Roman"/>
                <w:sz w:val="21"/>
                <w:szCs w:val="21"/>
              </w:rPr>
            </w:pPr>
          </w:p>
        </w:tc>
        <w:tc>
          <w:tcPr>
            <w:tcW w:w="2799" w:type="dxa"/>
            <w:shd w:val="clear" w:color="auto" w:fill="auto"/>
            <w:noWrap/>
            <w:vAlign w:val="center"/>
          </w:tcPr>
          <w:p>
            <w:pPr>
              <w:adjustRightInd w:val="0"/>
              <w:snapToGrid w:val="0"/>
              <w:spacing w:line="240" w:lineRule="exact"/>
              <w:ind w:firstLine="1050" w:firstLineChars="5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先进型</w:t>
            </w:r>
          </w:p>
        </w:tc>
        <w:tc>
          <w:tcPr>
            <w:tcW w:w="3764" w:type="dxa"/>
            <w:shd w:val="clear" w:color="auto" w:fill="auto"/>
            <w:noWrap/>
            <w:vAlign w:val="center"/>
          </w:tcPr>
          <w:p>
            <w:pPr>
              <w:adjustRightInd w:val="0"/>
              <w:snapToGrid w:val="0"/>
              <w:spacing w:line="240" w:lineRule="exact"/>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r>
    </w:tbl>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根据上表可以折算出基本型、提高型、先进型康居住宅（面积按50～100平方米）负荷密度分别为20～40瓦/平方米、30～60瓦/平方米、40～80瓦/平方米。下表为实际小区的测量值。</w:t>
      </w:r>
    </w:p>
    <w:p>
      <w:pPr>
        <w:pStyle w:val="91"/>
        <w:keepNext w:val="0"/>
        <w:keepLines w:val="0"/>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表4-2  居住用地参考指标</w:t>
      </w:r>
    </w:p>
    <w:tbl>
      <w:tblPr>
        <w:tblStyle w:val="29"/>
        <w:tblW w:w="8818"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1518"/>
        <w:gridCol w:w="3067"/>
        <w:gridCol w:w="4233"/>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tblHeader/>
          <w:jc w:val="center"/>
        </w:trPr>
        <w:tc>
          <w:tcPr>
            <w:tcW w:w="1518" w:type="dxa"/>
            <w:shd w:val="clear" w:color="auto" w:fill="auto"/>
            <w:noWrap/>
            <w:vAlign w:val="center"/>
          </w:tcPr>
          <w:p>
            <w:pPr>
              <w:adjustRightInd w:val="0"/>
              <w:snapToGrid w:val="0"/>
              <w:spacing w:line="24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地区</w:t>
            </w:r>
          </w:p>
        </w:tc>
        <w:tc>
          <w:tcPr>
            <w:tcW w:w="3067" w:type="dxa"/>
            <w:shd w:val="clear" w:color="auto" w:fill="auto"/>
            <w:vAlign w:val="center"/>
          </w:tcPr>
          <w:p>
            <w:pPr>
              <w:adjustRightInd w:val="0"/>
              <w:snapToGrid w:val="0"/>
              <w:spacing w:line="24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小区名称</w:t>
            </w:r>
          </w:p>
        </w:tc>
        <w:tc>
          <w:tcPr>
            <w:tcW w:w="4233" w:type="dxa"/>
            <w:shd w:val="clear" w:color="auto" w:fill="auto"/>
            <w:vAlign w:val="center"/>
          </w:tcPr>
          <w:p>
            <w:pPr>
              <w:adjustRightInd w:val="0"/>
              <w:snapToGrid w:val="0"/>
              <w:spacing w:line="24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居民住宅负荷密度指标调查（瓦/平方米）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1518" w:type="dxa"/>
            <w:shd w:val="clear" w:color="auto" w:fill="auto"/>
            <w:noWrap/>
            <w:vAlign w:val="center"/>
          </w:tcPr>
          <w:p>
            <w:pPr>
              <w:adjustRightInd w:val="0"/>
              <w:snapToGrid w:val="0"/>
              <w:spacing w:line="24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天津</w:t>
            </w:r>
          </w:p>
        </w:tc>
        <w:tc>
          <w:tcPr>
            <w:tcW w:w="3067" w:type="dxa"/>
            <w:shd w:val="clear" w:color="auto" w:fill="auto"/>
            <w:noWrap/>
            <w:vAlign w:val="center"/>
          </w:tcPr>
          <w:p>
            <w:pPr>
              <w:adjustRightInd w:val="0"/>
              <w:snapToGrid w:val="0"/>
              <w:spacing w:line="24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TEDA西区</w:t>
            </w:r>
          </w:p>
        </w:tc>
        <w:tc>
          <w:tcPr>
            <w:tcW w:w="4233" w:type="dxa"/>
            <w:shd w:val="clear" w:color="auto" w:fill="auto"/>
            <w:noWrap/>
            <w:vAlign w:val="center"/>
          </w:tcPr>
          <w:p>
            <w:pPr>
              <w:adjustRightInd w:val="0"/>
              <w:snapToGrid w:val="0"/>
              <w:spacing w:line="24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1518" w:type="dxa"/>
            <w:vMerge w:val="restart"/>
            <w:shd w:val="clear" w:color="auto" w:fill="auto"/>
            <w:noWrap/>
            <w:vAlign w:val="center"/>
          </w:tcPr>
          <w:p>
            <w:pPr>
              <w:adjustRightInd w:val="0"/>
              <w:snapToGrid w:val="0"/>
              <w:spacing w:line="24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上海</w:t>
            </w:r>
          </w:p>
        </w:tc>
        <w:tc>
          <w:tcPr>
            <w:tcW w:w="3067" w:type="dxa"/>
            <w:shd w:val="clear" w:color="auto" w:fill="auto"/>
            <w:noWrap/>
            <w:vAlign w:val="center"/>
          </w:tcPr>
          <w:p>
            <w:pPr>
              <w:adjustRightInd w:val="0"/>
              <w:snapToGrid w:val="0"/>
              <w:spacing w:line="24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漕河径开发区</w:t>
            </w:r>
          </w:p>
        </w:tc>
        <w:tc>
          <w:tcPr>
            <w:tcW w:w="4233" w:type="dxa"/>
            <w:shd w:val="clear" w:color="auto" w:fill="auto"/>
            <w:noWrap/>
            <w:vAlign w:val="center"/>
          </w:tcPr>
          <w:p>
            <w:pPr>
              <w:adjustRightInd w:val="0"/>
              <w:snapToGrid w:val="0"/>
              <w:spacing w:line="24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1518" w:type="dxa"/>
            <w:vMerge w:val="continue"/>
            <w:shd w:val="clear" w:color="auto" w:fill="auto"/>
            <w:vAlign w:val="center"/>
          </w:tcPr>
          <w:p>
            <w:pPr>
              <w:adjustRightInd w:val="0"/>
              <w:snapToGrid w:val="0"/>
              <w:spacing w:line="240" w:lineRule="exact"/>
              <w:ind w:firstLine="0" w:firstLineChars="0"/>
              <w:jc w:val="center"/>
              <w:rPr>
                <w:rFonts w:hint="default" w:ascii="Times New Roman" w:hAnsi="Times New Roman" w:eastAsia="宋体" w:cs="Times New Roman"/>
                <w:sz w:val="21"/>
                <w:szCs w:val="21"/>
              </w:rPr>
            </w:pPr>
          </w:p>
        </w:tc>
        <w:tc>
          <w:tcPr>
            <w:tcW w:w="3067" w:type="dxa"/>
            <w:shd w:val="clear" w:color="auto" w:fill="auto"/>
            <w:noWrap/>
            <w:vAlign w:val="center"/>
          </w:tcPr>
          <w:p>
            <w:pPr>
              <w:adjustRightInd w:val="0"/>
              <w:snapToGrid w:val="0"/>
              <w:spacing w:line="24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青浦新区</w:t>
            </w:r>
          </w:p>
        </w:tc>
        <w:tc>
          <w:tcPr>
            <w:tcW w:w="4233" w:type="dxa"/>
            <w:shd w:val="clear" w:color="auto" w:fill="auto"/>
            <w:noWrap/>
            <w:vAlign w:val="center"/>
          </w:tcPr>
          <w:p>
            <w:pPr>
              <w:adjustRightInd w:val="0"/>
              <w:snapToGrid w:val="0"/>
              <w:spacing w:line="24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p>
        </w:tc>
      </w:tr>
    </w:tbl>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根据试点区居住用地划分及发展情况，最终选取20瓦/平方米作为二类居住用地的建筑面积指标，选取45瓦/平方米作为商住用地的建筑面积指标，最终负荷密度指标（考虑需用系数）如下表所示。</w:t>
      </w:r>
    </w:p>
    <w:p>
      <w:pPr>
        <w:pStyle w:val="91"/>
        <w:keepNext w:val="0"/>
        <w:keepLines w:val="0"/>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表4-3  试点区居住用地参考指标</w:t>
      </w:r>
    </w:p>
    <w:tbl>
      <w:tblPr>
        <w:tblStyle w:val="29"/>
        <w:tblW w:w="8818"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1324"/>
        <w:gridCol w:w="3889"/>
        <w:gridCol w:w="1804"/>
        <w:gridCol w:w="180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5213" w:type="dxa"/>
            <w:gridSpan w:val="2"/>
            <w:shd w:val="clear" w:color="auto" w:fill="auto"/>
            <w:vAlign w:val="center"/>
          </w:tcPr>
          <w:p>
            <w:pPr>
              <w:keepNext/>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用地性质</w:t>
            </w:r>
          </w:p>
        </w:tc>
        <w:tc>
          <w:tcPr>
            <w:tcW w:w="1804" w:type="dxa"/>
            <w:shd w:val="clear" w:color="auto" w:fill="auto"/>
            <w:vAlign w:val="center"/>
          </w:tcPr>
          <w:p>
            <w:pPr>
              <w:keepNext/>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建筑面积指标（瓦/平方米）</w:t>
            </w:r>
          </w:p>
        </w:tc>
        <w:tc>
          <w:tcPr>
            <w:tcW w:w="1801" w:type="dxa"/>
            <w:shd w:val="clear" w:color="auto" w:fill="auto"/>
            <w:noWrap/>
            <w:vAlign w:val="center"/>
          </w:tcPr>
          <w:p>
            <w:pPr>
              <w:keepNext/>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需用系数</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1324" w:type="dxa"/>
            <w:vMerge w:val="restart"/>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居住</w:t>
            </w:r>
          </w:p>
        </w:tc>
        <w:tc>
          <w:tcPr>
            <w:tcW w:w="3889"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二类居住用地</w:t>
            </w:r>
          </w:p>
        </w:tc>
        <w:tc>
          <w:tcPr>
            <w:tcW w:w="180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1801"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1324"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3889"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商住混合用地</w:t>
            </w:r>
          </w:p>
        </w:tc>
        <w:tc>
          <w:tcPr>
            <w:tcW w:w="180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w:t>
            </w:r>
          </w:p>
        </w:tc>
        <w:tc>
          <w:tcPr>
            <w:tcW w:w="1801"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0.60</w:t>
            </w:r>
          </w:p>
        </w:tc>
      </w:tr>
    </w:tbl>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2）工业用地</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试点区工业用地包括一类、二类工业用地，下表给出了上海、苏州的工业用地指标的调查结果。</w:t>
      </w:r>
    </w:p>
    <w:p>
      <w:pPr>
        <w:pStyle w:val="91"/>
        <w:keepNext w:val="0"/>
        <w:keepLines w:val="0"/>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表4-4  试点区工业用地参考指标</w:t>
      </w:r>
    </w:p>
    <w:tbl>
      <w:tblPr>
        <w:tblStyle w:val="29"/>
        <w:tblW w:w="8818"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850"/>
        <w:gridCol w:w="852"/>
        <w:gridCol w:w="4222"/>
        <w:gridCol w:w="289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tblHeader/>
          <w:jc w:val="center"/>
        </w:trPr>
        <w:tc>
          <w:tcPr>
            <w:tcW w:w="850"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行业</w:t>
            </w:r>
          </w:p>
        </w:tc>
        <w:tc>
          <w:tcPr>
            <w:tcW w:w="852"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地区</w:t>
            </w:r>
          </w:p>
        </w:tc>
        <w:tc>
          <w:tcPr>
            <w:tcW w:w="4222"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小区名称</w:t>
            </w:r>
          </w:p>
        </w:tc>
        <w:tc>
          <w:tcPr>
            <w:tcW w:w="289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建筑面积负荷指标（瓦/平方米）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850" w:type="dxa"/>
            <w:vMerge w:val="restart"/>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w:t>
            </w:r>
          </w:p>
        </w:tc>
        <w:tc>
          <w:tcPr>
            <w:tcW w:w="852" w:type="dxa"/>
            <w:vMerge w:val="restart"/>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上海</w:t>
            </w:r>
          </w:p>
        </w:tc>
        <w:tc>
          <w:tcPr>
            <w:tcW w:w="4222"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百灵电器</w:t>
            </w:r>
          </w:p>
        </w:tc>
        <w:tc>
          <w:tcPr>
            <w:tcW w:w="289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66.9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850"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852"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4222"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海龙光电</w:t>
            </w:r>
          </w:p>
        </w:tc>
        <w:tc>
          <w:tcPr>
            <w:tcW w:w="289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54.7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850"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852"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4222"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康太克电子</w:t>
            </w:r>
          </w:p>
        </w:tc>
        <w:tc>
          <w:tcPr>
            <w:tcW w:w="289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54.1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850"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852"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4222"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安普连接器</w:t>
            </w:r>
          </w:p>
        </w:tc>
        <w:tc>
          <w:tcPr>
            <w:tcW w:w="289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850"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852"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4222"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先进半导体</w:t>
            </w:r>
          </w:p>
        </w:tc>
        <w:tc>
          <w:tcPr>
            <w:tcW w:w="289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66.2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850"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852"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4222"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新芝电子</w:t>
            </w:r>
          </w:p>
        </w:tc>
        <w:tc>
          <w:tcPr>
            <w:tcW w:w="289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33.6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850"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852"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4222"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妮姬时装</w:t>
            </w:r>
          </w:p>
        </w:tc>
        <w:tc>
          <w:tcPr>
            <w:tcW w:w="289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38.4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850"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852" w:type="dxa"/>
            <w:vMerge w:val="restart"/>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苏州</w:t>
            </w:r>
          </w:p>
        </w:tc>
        <w:tc>
          <w:tcPr>
            <w:tcW w:w="4222"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和舰科技（苏州）有限公司</w:t>
            </w:r>
          </w:p>
        </w:tc>
        <w:tc>
          <w:tcPr>
            <w:tcW w:w="289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71.16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850"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852"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4222"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联建（中国）科技有限公司</w:t>
            </w:r>
          </w:p>
        </w:tc>
        <w:tc>
          <w:tcPr>
            <w:tcW w:w="289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89.29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850"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852"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4222"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高德（苏州）电子有限公司</w:t>
            </w:r>
          </w:p>
        </w:tc>
        <w:tc>
          <w:tcPr>
            <w:tcW w:w="289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850"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852"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4222"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友达光电（苏州）有限公司</w:t>
            </w:r>
          </w:p>
        </w:tc>
        <w:tc>
          <w:tcPr>
            <w:tcW w:w="289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62.7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850"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852"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4222"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旭电（苏州）科技有限公司</w:t>
            </w:r>
          </w:p>
        </w:tc>
        <w:tc>
          <w:tcPr>
            <w:tcW w:w="289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17.72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850"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852"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4222"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可成科技（苏州）有限公司</w:t>
            </w:r>
          </w:p>
        </w:tc>
        <w:tc>
          <w:tcPr>
            <w:tcW w:w="289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34.1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850"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852"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4222"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超微半导体（苏州）有限公司</w:t>
            </w:r>
          </w:p>
        </w:tc>
        <w:tc>
          <w:tcPr>
            <w:tcW w:w="289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56</w:t>
            </w:r>
          </w:p>
        </w:tc>
      </w:tr>
    </w:tbl>
    <w:p>
      <w:pPr>
        <w:pStyle w:val="91"/>
        <w:keepNext w:val="0"/>
        <w:keepLines w:val="0"/>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结合试点区的区域发展定位，确定工业用地指标如下表所示。</w:t>
      </w:r>
    </w:p>
    <w:p>
      <w:pPr>
        <w:pStyle w:val="91"/>
        <w:keepNext w:val="0"/>
        <w:keepLines w:val="0"/>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表4-5  试点区工业用地负荷密度指标</w:t>
      </w:r>
    </w:p>
    <w:tbl>
      <w:tblPr>
        <w:tblStyle w:val="29"/>
        <w:tblW w:w="8818"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1319"/>
        <w:gridCol w:w="3891"/>
        <w:gridCol w:w="1804"/>
        <w:gridCol w:w="180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tblHeader/>
          <w:jc w:val="center"/>
        </w:trPr>
        <w:tc>
          <w:tcPr>
            <w:tcW w:w="5210" w:type="dxa"/>
            <w:gridSpan w:val="2"/>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用地性质</w:t>
            </w:r>
          </w:p>
        </w:tc>
        <w:tc>
          <w:tcPr>
            <w:tcW w:w="180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建筑面积指标（瓦/平方米）</w:t>
            </w:r>
          </w:p>
        </w:tc>
        <w:tc>
          <w:tcPr>
            <w:tcW w:w="180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需用系数</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1319" w:type="dxa"/>
            <w:vMerge w:val="restart"/>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w:t>
            </w:r>
          </w:p>
        </w:tc>
        <w:tc>
          <w:tcPr>
            <w:tcW w:w="3891"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一类工业用地</w:t>
            </w:r>
          </w:p>
        </w:tc>
        <w:tc>
          <w:tcPr>
            <w:tcW w:w="180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w:t>
            </w:r>
          </w:p>
        </w:tc>
        <w:tc>
          <w:tcPr>
            <w:tcW w:w="180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1319"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3891"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二类工业用地</w:t>
            </w:r>
          </w:p>
        </w:tc>
        <w:tc>
          <w:tcPr>
            <w:tcW w:w="180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180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0.60</w:t>
            </w:r>
          </w:p>
        </w:tc>
      </w:tr>
    </w:tbl>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3）公共设施用地</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sz w:val="32"/>
          <w:szCs w:val="32"/>
        </w:rPr>
      </w:pPr>
      <w:r>
        <w:rPr>
          <w:rFonts w:hint="default" w:ascii="Times New Roman" w:hAnsi="Times New Roman" w:cs="Times New Roman"/>
          <w:sz w:val="32"/>
          <w:szCs w:val="32"/>
        </w:rPr>
        <w:t>试点区公共设施用地包括商业金融、文化娱乐、行政办公、旅游发展、中小学用地、高新创意产业用地等。下表给出了上海、浙江、北京和国外一些地区的公共设施用地指标的调查结果。</w:t>
      </w:r>
    </w:p>
    <w:p>
      <w:pPr>
        <w:pStyle w:val="91"/>
        <w:keepNext w:val="0"/>
        <w:keepLines w:val="0"/>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表4-6  公共设施用地负荷密度指标调查结果</w:t>
      </w:r>
    </w:p>
    <w:tbl>
      <w:tblPr>
        <w:tblStyle w:val="29"/>
        <w:tblW w:w="8818"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2250"/>
        <w:gridCol w:w="1314"/>
        <w:gridCol w:w="1314"/>
        <w:gridCol w:w="1314"/>
        <w:gridCol w:w="1314"/>
        <w:gridCol w:w="131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tblHeader/>
          <w:jc w:val="center"/>
        </w:trPr>
        <w:tc>
          <w:tcPr>
            <w:tcW w:w="2250"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调查对象</w:t>
            </w:r>
          </w:p>
        </w:tc>
        <w:tc>
          <w:tcPr>
            <w:tcW w:w="131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商业金融负荷密度调查指标（瓦/平方米）</w:t>
            </w:r>
          </w:p>
        </w:tc>
        <w:tc>
          <w:tcPr>
            <w:tcW w:w="131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文化娱乐负荷密度调查指标（瓦/平方米）</w:t>
            </w:r>
          </w:p>
        </w:tc>
        <w:tc>
          <w:tcPr>
            <w:tcW w:w="131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行政办公负荷密度调查指标（瓦/平方米）</w:t>
            </w:r>
          </w:p>
        </w:tc>
        <w:tc>
          <w:tcPr>
            <w:tcW w:w="131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医疗卫生负荷密度调查指标（瓦/平方米）</w:t>
            </w:r>
          </w:p>
        </w:tc>
        <w:tc>
          <w:tcPr>
            <w:tcW w:w="1312"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中小学负荷密度调查指标（瓦/平方米）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2250"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上海曹河径开发区</w:t>
            </w:r>
          </w:p>
        </w:tc>
        <w:tc>
          <w:tcPr>
            <w:tcW w:w="131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w:t>
            </w:r>
          </w:p>
        </w:tc>
        <w:tc>
          <w:tcPr>
            <w:tcW w:w="131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2"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2250"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市规划局办公大楼</w:t>
            </w:r>
          </w:p>
        </w:tc>
        <w:tc>
          <w:tcPr>
            <w:tcW w:w="131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2"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2250"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上海市市区永新广场</w:t>
            </w:r>
          </w:p>
        </w:tc>
        <w:tc>
          <w:tcPr>
            <w:tcW w:w="131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131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50.12</w:t>
            </w: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2"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2250"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杭州市银泰百货</w:t>
            </w:r>
          </w:p>
        </w:tc>
        <w:tc>
          <w:tcPr>
            <w:tcW w:w="131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2"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2250"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上海闵行南方商城</w:t>
            </w:r>
          </w:p>
        </w:tc>
        <w:tc>
          <w:tcPr>
            <w:tcW w:w="131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92</w:t>
            </w: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2"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2250"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上海世界贸易商城</w:t>
            </w:r>
          </w:p>
        </w:tc>
        <w:tc>
          <w:tcPr>
            <w:tcW w:w="131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148</w:t>
            </w: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2"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2250"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上海东方大厦</w:t>
            </w:r>
          </w:p>
        </w:tc>
        <w:tc>
          <w:tcPr>
            <w:tcW w:w="131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85.38</w:t>
            </w: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2"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2250"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厦门市第一医院</w:t>
            </w: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18.6</w:t>
            </w:r>
          </w:p>
        </w:tc>
        <w:tc>
          <w:tcPr>
            <w:tcW w:w="1312"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2250"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厦门市中山医院</w:t>
            </w: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23.25</w:t>
            </w:r>
          </w:p>
        </w:tc>
        <w:tc>
          <w:tcPr>
            <w:tcW w:w="1312"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2250"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北大医学院附属医院</w:t>
            </w: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w:t>
            </w:r>
          </w:p>
        </w:tc>
        <w:tc>
          <w:tcPr>
            <w:tcW w:w="1312"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2250"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福建省人民医院</w:t>
            </w: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47.2</w:t>
            </w:r>
          </w:p>
        </w:tc>
        <w:tc>
          <w:tcPr>
            <w:tcW w:w="1312"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2250"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杭州市第一人民医院</w:t>
            </w: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41.5</w:t>
            </w:r>
          </w:p>
        </w:tc>
        <w:tc>
          <w:tcPr>
            <w:tcW w:w="1312"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2250"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北京阜外心血管医院</w:t>
            </w: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55.61</w:t>
            </w:r>
          </w:p>
        </w:tc>
        <w:tc>
          <w:tcPr>
            <w:tcW w:w="1312"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2250"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苏州市儿童医院</w:t>
            </w: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131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36.7</w:t>
            </w:r>
          </w:p>
        </w:tc>
        <w:tc>
          <w:tcPr>
            <w:tcW w:w="1312"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r>
    </w:tbl>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结合试点区的区域发展定位，确定公共设施用地指标如下表所示。</w:t>
      </w:r>
    </w:p>
    <w:p>
      <w:pPr>
        <w:pStyle w:val="91"/>
        <w:keepNext w:val="0"/>
        <w:keepLines w:val="0"/>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表4-7  试点区公共设施用地负荷密度指标</w:t>
      </w:r>
    </w:p>
    <w:tbl>
      <w:tblPr>
        <w:tblStyle w:val="29"/>
        <w:tblW w:w="8818"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1541"/>
        <w:gridCol w:w="3441"/>
        <w:gridCol w:w="1919"/>
        <w:gridCol w:w="191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tblHeader/>
          <w:jc w:val="center"/>
        </w:trPr>
        <w:tc>
          <w:tcPr>
            <w:tcW w:w="4982" w:type="dxa"/>
            <w:gridSpan w:val="2"/>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用地性质</w:t>
            </w:r>
          </w:p>
        </w:tc>
        <w:tc>
          <w:tcPr>
            <w:tcW w:w="1919"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建筑面积指标（瓦/平方米）</w:t>
            </w:r>
          </w:p>
        </w:tc>
        <w:tc>
          <w:tcPr>
            <w:tcW w:w="1917"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需用系数</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1541" w:type="dxa"/>
            <w:vMerge w:val="restart"/>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公共设施</w:t>
            </w:r>
          </w:p>
        </w:tc>
        <w:tc>
          <w:tcPr>
            <w:tcW w:w="3441"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商业金融用地</w:t>
            </w:r>
          </w:p>
        </w:tc>
        <w:tc>
          <w:tcPr>
            <w:tcW w:w="1919"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1917"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1541"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3441"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广场集会用地</w:t>
            </w:r>
          </w:p>
        </w:tc>
        <w:tc>
          <w:tcPr>
            <w:tcW w:w="1919"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w:t>
            </w:r>
          </w:p>
        </w:tc>
        <w:tc>
          <w:tcPr>
            <w:tcW w:w="1917"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1541"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3441"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行政办公用地</w:t>
            </w:r>
          </w:p>
        </w:tc>
        <w:tc>
          <w:tcPr>
            <w:tcW w:w="1919"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1917"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1541"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3441"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医疗卫生用地</w:t>
            </w:r>
          </w:p>
        </w:tc>
        <w:tc>
          <w:tcPr>
            <w:tcW w:w="1919"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w:t>
            </w:r>
          </w:p>
        </w:tc>
        <w:tc>
          <w:tcPr>
            <w:tcW w:w="1917"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1541"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3441"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供水供电用地</w:t>
            </w:r>
          </w:p>
        </w:tc>
        <w:tc>
          <w:tcPr>
            <w:tcW w:w="1919"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1917"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1541" w:type="dxa"/>
            <w:vMerge w:val="continue"/>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3441"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教育科研用地</w:t>
            </w:r>
          </w:p>
        </w:tc>
        <w:tc>
          <w:tcPr>
            <w:tcW w:w="1919"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1917"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r>
    </w:tbl>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4）仓储物流</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试点区的仓储物流用地主要是一类物流仓储用地，具体用地指标如下表所示。</w:t>
      </w:r>
    </w:p>
    <w:p>
      <w:pPr>
        <w:pStyle w:val="91"/>
        <w:keepNext w:val="0"/>
        <w:keepLines w:val="0"/>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表4-8  试点区仓储物流用地负荷密度指标</w:t>
      </w:r>
    </w:p>
    <w:tbl>
      <w:tblPr>
        <w:tblStyle w:val="29"/>
        <w:tblW w:w="8818"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1337"/>
        <w:gridCol w:w="2658"/>
        <w:gridCol w:w="3474"/>
        <w:gridCol w:w="134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tblHeader/>
          <w:jc w:val="center"/>
        </w:trPr>
        <w:tc>
          <w:tcPr>
            <w:tcW w:w="3995" w:type="dxa"/>
            <w:gridSpan w:val="2"/>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用地性质</w:t>
            </w:r>
          </w:p>
        </w:tc>
        <w:tc>
          <w:tcPr>
            <w:tcW w:w="3474" w:type="dxa"/>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建筑面积指标（瓦/平方米）</w:t>
            </w:r>
          </w:p>
        </w:tc>
        <w:tc>
          <w:tcPr>
            <w:tcW w:w="1349"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需用系数</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1337" w:type="dxa"/>
            <w:shd w:val="clear" w:color="auto" w:fill="auto"/>
            <w:vAlign w:val="center"/>
          </w:tcPr>
          <w:p>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仓储物流</w:t>
            </w:r>
          </w:p>
        </w:tc>
        <w:tc>
          <w:tcPr>
            <w:tcW w:w="2658" w:type="dxa"/>
            <w:shd w:val="clear" w:color="auto" w:fill="auto"/>
            <w:noWrap/>
            <w:vAlign w:val="center"/>
          </w:tcPr>
          <w:p>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一类物流仓储用地</w:t>
            </w:r>
          </w:p>
        </w:tc>
        <w:tc>
          <w:tcPr>
            <w:tcW w:w="3474" w:type="dxa"/>
            <w:shd w:val="clear" w:color="auto" w:fill="auto"/>
            <w:noWrap/>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1349" w:type="dxa"/>
            <w:shd w:val="clear" w:color="auto" w:fill="auto"/>
            <w:noWrap/>
            <w:vAlign w:val="center"/>
          </w:tcPr>
          <w:p>
            <w:pPr>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0.50</w:t>
            </w:r>
          </w:p>
        </w:tc>
      </w:tr>
    </w:tbl>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5）用地指标汇总</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经过以上各类用地性质典型用户的负荷密度指标值，结合海盐县实际情况，设定试点区域远景负荷密度指标值如下表所示。</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p>
    <w:p>
      <w:pPr>
        <w:pStyle w:val="91"/>
        <w:keepNext w:val="0"/>
        <w:keepLines w:val="0"/>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表4-9  试点区域远景负荷密度指标选取</w:t>
      </w:r>
    </w:p>
    <w:tbl>
      <w:tblPr>
        <w:tblStyle w:val="29"/>
        <w:tblW w:w="9004"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43"/>
        <w:gridCol w:w="1938"/>
        <w:gridCol w:w="2618"/>
        <w:gridCol w:w="1115"/>
        <w:gridCol w:w="139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blHeader/>
        </w:trPr>
        <w:tc>
          <w:tcPr>
            <w:tcW w:w="194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用地性质编码</w:t>
            </w:r>
          </w:p>
        </w:tc>
        <w:tc>
          <w:tcPr>
            <w:tcW w:w="193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用地性质</w:t>
            </w:r>
          </w:p>
        </w:tc>
        <w:tc>
          <w:tcPr>
            <w:tcW w:w="2618"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负荷指标（瓦/平方米）</w:t>
            </w:r>
          </w:p>
        </w:tc>
        <w:tc>
          <w:tcPr>
            <w:tcW w:w="1115"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容积率</w:t>
            </w:r>
          </w:p>
        </w:tc>
        <w:tc>
          <w:tcPr>
            <w:tcW w:w="1390"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需用系数</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94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R2</w:t>
            </w:r>
          </w:p>
        </w:tc>
        <w:tc>
          <w:tcPr>
            <w:tcW w:w="1938"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二类居住用地</w:t>
            </w:r>
          </w:p>
        </w:tc>
        <w:tc>
          <w:tcPr>
            <w:tcW w:w="2618"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w:t>
            </w:r>
          </w:p>
        </w:tc>
        <w:tc>
          <w:tcPr>
            <w:tcW w:w="1115"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w:t>
            </w:r>
          </w:p>
        </w:tc>
        <w:tc>
          <w:tcPr>
            <w:tcW w:w="1390"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94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R22</w:t>
            </w:r>
          </w:p>
        </w:tc>
        <w:tc>
          <w:tcPr>
            <w:tcW w:w="1938"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幼儿园用地</w:t>
            </w:r>
          </w:p>
        </w:tc>
        <w:tc>
          <w:tcPr>
            <w:tcW w:w="2618"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w:t>
            </w:r>
          </w:p>
        </w:tc>
        <w:tc>
          <w:tcPr>
            <w:tcW w:w="1115"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w:t>
            </w:r>
          </w:p>
        </w:tc>
        <w:tc>
          <w:tcPr>
            <w:tcW w:w="1390"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94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BR</w:t>
            </w:r>
          </w:p>
        </w:tc>
        <w:tc>
          <w:tcPr>
            <w:tcW w:w="1938"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商住混合用地</w:t>
            </w:r>
          </w:p>
        </w:tc>
        <w:tc>
          <w:tcPr>
            <w:tcW w:w="2618"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w:t>
            </w:r>
          </w:p>
        </w:tc>
        <w:tc>
          <w:tcPr>
            <w:tcW w:w="1115"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390"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94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A1</w:t>
            </w:r>
          </w:p>
        </w:tc>
        <w:tc>
          <w:tcPr>
            <w:tcW w:w="1938"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行政办公用地</w:t>
            </w:r>
          </w:p>
        </w:tc>
        <w:tc>
          <w:tcPr>
            <w:tcW w:w="2618"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40</w:t>
            </w:r>
          </w:p>
        </w:tc>
        <w:tc>
          <w:tcPr>
            <w:tcW w:w="1115"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390"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94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A3</w:t>
            </w:r>
          </w:p>
        </w:tc>
        <w:tc>
          <w:tcPr>
            <w:tcW w:w="193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教育用地</w:t>
            </w:r>
          </w:p>
        </w:tc>
        <w:tc>
          <w:tcPr>
            <w:tcW w:w="2618"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w:t>
            </w:r>
          </w:p>
        </w:tc>
        <w:tc>
          <w:tcPr>
            <w:tcW w:w="1115"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390"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94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w:t>
            </w:r>
          </w:p>
        </w:tc>
        <w:tc>
          <w:tcPr>
            <w:tcW w:w="1938"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商业设施用地</w:t>
            </w:r>
          </w:p>
        </w:tc>
        <w:tc>
          <w:tcPr>
            <w:tcW w:w="2618"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70</w:t>
            </w:r>
          </w:p>
        </w:tc>
        <w:tc>
          <w:tcPr>
            <w:tcW w:w="1115"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w:t>
            </w:r>
          </w:p>
        </w:tc>
        <w:tc>
          <w:tcPr>
            <w:tcW w:w="1390"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94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G1</w:t>
            </w:r>
          </w:p>
        </w:tc>
        <w:tc>
          <w:tcPr>
            <w:tcW w:w="1938"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公共绿地</w:t>
            </w:r>
          </w:p>
        </w:tc>
        <w:tc>
          <w:tcPr>
            <w:tcW w:w="2618"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115"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390"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94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G2</w:t>
            </w:r>
          </w:p>
        </w:tc>
        <w:tc>
          <w:tcPr>
            <w:tcW w:w="1938"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防护绿地</w:t>
            </w:r>
          </w:p>
        </w:tc>
        <w:tc>
          <w:tcPr>
            <w:tcW w:w="2618"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115"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390"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94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G3</w:t>
            </w:r>
          </w:p>
        </w:tc>
        <w:tc>
          <w:tcPr>
            <w:tcW w:w="1938"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广场用地</w:t>
            </w:r>
          </w:p>
        </w:tc>
        <w:tc>
          <w:tcPr>
            <w:tcW w:w="2618"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115"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390"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94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M1</w:t>
            </w:r>
          </w:p>
        </w:tc>
        <w:tc>
          <w:tcPr>
            <w:tcW w:w="1938"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一类工业用地</w:t>
            </w:r>
          </w:p>
        </w:tc>
        <w:tc>
          <w:tcPr>
            <w:tcW w:w="2618"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w:t>
            </w:r>
          </w:p>
        </w:tc>
        <w:tc>
          <w:tcPr>
            <w:tcW w:w="1115"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390"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94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M2</w:t>
            </w:r>
          </w:p>
        </w:tc>
        <w:tc>
          <w:tcPr>
            <w:tcW w:w="1938"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二类工业用地</w:t>
            </w:r>
          </w:p>
        </w:tc>
        <w:tc>
          <w:tcPr>
            <w:tcW w:w="2618"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50</w:t>
            </w:r>
          </w:p>
        </w:tc>
        <w:tc>
          <w:tcPr>
            <w:tcW w:w="1115"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390"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94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U</w:t>
            </w:r>
          </w:p>
        </w:tc>
        <w:tc>
          <w:tcPr>
            <w:tcW w:w="193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供应设施用地</w:t>
            </w:r>
          </w:p>
        </w:tc>
        <w:tc>
          <w:tcPr>
            <w:tcW w:w="2618"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35</w:t>
            </w:r>
          </w:p>
        </w:tc>
        <w:tc>
          <w:tcPr>
            <w:tcW w:w="1115"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0.7</w:t>
            </w:r>
          </w:p>
        </w:tc>
        <w:tc>
          <w:tcPr>
            <w:tcW w:w="1390"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94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w:t>
            </w:r>
          </w:p>
        </w:tc>
        <w:tc>
          <w:tcPr>
            <w:tcW w:w="193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水域</w:t>
            </w:r>
          </w:p>
        </w:tc>
        <w:tc>
          <w:tcPr>
            <w:tcW w:w="2618"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c>
          <w:tcPr>
            <w:tcW w:w="1115"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390"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bl>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sz w:val="32"/>
          <w:szCs w:val="32"/>
        </w:rPr>
        <w:t>（2）</w:t>
      </w:r>
      <w:r>
        <w:rPr>
          <w:rFonts w:hint="default" w:ascii="Times New Roman" w:hAnsi="Times New Roman" w:cs="Times New Roman"/>
          <w:color w:val="000000"/>
          <w:kern w:val="0"/>
          <w:sz w:val="32"/>
          <w:szCs w:val="32"/>
        </w:rPr>
        <w:t>远景年负荷预测结果</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试点区供电面积为3平方公里，以居住用地、工业用地为主，根据各地块用地性质及负荷密度指标，采用空间负荷密度法进行负荷预测，取同时率为0.72，得到远景年试点区负荷为48.86兆瓦，负荷密度为16.29兆瓦/平方公里。</w:t>
      </w:r>
    </w:p>
    <w:p>
      <w:pPr>
        <w:ind w:firstLine="0" w:firstLineChars="0"/>
        <w:jc w:val="center"/>
        <w:rPr>
          <w:rFonts w:hint="default" w:ascii="Times New Roman" w:hAnsi="Times New Roman" w:eastAsia="仿宋" w:cs="Times New Roman"/>
        </w:rPr>
      </w:pPr>
      <w:r>
        <w:rPr>
          <w:rFonts w:hint="default" w:ascii="Times New Roman" w:hAnsi="Times New Roman" w:eastAsia="仿宋" w:cs="Times New Roman"/>
        </w:rPr>
        <w:drawing>
          <wp:inline distT="0" distB="0" distL="114300" distR="114300">
            <wp:extent cx="5419725" cy="2867025"/>
            <wp:effectExtent l="0" t="0" r="9525" b="9525"/>
            <wp:docPr id="2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pic:cNvPicPr>
                      <a:picLocks noChangeAspect="1"/>
                    </pic:cNvPicPr>
                  </pic:nvPicPr>
                  <pic:blipFill>
                    <a:blip r:embed="rId26"/>
                    <a:srcRect b="1523"/>
                    <a:stretch>
                      <a:fillRect/>
                    </a:stretch>
                  </pic:blipFill>
                  <pic:spPr>
                    <a:xfrm>
                      <a:off x="0" y="0"/>
                      <a:ext cx="5419725" cy="2867025"/>
                    </a:xfrm>
                    <a:prstGeom prst="rect">
                      <a:avLst/>
                    </a:prstGeom>
                    <a:noFill/>
                    <a:ln>
                      <a:noFill/>
                    </a:ln>
                  </pic:spPr>
                </pic:pic>
              </a:graphicData>
            </a:graphic>
          </wp:inline>
        </w:drawing>
      </w:r>
    </w:p>
    <w:p>
      <w:pPr>
        <w:pStyle w:val="91"/>
        <w:keepNext w:val="0"/>
        <w:keepLines w:val="0"/>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图4-3  试点区域各地块负荷分布图（局部）</w:t>
      </w:r>
    </w:p>
    <w:p>
      <w:pPr>
        <w:pStyle w:val="91"/>
        <w:keepNext w:val="0"/>
        <w:keepLines w:val="0"/>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p>
    <w:p>
      <w:pPr>
        <w:pStyle w:val="91"/>
        <w:keepNext w:val="0"/>
        <w:keepLines w:val="0"/>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p>
    <w:p>
      <w:pPr>
        <w:pStyle w:val="91"/>
        <w:keepNext w:val="0"/>
        <w:keepLines w:val="0"/>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表4-10  试点区远景年负荷预测结果</w:t>
      </w:r>
    </w:p>
    <w:tbl>
      <w:tblPr>
        <w:tblStyle w:val="29"/>
        <w:tblW w:w="9004"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763"/>
        <w:gridCol w:w="1267"/>
        <w:gridCol w:w="1268"/>
        <w:gridCol w:w="1016"/>
        <w:gridCol w:w="1268"/>
        <w:gridCol w:w="1268"/>
        <w:gridCol w:w="1268"/>
        <w:gridCol w:w="88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blHeader/>
        </w:trPr>
        <w:tc>
          <w:tcPr>
            <w:tcW w:w="763" w:type="dxa"/>
            <w:vMerge w:val="restart"/>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编号</w:t>
            </w:r>
          </w:p>
        </w:tc>
        <w:tc>
          <w:tcPr>
            <w:tcW w:w="1267" w:type="dxa"/>
            <w:vMerge w:val="restart"/>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bookmarkStart w:id="89" w:name="RANGE!B1:E3"/>
            <w:r>
              <w:rPr>
                <w:rFonts w:hint="default" w:ascii="Times New Roman" w:hAnsi="Times New Roman" w:eastAsia="宋体" w:cs="Times New Roman"/>
                <w:bCs/>
                <w:color w:val="000000"/>
                <w:kern w:val="0"/>
                <w:sz w:val="21"/>
                <w:szCs w:val="21"/>
              </w:rPr>
              <w:t>用地性质</w:t>
            </w:r>
            <w:bookmarkEnd w:id="89"/>
          </w:p>
        </w:tc>
        <w:tc>
          <w:tcPr>
            <w:tcW w:w="1268" w:type="dxa"/>
            <w:vMerge w:val="restart"/>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占地面积</w:t>
            </w:r>
          </w:p>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（平方米）</w:t>
            </w:r>
          </w:p>
        </w:tc>
        <w:tc>
          <w:tcPr>
            <w:tcW w:w="1016" w:type="dxa"/>
            <w:vMerge w:val="restart"/>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容积率</w:t>
            </w:r>
          </w:p>
        </w:tc>
        <w:tc>
          <w:tcPr>
            <w:tcW w:w="1268" w:type="dxa"/>
            <w:vMerge w:val="restart"/>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建筑面积</w:t>
            </w:r>
          </w:p>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（平方米）</w:t>
            </w:r>
          </w:p>
        </w:tc>
        <w:tc>
          <w:tcPr>
            <w:tcW w:w="1268" w:type="dxa"/>
            <w:vMerge w:val="restart"/>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负荷指标</w:t>
            </w:r>
          </w:p>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(瓦/平方米)</w:t>
            </w:r>
          </w:p>
        </w:tc>
        <w:tc>
          <w:tcPr>
            <w:tcW w:w="1268" w:type="dxa"/>
            <w:vMerge w:val="restart"/>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需用系数</w:t>
            </w:r>
          </w:p>
        </w:tc>
        <w:tc>
          <w:tcPr>
            <w:tcW w:w="886" w:type="dxa"/>
            <w:vMerge w:val="restart"/>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负荷</w:t>
            </w:r>
          </w:p>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(千瓦)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blHeader/>
        </w:trPr>
        <w:tc>
          <w:tcPr>
            <w:tcW w:w="763" w:type="dxa"/>
            <w:vMerge w:val="continue"/>
            <w:shd w:val="clear" w:color="auto" w:fill="auto"/>
            <w:vAlign w:val="center"/>
          </w:tcPr>
          <w:p>
            <w:pPr>
              <w:widowControl/>
              <w:adjustRightInd w:val="0"/>
              <w:snapToGrid w:val="0"/>
              <w:spacing w:line="240" w:lineRule="auto"/>
              <w:ind w:firstLine="0" w:firstLineChars="0"/>
              <w:jc w:val="left"/>
              <w:rPr>
                <w:rFonts w:hint="default" w:ascii="Times New Roman" w:hAnsi="Times New Roman" w:eastAsia="宋体" w:cs="Times New Roman"/>
                <w:color w:val="000000"/>
                <w:kern w:val="0"/>
                <w:sz w:val="21"/>
                <w:szCs w:val="21"/>
              </w:rPr>
            </w:pPr>
          </w:p>
        </w:tc>
        <w:tc>
          <w:tcPr>
            <w:tcW w:w="1267" w:type="dxa"/>
            <w:vMerge w:val="continue"/>
            <w:shd w:val="clear" w:color="auto" w:fill="auto"/>
            <w:vAlign w:val="center"/>
          </w:tcPr>
          <w:p>
            <w:pPr>
              <w:widowControl/>
              <w:adjustRightInd w:val="0"/>
              <w:snapToGrid w:val="0"/>
              <w:spacing w:line="240" w:lineRule="auto"/>
              <w:ind w:firstLine="0" w:firstLineChars="0"/>
              <w:jc w:val="left"/>
              <w:rPr>
                <w:rFonts w:hint="default" w:ascii="Times New Roman" w:hAnsi="Times New Roman" w:eastAsia="宋体" w:cs="Times New Roman"/>
                <w:color w:val="000000"/>
                <w:kern w:val="0"/>
                <w:sz w:val="21"/>
                <w:szCs w:val="21"/>
              </w:rPr>
            </w:pPr>
          </w:p>
        </w:tc>
        <w:tc>
          <w:tcPr>
            <w:tcW w:w="1268" w:type="dxa"/>
            <w:vMerge w:val="continue"/>
            <w:shd w:val="clear" w:color="auto" w:fill="auto"/>
            <w:vAlign w:val="center"/>
          </w:tcPr>
          <w:p>
            <w:pPr>
              <w:widowControl/>
              <w:adjustRightInd w:val="0"/>
              <w:snapToGrid w:val="0"/>
              <w:spacing w:line="240" w:lineRule="auto"/>
              <w:ind w:firstLine="0" w:firstLineChars="0"/>
              <w:jc w:val="left"/>
              <w:rPr>
                <w:rFonts w:hint="default" w:ascii="Times New Roman" w:hAnsi="Times New Roman" w:eastAsia="宋体" w:cs="Times New Roman"/>
                <w:color w:val="000000"/>
                <w:kern w:val="0"/>
                <w:sz w:val="21"/>
                <w:szCs w:val="21"/>
              </w:rPr>
            </w:pPr>
          </w:p>
        </w:tc>
        <w:tc>
          <w:tcPr>
            <w:tcW w:w="1016" w:type="dxa"/>
            <w:vMerge w:val="continue"/>
            <w:shd w:val="clear" w:color="auto" w:fill="auto"/>
            <w:vAlign w:val="center"/>
          </w:tcPr>
          <w:p>
            <w:pPr>
              <w:widowControl/>
              <w:adjustRightInd w:val="0"/>
              <w:snapToGrid w:val="0"/>
              <w:spacing w:line="240" w:lineRule="auto"/>
              <w:ind w:firstLine="0" w:firstLineChars="0"/>
              <w:jc w:val="left"/>
              <w:rPr>
                <w:rFonts w:hint="default" w:ascii="Times New Roman" w:hAnsi="Times New Roman" w:eastAsia="宋体" w:cs="Times New Roman"/>
                <w:color w:val="000000"/>
                <w:kern w:val="0"/>
                <w:sz w:val="21"/>
                <w:szCs w:val="21"/>
              </w:rPr>
            </w:pPr>
          </w:p>
        </w:tc>
        <w:tc>
          <w:tcPr>
            <w:tcW w:w="1268" w:type="dxa"/>
            <w:vMerge w:val="continue"/>
            <w:shd w:val="clear" w:color="auto" w:fill="auto"/>
            <w:vAlign w:val="center"/>
          </w:tcPr>
          <w:p>
            <w:pPr>
              <w:widowControl/>
              <w:adjustRightInd w:val="0"/>
              <w:snapToGrid w:val="0"/>
              <w:spacing w:line="240" w:lineRule="auto"/>
              <w:ind w:firstLine="0" w:firstLineChars="0"/>
              <w:jc w:val="left"/>
              <w:rPr>
                <w:rFonts w:hint="default" w:ascii="Times New Roman" w:hAnsi="Times New Roman" w:eastAsia="宋体" w:cs="Times New Roman"/>
                <w:color w:val="000000"/>
                <w:kern w:val="0"/>
                <w:sz w:val="21"/>
                <w:szCs w:val="21"/>
              </w:rPr>
            </w:pPr>
          </w:p>
        </w:tc>
        <w:tc>
          <w:tcPr>
            <w:tcW w:w="1268" w:type="dxa"/>
            <w:vMerge w:val="continue"/>
            <w:shd w:val="clear" w:color="auto" w:fill="auto"/>
            <w:vAlign w:val="center"/>
          </w:tcPr>
          <w:p>
            <w:pPr>
              <w:widowControl/>
              <w:adjustRightInd w:val="0"/>
              <w:snapToGrid w:val="0"/>
              <w:spacing w:line="240" w:lineRule="auto"/>
              <w:ind w:firstLine="0" w:firstLineChars="0"/>
              <w:jc w:val="left"/>
              <w:rPr>
                <w:rFonts w:hint="default" w:ascii="Times New Roman" w:hAnsi="Times New Roman" w:eastAsia="宋体" w:cs="Times New Roman"/>
                <w:color w:val="000000"/>
                <w:kern w:val="0"/>
                <w:sz w:val="21"/>
                <w:szCs w:val="21"/>
              </w:rPr>
            </w:pPr>
          </w:p>
        </w:tc>
        <w:tc>
          <w:tcPr>
            <w:tcW w:w="1268" w:type="dxa"/>
            <w:vMerge w:val="continue"/>
            <w:shd w:val="clear" w:color="auto" w:fill="auto"/>
            <w:vAlign w:val="center"/>
          </w:tcPr>
          <w:p>
            <w:pPr>
              <w:widowControl/>
              <w:adjustRightInd w:val="0"/>
              <w:snapToGrid w:val="0"/>
              <w:spacing w:line="240" w:lineRule="auto"/>
              <w:ind w:firstLine="0" w:firstLineChars="0"/>
              <w:jc w:val="left"/>
              <w:rPr>
                <w:rFonts w:hint="default" w:ascii="Times New Roman" w:hAnsi="Times New Roman" w:eastAsia="宋体" w:cs="Times New Roman"/>
                <w:color w:val="000000"/>
                <w:kern w:val="0"/>
                <w:sz w:val="21"/>
                <w:szCs w:val="21"/>
              </w:rPr>
            </w:pPr>
          </w:p>
        </w:tc>
        <w:tc>
          <w:tcPr>
            <w:tcW w:w="886" w:type="dxa"/>
            <w:vMerge w:val="continue"/>
            <w:shd w:val="clear" w:color="auto" w:fill="auto"/>
            <w:vAlign w:val="center"/>
          </w:tcPr>
          <w:p>
            <w:pPr>
              <w:widowControl/>
              <w:adjustRightInd w:val="0"/>
              <w:snapToGrid w:val="0"/>
              <w:spacing w:line="240" w:lineRule="auto"/>
              <w:ind w:firstLine="0" w:firstLineChars="0"/>
              <w:jc w:val="left"/>
              <w:rPr>
                <w:rFonts w:hint="default" w:ascii="Times New Roman" w:hAnsi="Times New Roman" w:eastAsia="宋体" w:cs="Times New Roman"/>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A01</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A3</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101893</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91703.7</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1651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A02</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A3</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39929</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35936.1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647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A03</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A1</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20886</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18797.4</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A04</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R22</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8506</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10207.2</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0.3</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A05</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R22</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4378</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5253.6</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0.3</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A06</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BR</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41583</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58216.2</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1572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A07</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G3</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7175</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7175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A08</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21889</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35022.4</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1471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A09</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BR</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44181</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61853.4</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1670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A10</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17109</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27374.4</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A11</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R2</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18490</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22188</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0.3</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133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A12</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A3</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25564</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23007.6</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414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A13</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3722</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5955.2</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A14</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3681</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5889.6</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247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A15</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G2</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3184</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3184</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A16</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M1</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27516</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24764.4</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817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A17</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19998</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19998</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A18</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A3</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58585</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52726.5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949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A19</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3080</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4928</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A20</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R2</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18905</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22686</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0.3</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136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A21</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BR</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24068</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33695.2</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A22</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BR</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2791</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3907.4</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A23</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BR</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3059</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4282.6</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A24</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13557</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21691.2</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911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A25</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BR</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29587</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41421.8</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1118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A26</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13985</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22376</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A27</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R2</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56915</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68298</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0.3</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A28</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R2</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112804</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135364.8</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0.3</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812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A29</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R2</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118103</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141723.6</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0.3</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A30</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G2</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1813</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1813</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A31</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G2</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903</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903</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A32</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G2</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1081</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1081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A33</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32403</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51844.8</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2177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A34</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G2</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452</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452</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A35</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BR</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37992</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53188.8</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1436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A36</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A3</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19138</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17224.2</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A37</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U</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2886</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0.7</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2020.2</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A38</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R2</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51742</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62090.4</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0.3</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373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A39</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6908</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11052.8</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464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A40</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R2</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77852</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93422.4</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0.3</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561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A41</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21589</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34542.4</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1451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A42</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20846</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33353.6</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A43</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BR</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97513</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136518.2</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3686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A44</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12879</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20606.4</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865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A45</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R2</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164305</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197166</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0.3</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1183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A46</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A1</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9245</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8320.5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A47</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M2</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26081</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23472.9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704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A48</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M1</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43101</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38790.9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1280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A49</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M2</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48264</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43437.6</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1303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A50</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M1</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52538</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47284.2</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1560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A51</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M1</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19698</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17728.2</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585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A52</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M1</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38103</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34292.7</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1132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A53</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M1</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31572</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28414.8</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938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A54</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G2</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777</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777</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A55</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M1</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26196</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23576.4</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778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A56</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M1</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65267</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58740.3</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1938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A57</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M1</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103785</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93406.5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3082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A58</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M1</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39966</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35969.4</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1187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A59</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M2</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15863</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14276.7</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428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A60</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M2</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11627</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10464.3</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314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A61</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M1</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18077</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16269.3</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537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A62</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M1</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3011</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2709.9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A63</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U</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715</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0.7</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500.5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A64</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G2</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308</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308</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A65</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M1</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28758</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25882.2</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854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A66</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M1</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19511</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17559.9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579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A67</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M1</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21969</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19772.1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652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A68</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M1</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15946</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14351.4</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474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A69</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G2</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1136</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1136</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A70</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M1</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101760</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91584</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3022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A71</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G2</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411</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411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A72</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M1</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23984</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21585.6</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712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A73</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M1</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39751</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35775.9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1181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A74</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10415</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16664</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A75</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G2</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15795</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15795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A77</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9146</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9146</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A78</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M1</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66637</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59973.3</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1979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A79</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4174</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6678.4</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280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A80</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M1</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8820</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7938</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262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A81</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G2</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3542</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3542</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A82</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G2</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1040</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1040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A83</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U</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1078</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0.7</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754.6</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A84</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M1</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58154</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52338.6</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1727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A85</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M1</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14685</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13216.5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436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A86</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G2</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276</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276</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A87</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18657</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29851.2</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70</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1254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A88</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M1</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45762</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41185.8</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1359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A89</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G2</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709</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A90</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M1</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64980</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58482</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1930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A91</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M1</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29980</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26982</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890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A92</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G2</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1233</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1233</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76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A93</w:t>
            </w:r>
          </w:p>
        </w:tc>
        <w:tc>
          <w:tcPr>
            <w:tcW w:w="126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M1</w:t>
            </w:r>
          </w:p>
        </w:tc>
        <w:tc>
          <w:tcPr>
            <w:tcW w:w="1268" w:type="dxa"/>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47831</w:t>
            </w:r>
          </w:p>
        </w:tc>
        <w:tc>
          <w:tcPr>
            <w:tcW w:w="101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43047.9</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w:t>
            </w:r>
          </w:p>
        </w:tc>
        <w:tc>
          <w:tcPr>
            <w:tcW w:w="126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0.6</w:t>
            </w:r>
          </w:p>
        </w:tc>
        <w:tc>
          <w:tcPr>
            <w:tcW w:w="886"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1421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8118" w:type="dxa"/>
            <w:gridSpan w:val="7"/>
            <w:shd w:val="clear" w:color="auto" w:fill="auto"/>
            <w:noWrap/>
            <w:vAlign w:val="bottom"/>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合计（同时率0.72）</w:t>
            </w:r>
          </w:p>
        </w:tc>
        <w:tc>
          <w:tcPr>
            <w:tcW w:w="886" w:type="dxa"/>
            <w:shd w:val="clear" w:color="auto" w:fill="auto"/>
            <w:noWrap/>
            <w:vAlign w:val="bottom"/>
          </w:tcPr>
          <w:p>
            <w:pPr>
              <w:widowControl/>
              <w:adjustRightInd w:val="0"/>
              <w:snapToGrid w:val="0"/>
              <w:spacing w:line="240" w:lineRule="auto"/>
              <w:ind w:firstLine="0" w:firstLineChars="0"/>
              <w:jc w:val="righ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48860</w:t>
            </w:r>
          </w:p>
        </w:tc>
      </w:tr>
    </w:tbl>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2．近中期用电量预测</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sz w:val="32"/>
          <w:szCs w:val="32"/>
        </w:rPr>
        <w:t>（1）</w:t>
      </w:r>
      <w:r>
        <w:rPr>
          <w:rFonts w:hint="default" w:ascii="Times New Roman" w:hAnsi="Times New Roman" w:cs="Times New Roman"/>
          <w:color w:val="000000"/>
          <w:kern w:val="0"/>
          <w:sz w:val="32"/>
          <w:szCs w:val="32"/>
        </w:rPr>
        <w:t>自然增长率法</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试点区域目前用电以工业用电为主，出现35千伏以上新增用电负荷的概率较小，区域电量预测可采用自然增长率法。</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试点区域内各地块基本出让完成，但部分地块正处于开发建设中，并于2020年前后投产，因此，可认为2018～2020年，区域年均增长率可取较高值，本次预测取7%。</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2020年以后，试点区域所有地块将开发完成，可认为2020～2025年,区域电量增长率可取较低值，本次预测取4%，计算结果如下表所示。</w:t>
      </w:r>
    </w:p>
    <w:p>
      <w:pPr>
        <w:pStyle w:val="91"/>
        <w:keepNext w:val="0"/>
        <w:keepLines w:val="0"/>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表4-11  试点区域电量需求预测（自然增长率法）</w:t>
      </w:r>
    </w:p>
    <w:tbl>
      <w:tblPr>
        <w:tblStyle w:val="29"/>
        <w:tblW w:w="8818"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57" w:type="dxa"/>
          <w:bottom w:w="0" w:type="dxa"/>
          <w:right w:w="57" w:type="dxa"/>
        </w:tblCellMar>
      </w:tblPr>
      <w:tblGrid>
        <w:gridCol w:w="1930"/>
        <w:gridCol w:w="715"/>
        <w:gridCol w:w="715"/>
        <w:gridCol w:w="715"/>
        <w:gridCol w:w="715"/>
        <w:gridCol w:w="2014"/>
        <w:gridCol w:w="201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57" w:type="dxa"/>
            <w:bottom w:w="0" w:type="dxa"/>
            <w:right w:w="57" w:type="dxa"/>
          </w:tblCellMar>
        </w:tblPrEx>
        <w:trPr>
          <w:trHeight w:val="340" w:hRule="atLeast"/>
          <w:tblHeader/>
        </w:trPr>
        <w:tc>
          <w:tcPr>
            <w:tcW w:w="1930" w:type="dxa"/>
            <w:shd w:val="clear" w:color="auto" w:fill="auto"/>
            <w:noWrap/>
            <w:tcMar>
              <w:top w:w="15" w:type="dxa"/>
              <w:left w:w="15" w:type="dxa"/>
              <w:bottom w:w="0" w:type="dxa"/>
              <w:right w:w="15" w:type="dxa"/>
            </w:tcMar>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年份</w:t>
            </w:r>
          </w:p>
        </w:tc>
        <w:tc>
          <w:tcPr>
            <w:tcW w:w="715" w:type="dxa"/>
            <w:shd w:val="clear" w:color="auto" w:fill="auto"/>
            <w:noWrap/>
            <w:tcMar>
              <w:top w:w="15" w:type="dxa"/>
              <w:left w:w="15" w:type="dxa"/>
              <w:bottom w:w="0" w:type="dxa"/>
              <w:right w:w="15" w:type="dxa"/>
            </w:tcMar>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2018年</w:t>
            </w:r>
          </w:p>
        </w:tc>
        <w:tc>
          <w:tcPr>
            <w:tcW w:w="715" w:type="dxa"/>
            <w:shd w:val="clear" w:color="auto" w:fill="auto"/>
            <w:noWrap/>
            <w:tcMar>
              <w:top w:w="15" w:type="dxa"/>
              <w:left w:w="15" w:type="dxa"/>
              <w:bottom w:w="0" w:type="dxa"/>
              <w:right w:w="15" w:type="dxa"/>
            </w:tcMar>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2019年</w:t>
            </w:r>
          </w:p>
        </w:tc>
        <w:tc>
          <w:tcPr>
            <w:tcW w:w="715" w:type="dxa"/>
            <w:shd w:val="clear" w:color="auto" w:fill="auto"/>
            <w:noWrap/>
            <w:tcMar>
              <w:top w:w="15" w:type="dxa"/>
              <w:left w:w="15" w:type="dxa"/>
              <w:bottom w:w="0" w:type="dxa"/>
              <w:right w:w="15" w:type="dxa"/>
            </w:tcMar>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2020年</w:t>
            </w:r>
          </w:p>
        </w:tc>
        <w:tc>
          <w:tcPr>
            <w:tcW w:w="715" w:type="dxa"/>
            <w:shd w:val="clear" w:color="auto" w:fill="auto"/>
            <w:noWrap/>
            <w:tcMar>
              <w:top w:w="15" w:type="dxa"/>
              <w:left w:w="15" w:type="dxa"/>
              <w:bottom w:w="0" w:type="dxa"/>
              <w:right w:w="15" w:type="dxa"/>
            </w:tcMar>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2025年</w:t>
            </w:r>
          </w:p>
        </w:tc>
        <w:tc>
          <w:tcPr>
            <w:tcW w:w="2014" w:type="dxa"/>
            <w:shd w:val="clear" w:color="auto" w:fill="auto"/>
            <w:tcMar>
              <w:top w:w="15" w:type="dxa"/>
              <w:left w:w="15" w:type="dxa"/>
              <w:bottom w:w="0" w:type="dxa"/>
              <w:right w:w="15" w:type="dxa"/>
            </w:tcMar>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2018-2020年均</w:t>
            </w:r>
          </w:p>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增长率（%）</w:t>
            </w:r>
          </w:p>
        </w:tc>
        <w:tc>
          <w:tcPr>
            <w:tcW w:w="2014" w:type="dxa"/>
            <w:shd w:val="clear" w:color="auto" w:fill="auto"/>
            <w:tcMar>
              <w:top w:w="15" w:type="dxa"/>
              <w:left w:w="15" w:type="dxa"/>
              <w:bottom w:w="0" w:type="dxa"/>
              <w:right w:w="15" w:type="dxa"/>
            </w:tcMar>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“十四五”年均</w:t>
            </w:r>
          </w:p>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增长率（%）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57" w:type="dxa"/>
            <w:bottom w:w="0" w:type="dxa"/>
            <w:right w:w="57" w:type="dxa"/>
          </w:tblCellMar>
        </w:tblPrEx>
        <w:trPr>
          <w:trHeight w:val="340" w:hRule="atLeast"/>
        </w:trPr>
        <w:tc>
          <w:tcPr>
            <w:tcW w:w="1930" w:type="dxa"/>
            <w:shd w:val="clear" w:color="auto" w:fill="auto"/>
            <w:noWrap/>
            <w:tcMar>
              <w:top w:w="15" w:type="dxa"/>
              <w:left w:w="15" w:type="dxa"/>
              <w:bottom w:w="0" w:type="dxa"/>
              <w:right w:w="15" w:type="dxa"/>
            </w:tcMar>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电量（亿千瓦时）</w:t>
            </w:r>
          </w:p>
        </w:tc>
        <w:tc>
          <w:tcPr>
            <w:tcW w:w="715" w:type="dxa"/>
            <w:shd w:val="clear" w:color="auto" w:fill="auto"/>
            <w:noWrap/>
            <w:tcMar>
              <w:top w:w="15" w:type="dxa"/>
              <w:left w:w="15" w:type="dxa"/>
              <w:bottom w:w="0" w:type="dxa"/>
              <w:right w:w="15" w:type="dxa"/>
            </w:tcMar>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0.92</w:t>
            </w:r>
          </w:p>
        </w:tc>
        <w:tc>
          <w:tcPr>
            <w:tcW w:w="715" w:type="dxa"/>
            <w:shd w:val="clear" w:color="auto" w:fill="auto"/>
            <w:noWrap/>
            <w:tcMar>
              <w:top w:w="15" w:type="dxa"/>
              <w:left w:w="15" w:type="dxa"/>
              <w:bottom w:w="0" w:type="dxa"/>
              <w:right w:w="15" w:type="dxa"/>
            </w:tcMar>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0.98</w:t>
            </w:r>
          </w:p>
        </w:tc>
        <w:tc>
          <w:tcPr>
            <w:tcW w:w="715" w:type="dxa"/>
            <w:shd w:val="clear" w:color="auto" w:fill="auto"/>
            <w:noWrap/>
            <w:tcMar>
              <w:top w:w="15" w:type="dxa"/>
              <w:left w:w="15" w:type="dxa"/>
              <w:bottom w:w="0" w:type="dxa"/>
              <w:right w:w="15" w:type="dxa"/>
            </w:tcMar>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1.05</w:t>
            </w:r>
          </w:p>
        </w:tc>
        <w:tc>
          <w:tcPr>
            <w:tcW w:w="715" w:type="dxa"/>
            <w:shd w:val="clear" w:color="auto" w:fill="auto"/>
            <w:noWrap/>
            <w:tcMar>
              <w:top w:w="15" w:type="dxa"/>
              <w:left w:w="15" w:type="dxa"/>
              <w:bottom w:w="0" w:type="dxa"/>
              <w:right w:w="15" w:type="dxa"/>
            </w:tcMar>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1.28</w:t>
            </w:r>
          </w:p>
        </w:tc>
        <w:tc>
          <w:tcPr>
            <w:tcW w:w="2014" w:type="dxa"/>
            <w:shd w:val="clear" w:color="auto" w:fill="auto"/>
            <w:tcMar>
              <w:top w:w="15" w:type="dxa"/>
              <w:left w:w="15" w:type="dxa"/>
              <w:bottom w:w="0" w:type="dxa"/>
              <w:right w:w="15" w:type="dxa"/>
            </w:tcMar>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w:t>
            </w:r>
          </w:p>
        </w:tc>
        <w:tc>
          <w:tcPr>
            <w:tcW w:w="2014" w:type="dxa"/>
            <w:shd w:val="clear" w:color="auto" w:fill="auto"/>
            <w:tcMar>
              <w:top w:w="15" w:type="dxa"/>
              <w:left w:w="15" w:type="dxa"/>
              <w:bottom w:w="0" w:type="dxa"/>
              <w:right w:w="15" w:type="dxa"/>
            </w:tcMar>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w:t>
            </w:r>
          </w:p>
        </w:tc>
      </w:tr>
    </w:tbl>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（2）回归分析法</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回归模型预测法是根据负荷历史数据，建立可以进行数学分析的数学模型，对未来的负荷进行预测的一种方法。从数学上看，就是用数理统计中的回归分析方法，即通过对变量的观测数据进行统计分析，确定变量之间的相互关系，从而实现预测的目的。</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通过采用多种回归曲线模型对试点区电量的历史数据曲线进行拟合。本次预测所采用的回归模型分别为线性模型、二次多项式模型、指数模型，模型参数如下图所示。</w:t>
      </w:r>
    </w:p>
    <w:p>
      <w:pPr>
        <w:adjustRightInd w:val="0"/>
        <w:snapToGrid w:val="0"/>
        <w:ind w:firstLine="0" w:firstLineChars="0"/>
        <w:jc w:val="center"/>
        <w:rPr>
          <w:rFonts w:hint="default" w:ascii="Times New Roman" w:hAnsi="Times New Roman" w:eastAsia="仿宋" w:cs="Times New Roman"/>
          <w:szCs w:val="28"/>
          <w:highlight w:val="yellow"/>
        </w:rPr>
      </w:pPr>
      <w:r>
        <w:rPr>
          <w:rFonts w:hint="default" w:ascii="Times New Roman" w:hAnsi="Times New Roman" w:eastAsia="仿宋" w:cs="Times New Roman"/>
          <w:szCs w:val="28"/>
        </w:rPr>
        <w:drawing>
          <wp:inline distT="0" distB="0" distL="114300" distR="114300">
            <wp:extent cx="4581525" cy="2752725"/>
            <wp:effectExtent l="0" t="0" r="9525" b="9525"/>
            <wp:docPr id="2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pic:cNvPicPr>
                      <a:picLocks noChangeAspect="1"/>
                    </pic:cNvPicPr>
                  </pic:nvPicPr>
                  <pic:blipFill>
                    <a:blip r:embed="rId27"/>
                    <a:stretch>
                      <a:fillRect/>
                    </a:stretch>
                  </pic:blipFill>
                  <pic:spPr>
                    <a:xfrm>
                      <a:off x="0" y="0"/>
                      <a:ext cx="4581525" cy="2752725"/>
                    </a:xfrm>
                    <a:prstGeom prst="rect">
                      <a:avLst/>
                    </a:prstGeom>
                    <a:noFill/>
                    <a:ln>
                      <a:noFill/>
                    </a:ln>
                  </pic:spPr>
                </pic:pic>
              </a:graphicData>
            </a:graphic>
          </wp:inline>
        </w:drawing>
      </w:r>
    </w:p>
    <w:p>
      <w:pPr>
        <w:pStyle w:val="91"/>
        <w:adjustRightInd w:val="0"/>
        <w:snapToGrid w:val="0"/>
        <w:spacing w:before="381" w:beforeLines="100" w:after="76" w:afterLines="20"/>
        <w:outlineLvl w:val="9"/>
        <w:rPr>
          <w:rFonts w:hint="default" w:ascii="Times New Roman" w:hAnsi="Times New Roman" w:eastAsia="仿宋" w:cs="Times New Roman"/>
          <w:szCs w:val="24"/>
          <w:lang w:eastAsia="zh-CN"/>
        </w:rPr>
      </w:pPr>
      <w:bookmarkStart w:id="90" w:name="_Ref216084174"/>
      <w:bookmarkStart w:id="91" w:name="_Ref215987237"/>
      <w:r>
        <w:rPr>
          <w:rFonts w:hint="default" w:ascii="Times New Roman" w:hAnsi="Times New Roman" w:eastAsia="宋体" w:cs="Times New Roman"/>
          <w:b w:val="0"/>
          <w:sz w:val="28"/>
          <w:szCs w:val="28"/>
          <w:lang w:eastAsia="zh-CN"/>
        </w:rPr>
        <w:t>图</w:t>
      </w:r>
      <w:bookmarkEnd w:id="90"/>
      <w:r>
        <w:rPr>
          <w:rFonts w:hint="default" w:ascii="Times New Roman" w:hAnsi="Times New Roman" w:eastAsia="宋体" w:cs="Times New Roman"/>
          <w:b w:val="0"/>
          <w:sz w:val="28"/>
          <w:szCs w:val="28"/>
          <w:lang w:eastAsia="zh-CN"/>
        </w:rPr>
        <w:t>4-4   回归曲线图</w:t>
      </w:r>
      <w:bookmarkEnd w:id="91"/>
      <w:bookmarkStart w:id="92" w:name="_Ref215987254"/>
    </w:p>
    <w:p>
      <w:pPr>
        <w:adjustRightInd w:val="0"/>
        <w:snapToGrid w:val="0"/>
        <w:spacing w:after="381" w:afterLines="100" w:line="240" w:lineRule="auto"/>
        <w:ind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注：图中y为预测规划年的用电量(亿千瓦时)；x为年份；R</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为拟合度。</w:t>
      </w:r>
    </w:p>
    <w:bookmarkEnd w:id="92"/>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由图可知，二次多项式模型的拟合程度最高，因此，将二次多项式模型作为回归分析法的电量预测结果。</w:t>
      </w:r>
    </w:p>
    <w:p>
      <w:pPr>
        <w:pStyle w:val="91"/>
        <w:keepNext w:val="0"/>
        <w:keepLines w:val="0"/>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 4-12  2018～2025年试点区电量预测结果（回归分析法）</w:t>
      </w:r>
    </w:p>
    <w:tbl>
      <w:tblPr>
        <w:tblStyle w:val="29"/>
        <w:tblW w:w="9004"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50"/>
        <w:gridCol w:w="850"/>
        <w:gridCol w:w="850"/>
        <w:gridCol w:w="850"/>
        <w:gridCol w:w="852"/>
        <w:gridCol w:w="1826"/>
        <w:gridCol w:w="182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950" w:type="dxa"/>
            <w:shd w:val="clear" w:color="auto" w:fill="auto"/>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年份</w:t>
            </w:r>
          </w:p>
        </w:tc>
        <w:tc>
          <w:tcPr>
            <w:tcW w:w="850" w:type="dxa"/>
            <w:shd w:val="clear" w:color="auto" w:fill="auto"/>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2018</w:t>
            </w:r>
          </w:p>
        </w:tc>
        <w:tc>
          <w:tcPr>
            <w:tcW w:w="850" w:type="dxa"/>
            <w:shd w:val="clear" w:color="auto" w:fill="auto"/>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2019</w:t>
            </w:r>
          </w:p>
        </w:tc>
        <w:tc>
          <w:tcPr>
            <w:tcW w:w="850" w:type="dxa"/>
            <w:shd w:val="clear" w:color="auto" w:fill="auto"/>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2020</w:t>
            </w:r>
          </w:p>
        </w:tc>
        <w:tc>
          <w:tcPr>
            <w:tcW w:w="852" w:type="dxa"/>
            <w:shd w:val="clear" w:color="auto" w:fill="auto"/>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2025</w:t>
            </w:r>
          </w:p>
        </w:tc>
        <w:tc>
          <w:tcPr>
            <w:tcW w:w="1826" w:type="dxa"/>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2018-2020年均</w:t>
            </w:r>
          </w:p>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增长率（%）</w:t>
            </w:r>
          </w:p>
        </w:tc>
        <w:tc>
          <w:tcPr>
            <w:tcW w:w="1826" w:type="dxa"/>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“十四五”年均</w:t>
            </w:r>
          </w:p>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增长率（%）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950" w:type="dxa"/>
            <w:shd w:val="clear" w:color="auto" w:fill="auto"/>
            <w:noWrap/>
            <w:vAlign w:val="center"/>
          </w:tcPr>
          <w:p>
            <w:pPr>
              <w:widowControl/>
              <w:adjustRightInd w:val="0"/>
              <w:snapToGrid w:val="0"/>
              <w:spacing w:line="240" w:lineRule="auto"/>
              <w:ind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电量（亿千瓦时）</w:t>
            </w:r>
          </w:p>
        </w:tc>
        <w:tc>
          <w:tcPr>
            <w:tcW w:w="850" w:type="dxa"/>
            <w:shd w:val="clear" w:color="auto" w:fill="auto"/>
            <w:noWrap/>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0.92</w:t>
            </w:r>
          </w:p>
        </w:tc>
        <w:tc>
          <w:tcPr>
            <w:tcW w:w="850" w:type="dxa"/>
            <w:shd w:val="clear" w:color="auto" w:fill="auto"/>
            <w:noWrap/>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0.98</w:t>
            </w:r>
          </w:p>
        </w:tc>
        <w:tc>
          <w:tcPr>
            <w:tcW w:w="850" w:type="dxa"/>
            <w:shd w:val="clear" w:color="auto" w:fill="auto"/>
            <w:noWrap/>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1.14</w:t>
            </w:r>
          </w:p>
        </w:tc>
        <w:tc>
          <w:tcPr>
            <w:tcW w:w="852" w:type="dxa"/>
            <w:shd w:val="clear" w:color="auto" w:fill="auto"/>
            <w:noWrap/>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1.45</w:t>
            </w:r>
          </w:p>
        </w:tc>
        <w:tc>
          <w:tcPr>
            <w:tcW w:w="1826" w:type="dxa"/>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11.32</w:t>
            </w:r>
          </w:p>
        </w:tc>
        <w:tc>
          <w:tcPr>
            <w:tcW w:w="1826" w:type="dxa"/>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4.93</w:t>
            </w:r>
          </w:p>
        </w:tc>
      </w:tr>
    </w:tbl>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sz w:val="32"/>
          <w:szCs w:val="32"/>
        </w:rPr>
        <w:t>（3）</w:t>
      </w:r>
      <w:r>
        <w:rPr>
          <w:rFonts w:hint="default" w:ascii="Times New Roman" w:hAnsi="Times New Roman" w:cs="Times New Roman"/>
          <w:color w:val="000000"/>
          <w:kern w:val="0"/>
          <w:sz w:val="32"/>
          <w:szCs w:val="32"/>
        </w:rPr>
        <w:t>电量预测结果</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对回归分析法和自然增长率法的电量预测结果进行对比分析，两种方法预测结果相仿，取平均值作为本次预测结果。</w:t>
      </w:r>
    </w:p>
    <w:p>
      <w:pPr>
        <w:pStyle w:val="91"/>
        <w:keepNext w:val="0"/>
        <w:keepLines w:val="0"/>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仿宋" w:cs="Times New Roman"/>
          <w:szCs w:val="24"/>
          <w:lang w:eastAsia="zh-CN"/>
        </w:rPr>
      </w:pPr>
      <w:r>
        <w:rPr>
          <w:rFonts w:hint="default" w:ascii="Times New Roman" w:hAnsi="Times New Roman" w:eastAsia="宋体" w:cs="Times New Roman"/>
          <w:b w:val="0"/>
          <w:sz w:val="28"/>
          <w:szCs w:val="28"/>
          <w:lang w:eastAsia="zh-CN"/>
        </w:rPr>
        <w:t>表 4-13  2018～2025年试点区县电量预测结果</w:t>
      </w:r>
    </w:p>
    <w:tbl>
      <w:tblPr>
        <w:tblStyle w:val="29"/>
        <w:tblW w:w="8818"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2545"/>
        <w:gridCol w:w="703"/>
        <w:gridCol w:w="703"/>
        <w:gridCol w:w="703"/>
        <w:gridCol w:w="703"/>
        <w:gridCol w:w="1815"/>
        <w:gridCol w:w="164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2545"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年份</w:t>
            </w:r>
          </w:p>
        </w:tc>
        <w:tc>
          <w:tcPr>
            <w:tcW w:w="703"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2018年</w:t>
            </w:r>
          </w:p>
        </w:tc>
        <w:tc>
          <w:tcPr>
            <w:tcW w:w="703"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2019年</w:t>
            </w:r>
          </w:p>
        </w:tc>
        <w:tc>
          <w:tcPr>
            <w:tcW w:w="703"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2020年</w:t>
            </w:r>
          </w:p>
        </w:tc>
        <w:tc>
          <w:tcPr>
            <w:tcW w:w="703"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2025年</w:t>
            </w:r>
          </w:p>
        </w:tc>
        <w:tc>
          <w:tcPr>
            <w:tcW w:w="1815"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2018-2020年均增长率（%）</w:t>
            </w:r>
          </w:p>
        </w:tc>
        <w:tc>
          <w:tcPr>
            <w:tcW w:w="1646"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“十四五”年均增长率（%）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2545"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自然增长率法（亿千瓦时）</w:t>
            </w:r>
          </w:p>
        </w:tc>
        <w:tc>
          <w:tcPr>
            <w:tcW w:w="703"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0.92</w:t>
            </w:r>
          </w:p>
        </w:tc>
        <w:tc>
          <w:tcPr>
            <w:tcW w:w="703"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0.98</w:t>
            </w:r>
          </w:p>
        </w:tc>
        <w:tc>
          <w:tcPr>
            <w:tcW w:w="703"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1.05</w:t>
            </w:r>
          </w:p>
        </w:tc>
        <w:tc>
          <w:tcPr>
            <w:tcW w:w="703"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1.28</w:t>
            </w:r>
          </w:p>
        </w:tc>
        <w:tc>
          <w:tcPr>
            <w:tcW w:w="1815"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7</w:t>
            </w:r>
          </w:p>
        </w:tc>
        <w:tc>
          <w:tcPr>
            <w:tcW w:w="1646"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2545"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回归分析法（亿千瓦时）</w:t>
            </w:r>
          </w:p>
        </w:tc>
        <w:tc>
          <w:tcPr>
            <w:tcW w:w="703"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0.92</w:t>
            </w:r>
          </w:p>
        </w:tc>
        <w:tc>
          <w:tcPr>
            <w:tcW w:w="703"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0.98</w:t>
            </w:r>
          </w:p>
        </w:tc>
        <w:tc>
          <w:tcPr>
            <w:tcW w:w="703"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1.14</w:t>
            </w:r>
          </w:p>
        </w:tc>
        <w:tc>
          <w:tcPr>
            <w:tcW w:w="703"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1.45</w:t>
            </w:r>
          </w:p>
        </w:tc>
        <w:tc>
          <w:tcPr>
            <w:tcW w:w="1815"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11.32</w:t>
            </w:r>
          </w:p>
        </w:tc>
        <w:tc>
          <w:tcPr>
            <w:tcW w:w="1646"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4.93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jc w:val="center"/>
        </w:trPr>
        <w:tc>
          <w:tcPr>
            <w:tcW w:w="2545"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预测结果（亿千瓦时）</w:t>
            </w:r>
          </w:p>
        </w:tc>
        <w:tc>
          <w:tcPr>
            <w:tcW w:w="703"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0.92</w:t>
            </w:r>
          </w:p>
        </w:tc>
        <w:tc>
          <w:tcPr>
            <w:tcW w:w="703"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0.98</w:t>
            </w:r>
          </w:p>
        </w:tc>
        <w:tc>
          <w:tcPr>
            <w:tcW w:w="703"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1.10</w:t>
            </w:r>
          </w:p>
        </w:tc>
        <w:tc>
          <w:tcPr>
            <w:tcW w:w="703"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1.37</w:t>
            </w:r>
          </w:p>
        </w:tc>
        <w:tc>
          <w:tcPr>
            <w:tcW w:w="1815"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9.35</w:t>
            </w:r>
          </w:p>
        </w:tc>
        <w:tc>
          <w:tcPr>
            <w:tcW w:w="1646"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4.49</w:t>
            </w:r>
          </w:p>
        </w:tc>
      </w:tr>
    </w:tbl>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根据以上预测结果，至2020年，试点区全社会用电量将达到1.10亿千瓦时，至2025年将达到1.37亿千瓦时。</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bookmarkStart w:id="93" w:name="_Hlk531737922"/>
      <w:r>
        <w:rPr>
          <w:rFonts w:hint="default" w:ascii="Times New Roman" w:hAnsi="Times New Roman" w:cs="Times New Roman"/>
          <w:color w:val="000000"/>
          <w:kern w:val="0"/>
          <w:sz w:val="32"/>
          <w:szCs w:val="32"/>
        </w:rPr>
        <w:t>3．近中期负荷预测</w:t>
      </w:r>
    </w:p>
    <w:bookmarkEnd w:id="93"/>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sz w:val="32"/>
          <w:szCs w:val="32"/>
        </w:rPr>
        <w:t>（1）</w:t>
      </w:r>
      <w:r>
        <w:rPr>
          <w:rFonts w:hint="default" w:ascii="Times New Roman" w:hAnsi="Times New Roman" w:cs="Times New Roman"/>
          <w:color w:val="000000"/>
          <w:kern w:val="0"/>
          <w:sz w:val="32"/>
          <w:szCs w:val="32"/>
        </w:rPr>
        <w:t>最大负荷利用小时数法</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此种方法依据预测的电量，考虑到最大负荷利用小时数，2019～2025年试点区负荷预测结果如下表所示。</w:t>
      </w:r>
    </w:p>
    <w:p>
      <w:pPr>
        <w:pStyle w:val="91"/>
        <w:keepNext w:val="0"/>
        <w:keepLines w:val="0"/>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 4-14  2018～2025年试点区负荷预测结果（最大负荷利用小时数法）</w:t>
      </w:r>
    </w:p>
    <w:tbl>
      <w:tblPr>
        <w:tblStyle w:val="29"/>
        <w:tblW w:w="9004"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3820"/>
        <w:gridCol w:w="1297"/>
        <w:gridCol w:w="1297"/>
        <w:gridCol w:w="1297"/>
        <w:gridCol w:w="1293"/>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blHeader/>
        </w:trPr>
        <w:tc>
          <w:tcPr>
            <w:tcW w:w="3820" w:type="dxa"/>
            <w:shd w:val="clear" w:color="auto" w:fill="auto"/>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年份</w:t>
            </w:r>
          </w:p>
        </w:tc>
        <w:tc>
          <w:tcPr>
            <w:tcW w:w="1297" w:type="dxa"/>
            <w:shd w:val="clear" w:color="auto" w:fill="auto"/>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2018年</w:t>
            </w:r>
          </w:p>
        </w:tc>
        <w:tc>
          <w:tcPr>
            <w:tcW w:w="1297" w:type="dxa"/>
            <w:shd w:val="clear" w:color="auto" w:fill="auto"/>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2019年</w:t>
            </w:r>
          </w:p>
        </w:tc>
        <w:tc>
          <w:tcPr>
            <w:tcW w:w="1297" w:type="dxa"/>
            <w:shd w:val="clear" w:color="auto" w:fill="auto"/>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2020年</w:t>
            </w:r>
          </w:p>
        </w:tc>
        <w:tc>
          <w:tcPr>
            <w:tcW w:w="1293" w:type="dxa"/>
            <w:shd w:val="clear" w:color="auto" w:fill="auto"/>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2025年</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3820" w:type="dxa"/>
            <w:shd w:val="clear" w:color="auto" w:fill="auto"/>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电量（亿千瓦时）</w:t>
            </w:r>
          </w:p>
        </w:tc>
        <w:tc>
          <w:tcPr>
            <w:tcW w:w="1297" w:type="dxa"/>
            <w:shd w:val="clear" w:color="auto" w:fill="auto"/>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0.92</w:t>
            </w:r>
          </w:p>
        </w:tc>
        <w:tc>
          <w:tcPr>
            <w:tcW w:w="1297" w:type="dxa"/>
            <w:shd w:val="clear" w:color="auto" w:fill="auto"/>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0.98</w:t>
            </w:r>
          </w:p>
        </w:tc>
        <w:tc>
          <w:tcPr>
            <w:tcW w:w="1297" w:type="dxa"/>
            <w:shd w:val="clear" w:color="auto" w:fill="auto"/>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1.10</w:t>
            </w:r>
          </w:p>
        </w:tc>
        <w:tc>
          <w:tcPr>
            <w:tcW w:w="1293" w:type="dxa"/>
            <w:shd w:val="clear" w:color="auto" w:fill="auto"/>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1.37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3820" w:type="dxa"/>
            <w:shd w:val="clear" w:color="auto" w:fill="auto"/>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最大负荷利用小时数（小时）</w:t>
            </w:r>
          </w:p>
        </w:tc>
        <w:tc>
          <w:tcPr>
            <w:tcW w:w="1297" w:type="dxa"/>
            <w:shd w:val="clear" w:color="auto" w:fill="auto"/>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3821</w:t>
            </w:r>
          </w:p>
        </w:tc>
        <w:tc>
          <w:tcPr>
            <w:tcW w:w="1297" w:type="dxa"/>
            <w:shd w:val="clear" w:color="auto" w:fill="auto"/>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3850</w:t>
            </w:r>
          </w:p>
        </w:tc>
        <w:tc>
          <w:tcPr>
            <w:tcW w:w="1297" w:type="dxa"/>
            <w:shd w:val="clear" w:color="auto" w:fill="auto"/>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3850</w:t>
            </w:r>
          </w:p>
        </w:tc>
        <w:tc>
          <w:tcPr>
            <w:tcW w:w="1293" w:type="dxa"/>
            <w:shd w:val="clear" w:color="auto" w:fill="auto"/>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4000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3820" w:type="dxa"/>
            <w:shd w:val="clear" w:color="auto" w:fill="auto"/>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负荷（兆瓦）</w:t>
            </w:r>
          </w:p>
        </w:tc>
        <w:tc>
          <w:tcPr>
            <w:tcW w:w="1297" w:type="dxa"/>
            <w:shd w:val="clear" w:color="auto" w:fill="auto"/>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24.075</w:t>
            </w:r>
          </w:p>
        </w:tc>
        <w:tc>
          <w:tcPr>
            <w:tcW w:w="1297" w:type="dxa"/>
            <w:shd w:val="clear" w:color="auto" w:fill="auto"/>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25.45</w:t>
            </w:r>
          </w:p>
        </w:tc>
        <w:tc>
          <w:tcPr>
            <w:tcW w:w="1297" w:type="dxa"/>
            <w:shd w:val="clear" w:color="auto" w:fill="auto"/>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28.57</w:t>
            </w:r>
          </w:p>
        </w:tc>
        <w:tc>
          <w:tcPr>
            <w:tcW w:w="1293" w:type="dxa"/>
            <w:shd w:val="clear" w:color="auto" w:fill="auto"/>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34.25</w:t>
            </w:r>
          </w:p>
        </w:tc>
      </w:tr>
    </w:tbl>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（2）回归分析法</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此方法与电量预测方法一致，以2010～2018年试点区历史负荷为基础数据，利用各种数学回归模型模拟负荷历史曲线对试点区2019～2025年的负荷进行预测。本次预测所采用的回归模型分别为线性模型、二次多项式模型、指数模型，模型参数如下图所示。</w:t>
      </w:r>
    </w:p>
    <w:p>
      <w:pPr>
        <w:ind w:firstLine="0" w:firstLineChars="0"/>
        <w:jc w:val="center"/>
        <w:rPr>
          <w:rFonts w:hint="default" w:ascii="Times New Roman" w:hAnsi="Times New Roman" w:eastAsia="仿宋" w:cs="Times New Roman"/>
          <w:b/>
          <w:sz w:val="21"/>
          <w:szCs w:val="21"/>
          <w:highlight w:val="yellow"/>
        </w:rPr>
      </w:pPr>
      <w:r>
        <w:rPr>
          <w:rFonts w:hint="default" w:ascii="Times New Roman" w:hAnsi="Times New Roman" w:eastAsia="仿宋" w:cs="Times New Roman"/>
        </w:rPr>
        <w:drawing>
          <wp:inline distT="0" distB="0" distL="114300" distR="114300">
            <wp:extent cx="4578350" cy="2531110"/>
            <wp:effectExtent l="4445" t="4445" r="8255" b="17145"/>
            <wp:docPr id="22" name="图片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91"/>
        <w:keepNext w:val="0"/>
        <w:keepLines w:val="0"/>
        <w:pageBreakBefore w:val="0"/>
        <w:widowControl w:val="0"/>
        <w:tabs>
          <w:tab w:val="left" w:pos="3969"/>
        </w:tabs>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bookmarkStart w:id="94" w:name="_Ref531430647"/>
      <w:r>
        <w:rPr>
          <w:rFonts w:hint="default" w:ascii="Times New Roman" w:hAnsi="Times New Roman" w:eastAsia="宋体" w:cs="Times New Roman"/>
          <w:b w:val="0"/>
          <w:sz w:val="28"/>
          <w:szCs w:val="28"/>
          <w:lang w:eastAsia="zh-CN"/>
        </w:rPr>
        <w:t>图</w:t>
      </w:r>
      <w:bookmarkEnd w:id="94"/>
      <w:r>
        <w:rPr>
          <w:rFonts w:hint="default" w:ascii="Times New Roman" w:hAnsi="Times New Roman" w:eastAsia="宋体" w:cs="Times New Roman"/>
          <w:b w:val="0"/>
          <w:sz w:val="28"/>
          <w:szCs w:val="28"/>
          <w:lang w:eastAsia="zh-CN"/>
        </w:rPr>
        <w:t>4-5  回归曲线图</w:t>
      </w:r>
    </w:p>
    <w:p>
      <w:pPr>
        <w:keepNext w:val="0"/>
        <w:keepLines w:val="0"/>
        <w:pageBreakBefore w:val="0"/>
        <w:widowControl w:val="0"/>
        <w:kinsoku/>
        <w:wordWrap/>
        <w:overflowPunct/>
        <w:topLinePunct w:val="0"/>
        <w:autoSpaceDE/>
        <w:autoSpaceDN/>
        <w:bidi w:val="0"/>
        <w:adjustRightInd w:val="0"/>
        <w:snapToGrid w:val="0"/>
        <w:spacing w:line="579" w:lineRule="exact"/>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注：图中y为预测规划年的负荷(兆瓦)；x为年份；R</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为拟合度。</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由图4-5可知，二次多项式的拟合程度最高，因此，将二次多项式作为回归分析法的负荷预测结果。</w:t>
      </w:r>
    </w:p>
    <w:p>
      <w:pPr>
        <w:pStyle w:val="91"/>
        <w:keepNext w:val="0"/>
        <w:keepLines w:val="0"/>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表4-15  2018～2025年试点区负荷预测结果（回归分析法）</w:t>
      </w:r>
    </w:p>
    <w:tbl>
      <w:tblPr>
        <w:tblStyle w:val="29"/>
        <w:tblW w:w="9004"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3487"/>
        <w:gridCol w:w="1380"/>
        <w:gridCol w:w="1379"/>
        <w:gridCol w:w="1379"/>
        <w:gridCol w:w="137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76" w:hRule="atLeast"/>
        </w:trPr>
        <w:tc>
          <w:tcPr>
            <w:tcW w:w="3487" w:type="dxa"/>
            <w:shd w:val="clear" w:color="auto" w:fill="auto"/>
            <w:noWrap/>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年份</w:t>
            </w:r>
          </w:p>
        </w:tc>
        <w:tc>
          <w:tcPr>
            <w:tcW w:w="1380" w:type="dxa"/>
            <w:shd w:val="clear" w:color="auto" w:fill="auto"/>
            <w:noWrap/>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2018年</w:t>
            </w:r>
          </w:p>
        </w:tc>
        <w:tc>
          <w:tcPr>
            <w:tcW w:w="1379" w:type="dxa"/>
            <w:shd w:val="clear" w:color="auto" w:fill="auto"/>
            <w:noWrap/>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2019年</w:t>
            </w:r>
          </w:p>
        </w:tc>
        <w:tc>
          <w:tcPr>
            <w:tcW w:w="1379" w:type="dxa"/>
            <w:shd w:val="clear" w:color="auto" w:fill="auto"/>
            <w:noWrap/>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2020年</w:t>
            </w:r>
          </w:p>
        </w:tc>
        <w:tc>
          <w:tcPr>
            <w:tcW w:w="1379" w:type="dxa"/>
            <w:shd w:val="clear" w:color="auto" w:fill="auto"/>
            <w:noWrap/>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2025年</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76" w:hRule="atLeast"/>
        </w:trPr>
        <w:tc>
          <w:tcPr>
            <w:tcW w:w="3487" w:type="dxa"/>
            <w:shd w:val="clear" w:color="auto" w:fill="auto"/>
            <w:noWrap/>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最大用电负荷（兆瓦）</w:t>
            </w:r>
          </w:p>
        </w:tc>
        <w:tc>
          <w:tcPr>
            <w:tcW w:w="1380" w:type="dxa"/>
            <w:shd w:val="clear" w:color="auto" w:fill="auto"/>
            <w:noWrap/>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24.075</w:t>
            </w:r>
          </w:p>
        </w:tc>
        <w:tc>
          <w:tcPr>
            <w:tcW w:w="1379" w:type="dxa"/>
            <w:shd w:val="clear" w:color="auto" w:fill="auto"/>
            <w:noWrap/>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25.72</w:t>
            </w:r>
          </w:p>
        </w:tc>
        <w:tc>
          <w:tcPr>
            <w:tcW w:w="1379" w:type="dxa"/>
            <w:shd w:val="clear" w:color="auto" w:fill="auto"/>
            <w:noWrap/>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27.53</w:t>
            </w:r>
          </w:p>
        </w:tc>
        <w:tc>
          <w:tcPr>
            <w:tcW w:w="1379" w:type="dxa"/>
            <w:shd w:val="clear" w:color="auto" w:fill="auto"/>
            <w:noWrap/>
            <w:vAlign w:val="center"/>
          </w:tcPr>
          <w:p>
            <w:pPr>
              <w:widowControl/>
              <w:adjustRightInd w:val="0"/>
              <w:snapToGrid w:val="0"/>
              <w:spacing w:line="240" w:lineRule="auto"/>
              <w:ind w:left="-140" w:leftChars="-50" w:right="-140" w:rightChars="-5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38.08</w:t>
            </w:r>
          </w:p>
        </w:tc>
      </w:tr>
    </w:tbl>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（3）负荷预测结果</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对回归分析法和最大负荷利用小时数的负荷预测结果进行对比分析，两种方法预测结果相差较小，因此，取平均值作为本次预测结果。</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p>
    <w:p>
      <w:pPr>
        <w:pStyle w:val="91"/>
        <w:keepNext w:val="0"/>
        <w:keepLines w:val="0"/>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 4-16  2018～2025年试点区负荷预测结果</w:t>
      </w:r>
    </w:p>
    <w:tbl>
      <w:tblPr>
        <w:tblStyle w:val="29"/>
        <w:tblW w:w="8818"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2965"/>
        <w:gridCol w:w="782"/>
        <w:gridCol w:w="783"/>
        <w:gridCol w:w="783"/>
        <w:gridCol w:w="785"/>
        <w:gridCol w:w="1337"/>
        <w:gridCol w:w="1383"/>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tblHeader/>
        </w:trPr>
        <w:tc>
          <w:tcPr>
            <w:tcW w:w="2965"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年份</w:t>
            </w:r>
          </w:p>
        </w:tc>
        <w:tc>
          <w:tcPr>
            <w:tcW w:w="782"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2018年</w:t>
            </w:r>
          </w:p>
        </w:tc>
        <w:tc>
          <w:tcPr>
            <w:tcW w:w="783"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2019年</w:t>
            </w:r>
          </w:p>
        </w:tc>
        <w:tc>
          <w:tcPr>
            <w:tcW w:w="783"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2020年</w:t>
            </w:r>
          </w:p>
        </w:tc>
        <w:tc>
          <w:tcPr>
            <w:tcW w:w="785"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2025年</w:t>
            </w:r>
          </w:p>
        </w:tc>
        <w:tc>
          <w:tcPr>
            <w:tcW w:w="1337"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2018-2020年均增长率（%））</w:t>
            </w:r>
          </w:p>
        </w:tc>
        <w:tc>
          <w:tcPr>
            <w:tcW w:w="1383"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“十四五”年均增长率（%））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90" w:hRule="atLeast"/>
        </w:trPr>
        <w:tc>
          <w:tcPr>
            <w:tcW w:w="2965"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最大负荷利用小时数法（兆瓦）</w:t>
            </w:r>
          </w:p>
        </w:tc>
        <w:tc>
          <w:tcPr>
            <w:tcW w:w="782"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24.075</w:t>
            </w:r>
          </w:p>
        </w:tc>
        <w:tc>
          <w:tcPr>
            <w:tcW w:w="783"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25.45</w:t>
            </w:r>
          </w:p>
        </w:tc>
        <w:tc>
          <w:tcPr>
            <w:tcW w:w="783"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28.57</w:t>
            </w:r>
          </w:p>
        </w:tc>
        <w:tc>
          <w:tcPr>
            <w:tcW w:w="785"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34.25</w:t>
            </w:r>
          </w:p>
        </w:tc>
        <w:tc>
          <w:tcPr>
            <w:tcW w:w="1337"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8.94</w:t>
            </w:r>
          </w:p>
        </w:tc>
        <w:tc>
          <w:tcPr>
            <w:tcW w:w="1383"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3.69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90" w:hRule="atLeast"/>
        </w:trPr>
        <w:tc>
          <w:tcPr>
            <w:tcW w:w="2965"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回归曲线法（兆瓦）</w:t>
            </w:r>
          </w:p>
        </w:tc>
        <w:tc>
          <w:tcPr>
            <w:tcW w:w="782"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24.075</w:t>
            </w:r>
          </w:p>
        </w:tc>
        <w:tc>
          <w:tcPr>
            <w:tcW w:w="783"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25.72</w:t>
            </w:r>
          </w:p>
        </w:tc>
        <w:tc>
          <w:tcPr>
            <w:tcW w:w="783"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27.53</w:t>
            </w:r>
          </w:p>
        </w:tc>
        <w:tc>
          <w:tcPr>
            <w:tcW w:w="785"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38.08</w:t>
            </w:r>
          </w:p>
        </w:tc>
        <w:tc>
          <w:tcPr>
            <w:tcW w:w="1337"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6.94</w:t>
            </w:r>
          </w:p>
        </w:tc>
        <w:tc>
          <w:tcPr>
            <w:tcW w:w="1383"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6.70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90" w:hRule="atLeast"/>
        </w:trPr>
        <w:tc>
          <w:tcPr>
            <w:tcW w:w="2965"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预测结果（兆瓦）</w:t>
            </w:r>
          </w:p>
        </w:tc>
        <w:tc>
          <w:tcPr>
            <w:tcW w:w="782"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24.075</w:t>
            </w:r>
          </w:p>
        </w:tc>
        <w:tc>
          <w:tcPr>
            <w:tcW w:w="783"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25.59</w:t>
            </w:r>
          </w:p>
        </w:tc>
        <w:tc>
          <w:tcPr>
            <w:tcW w:w="783"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28.05</w:t>
            </w:r>
          </w:p>
        </w:tc>
        <w:tc>
          <w:tcPr>
            <w:tcW w:w="785"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36.17</w:t>
            </w:r>
          </w:p>
        </w:tc>
        <w:tc>
          <w:tcPr>
            <w:tcW w:w="1337"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7.94</w:t>
            </w:r>
          </w:p>
        </w:tc>
        <w:tc>
          <w:tcPr>
            <w:tcW w:w="1383"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5.21</w:t>
            </w:r>
          </w:p>
        </w:tc>
      </w:tr>
    </w:tbl>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根据以上预测结果，至2020年，试点区最大用电负荷将达到28.05兆瓦，至2025年将达到36.17兆瓦，“十三五”年均增长率为7.94%，“十四五”年均增长率为5.21%。</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4.远景年用电量预测</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对近中期预测结果进行整理，并采用最大负荷利用小时数法预测远景年用电量。根据近中期用电量及最大负荷预测结果，可得出近中期最大负荷利用小时数，结合近中期最大负荷利用小时数变化趋势，可预测远景年最大负荷利用小时数，随着节能型设备的逐渐应用，远景年最大负荷利用小时数应呈略微下降趋势，因此本次预测取3725小时，则远景年用电量约为1.82亿千瓦时。试点区近中远期电量、负荷预测结果如下表所示。</w:t>
      </w:r>
    </w:p>
    <w:p>
      <w:pPr>
        <w:pStyle w:val="91"/>
        <w:keepNext w:val="0"/>
        <w:keepLines w:val="0"/>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表4-17  试点区电量、负荷预测结果</w:t>
      </w:r>
    </w:p>
    <w:tbl>
      <w:tblPr>
        <w:tblStyle w:val="29"/>
        <w:tblW w:w="8818"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2755"/>
        <w:gridCol w:w="703"/>
        <w:gridCol w:w="703"/>
        <w:gridCol w:w="703"/>
        <w:gridCol w:w="703"/>
        <w:gridCol w:w="570"/>
        <w:gridCol w:w="1411"/>
        <w:gridCol w:w="127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blHeader/>
        </w:trPr>
        <w:tc>
          <w:tcPr>
            <w:tcW w:w="2755"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年份</w:t>
            </w:r>
          </w:p>
        </w:tc>
        <w:tc>
          <w:tcPr>
            <w:tcW w:w="70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2018年</w:t>
            </w:r>
          </w:p>
        </w:tc>
        <w:tc>
          <w:tcPr>
            <w:tcW w:w="70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2019年</w:t>
            </w:r>
          </w:p>
        </w:tc>
        <w:tc>
          <w:tcPr>
            <w:tcW w:w="70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2020年</w:t>
            </w:r>
          </w:p>
        </w:tc>
        <w:tc>
          <w:tcPr>
            <w:tcW w:w="70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2025年</w:t>
            </w:r>
          </w:p>
        </w:tc>
        <w:tc>
          <w:tcPr>
            <w:tcW w:w="570"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远景年</w:t>
            </w:r>
          </w:p>
        </w:tc>
        <w:tc>
          <w:tcPr>
            <w:tcW w:w="1411"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2018-2020年均增长率（%））</w:t>
            </w:r>
          </w:p>
        </w:tc>
        <w:tc>
          <w:tcPr>
            <w:tcW w:w="1270"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“十四五”年均增长率（%））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2755"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电量（亿千瓦时）</w:t>
            </w:r>
          </w:p>
        </w:tc>
        <w:tc>
          <w:tcPr>
            <w:tcW w:w="70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0.92</w:t>
            </w:r>
          </w:p>
        </w:tc>
        <w:tc>
          <w:tcPr>
            <w:tcW w:w="70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0.98</w:t>
            </w:r>
          </w:p>
        </w:tc>
        <w:tc>
          <w:tcPr>
            <w:tcW w:w="70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1.10</w:t>
            </w:r>
          </w:p>
        </w:tc>
        <w:tc>
          <w:tcPr>
            <w:tcW w:w="70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1.37</w:t>
            </w:r>
          </w:p>
        </w:tc>
        <w:tc>
          <w:tcPr>
            <w:tcW w:w="570"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1.82</w:t>
            </w:r>
          </w:p>
        </w:tc>
        <w:tc>
          <w:tcPr>
            <w:tcW w:w="1411"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9.35</w:t>
            </w:r>
          </w:p>
        </w:tc>
        <w:tc>
          <w:tcPr>
            <w:tcW w:w="1270"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4.49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2755"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负荷（兆瓦）</w:t>
            </w:r>
          </w:p>
        </w:tc>
        <w:tc>
          <w:tcPr>
            <w:tcW w:w="70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24.075</w:t>
            </w:r>
          </w:p>
        </w:tc>
        <w:tc>
          <w:tcPr>
            <w:tcW w:w="70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25.59</w:t>
            </w:r>
          </w:p>
        </w:tc>
        <w:tc>
          <w:tcPr>
            <w:tcW w:w="70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28.05</w:t>
            </w:r>
          </w:p>
        </w:tc>
        <w:tc>
          <w:tcPr>
            <w:tcW w:w="70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36.17</w:t>
            </w:r>
          </w:p>
        </w:tc>
        <w:tc>
          <w:tcPr>
            <w:tcW w:w="570"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48.86</w:t>
            </w:r>
          </w:p>
        </w:tc>
        <w:tc>
          <w:tcPr>
            <w:tcW w:w="1411"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7.94</w:t>
            </w:r>
          </w:p>
        </w:tc>
        <w:tc>
          <w:tcPr>
            <w:tcW w:w="1270"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5.21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2755"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最大负荷利用小时数（小时）</w:t>
            </w:r>
          </w:p>
        </w:tc>
        <w:tc>
          <w:tcPr>
            <w:tcW w:w="70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3821</w:t>
            </w:r>
          </w:p>
        </w:tc>
        <w:tc>
          <w:tcPr>
            <w:tcW w:w="70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3830</w:t>
            </w:r>
          </w:p>
        </w:tc>
        <w:tc>
          <w:tcPr>
            <w:tcW w:w="70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3922</w:t>
            </w:r>
          </w:p>
        </w:tc>
        <w:tc>
          <w:tcPr>
            <w:tcW w:w="703"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3788</w:t>
            </w:r>
          </w:p>
        </w:tc>
        <w:tc>
          <w:tcPr>
            <w:tcW w:w="570"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3725</w:t>
            </w:r>
          </w:p>
        </w:tc>
        <w:tc>
          <w:tcPr>
            <w:tcW w:w="1411"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w:t>
            </w:r>
          </w:p>
        </w:tc>
        <w:tc>
          <w:tcPr>
            <w:tcW w:w="1270"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w:t>
            </w:r>
          </w:p>
        </w:tc>
      </w:tr>
    </w:tbl>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5.分电压等级负荷预测</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根据配变现状负荷进行叠加统计，试点区内2018年有10千伏配变负荷8.43兆瓦，20千伏配变负荷15.65兆瓦。规划至2020年，将现有10千伏负荷通过20/10千伏隔离变的方式接入20千伏线路，东北部新开发区域采用10千伏线路供电。</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根据以上边界条件进行分电压等级负荷预测，预测思路如下：</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（1）现有10千伏负荷通过隔离变接入20千伏线路，其线路侧为20千伏负荷，配变侧仍为10千伏负荷。</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现有10千伏负荷采用自然增长率法进行预测，根据供电部门引导，建议新增用户优先接入10千伏电压等级，因此，取10千伏负荷自然增长率略高于试点区自然增长率。本次预测取2018～2020年10千伏负荷自然增长率为9%，“十四五”期间自然增长率取6%，2025～2030年自然增长率取4%。预测结果如下：</w:t>
      </w:r>
    </w:p>
    <w:p>
      <w:pPr>
        <w:pStyle w:val="91"/>
        <w:keepNext w:val="0"/>
        <w:keepLines w:val="0"/>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表4-18 10千伏自然增长负荷预测结果</w:t>
      </w:r>
    </w:p>
    <w:tbl>
      <w:tblPr>
        <w:tblStyle w:val="29"/>
        <w:tblW w:w="8818"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3916"/>
        <w:gridCol w:w="995"/>
        <w:gridCol w:w="995"/>
        <w:gridCol w:w="995"/>
        <w:gridCol w:w="995"/>
        <w:gridCol w:w="92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88" w:hRule="atLeast"/>
        </w:trPr>
        <w:tc>
          <w:tcPr>
            <w:tcW w:w="3916"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年份</w:t>
            </w:r>
          </w:p>
        </w:tc>
        <w:tc>
          <w:tcPr>
            <w:tcW w:w="995"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2018年</w:t>
            </w:r>
          </w:p>
        </w:tc>
        <w:tc>
          <w:tcPr>
            <w:tcW w:w="995"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2019年</w:t>
            </w:r>
          </w:p>
        </w:tc>
        <w:tc>
          <w:tcPr>
            <w:tcW w:w="995"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2020年</w:t>
            </w:r>
          </w:p>
        </w:tc>
        <w:tc>
          <w:tcPr>
            <w:tcW w:w="995"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2025年</w:t>
            </w:r>
          </w:p>
        </w:tc>
        <w:tc>
          <w:tcPr>
            <w:tcW w:w="922"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远景年</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88" w:hRule="atLeast"/>
        </w:trPr>
        <w:tc>
          <w:tcPr>
            <w:tcW w:w="3916"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10千伏自然增长负荷（兆瓦）</w:t>
            </w:r>
          </w:p>
        </w:tc>
        <w:tc>
          <w:tcPr>
            <w:tcW w:w="995"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8.43</w:t>
            </w:r>
          </w:p>
        </w:tc>
        <w:tc>
          <w:tcPr>
            <w:tcW w:w="995"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9.18</w:t>
            </w:r>
          </w:p>
        </w:tc>
        <w:tc>
          <w:tcPr>
            <w:tcW w:w="995"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10.01</w:t>
            </w:r>
          </w:p>
        </w:tc>
        <w:tc>
          <w:tcPr>
            <w:tcW w:w="995"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xml:space="preserve">13.40 </w:t>
            </w:r>
          </w:p>
        </w:tc>
        <w:tc>
          <w:tcPr>
            <w:tcW w:w="922"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xml:space="preserve">16.95 </w:t>
            </w:r>
          </w:p>
        </w:tc>
      </w:tr>
    </w:tbl>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3）东北部新开发区域采用10千伏线路供电，采用空间负荷密度法进行远景负荷预测，并结合地块开发时序，采用S型增长曲线法进行逐年负荷预测。在此基础上，与新开发区域10千伏负荷叠加，可得到试点区10千伏负荷预测结果。</w:t>
      </w:r>
    </w:p>
    <w:p>
      <w:pPr>
        <w:pStyle w:val="91"/>
        <w:keepNext w:val="0"/>
        <w:keepLines w:val="0"/>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表4-19 10千伏负荷预测结果</w:t>
      </w:r>
    </w:p>
    <w:tbl>
      <w:tblPr>
        <w:tblStyle w:val="29"/>
        <w:tblW w:w="8818"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4116"/>
        <w:gridCol w:w="956"/>
        <w:gridCol w:w="954"/>
        <w:gridCol w:w="954"/>
        <w:gridCol w:w="954"/>
        <w:gridCol w:w="88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00" w:hRule="atLeast"/>
        </w:trPr>
        <w:tc>
          <w:tcPr>
            <w:tcW w:w="4116"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年份</w:t>
            </w:r>
          </w:p>
        </w:tc>
        <w:tc>
          <w:tcPr>
            <w:tcW w:w="956"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2018年</w:t>
            </w:r>
          </w:p>
        </w:tc>
        <w:tc>
          <w:tcPr>
            <w:tcW w:w="954"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2019年</w:t>
            </w:r>
          </w:p>
        </w:tc>
        <w:tc>
          <w:tcPr>
            <w:tcW w:w="954"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2020年</w:t>
            </w:r>
          </w:p>
        </w:tc>
        <w:tc>
          <w:tcPr>
            <w:tcW w:w="954"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2025年</w:t>
            </w:r>
          </w:p>
        </w:tc>
        <w:tc>
          <w:tcPr>
            <w:tcW w:w="884"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远景年</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88" w:hRule="atLeast"/>
        </w:trPr>
        <w:tc>
          <w:tcPr>
            <w:tcW w:w="4116"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10千伏自然增长负荷（兆瓦）</w:t>
            </w:r>
          </w:p>
        </w:tc>
        <w:tc>
          <w:tcPr>
            <w:tcW w:w="956"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8.43</w:t>
            </w:r>
          </w:p>
        </w:tc>
        <w:tc>
          <w:tcPr>
            <w:tcW w:w="954"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9.18</w:t>
            </w:r>
          </w:p>
        </w:tc>
        <w:tc>
          <w:tcPr>
            <w:tcW w:w="954"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10.01</w:t>
            </w:r>
          </w:p>
        </w:tc>
        <w:tc>
          <w:tcPr>
            <w:tcW w:w="954"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13.40</w:t>
            </w:r>
          </w:p>
        </w:tc>
        <w:tc>
          <w:tcPr>
            <w:tcW w:w="884"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16.95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00" w:hRule="atLeast"/>
        </w:trPr>
        <w:tc>
          <w:tcPr>
            <w:tcW w:w="4116"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新开发区域10千伏负荷（兆瓦）</w:t>
            </w:r>
          </w:p>
        </w:tc>
        <w:tc>
          <w:tcPr>
            <w:tcW w:w="956"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c>
          <w:tcPr>
            <w:tcW w:w="954"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c>
          <w:tcPr>
            <w:tcW w:w="954"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c>
          <w:tcPr>
            <w:tcW w:w="954"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3.12</w:t>
            </w:r>
          </w:p>
        </w:tc>
        <w:tc>
          <w:tcPr>
            <w:tcW w:w="884"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10.28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88" w:hRule="atLeast"/>
        </w:trPr>
        <w:tc>
          <w:tcPr>
            <w:tcW w:w="4116"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10千伏负荷（兆瓦）</w:t>
            </w:r>
          </w:p>
        </w:tc>
        <w:tc>
          <w:tcPr>
            <w:tcW w:w="956"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8.43</w:t>
            </w:r>
          </w:p>
        </w:tc>
        <w:tc>
          <w:tcPr>
            <w:tcW w:w="954"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9.18</w:t>
            </w:r>
          </w:p>
        </w:tc>
        <w:tc>
          <w:tcPr>
            <w:tcW w:w="954"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10.01</w:t>
            </w:r>
          </w:p>
        </w:tc>
        <w:tc>
          <w:tcPr>
            <w:tcW w:w="954"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16.52</w:t>
            </w:r>
          </w:p>
        </w:tc>
        <w:tc>
          <w:tcPr>
            <w:tcW w:w="884"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27.23</w:t>
            </w:r>
          </w:p>
        </w:tc>
      </w:tr>
    </w:tbl>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（4）20千伏负荷由试点区负荷预测结果与10千伏负荷预测结果相减得到。</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分电压等级预测结果如下表所示。</w:t>
      </w:r>
    </w:p>
    <w:p>
      <w:pPr>
        <w:pStyle w:val="91"/>
        <w:keepNext w:val="0"/>
        <w:keepLines w:val="0"/>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表4-20 分电压等级负荷预测结果</w:t>
      </w:r>
    </w:p>
    <w:tbl>
      <w:tblPr>
        <w:tblStyle w:val="29"/>
        <w:tblW w:w="8818"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2061"/>
        <w:gridCol w:w="744"/>
        <w:gridCol w:w="744"/>
        <w:gridCol w:w="744"/>
        <w:gridCol w:w="744"/>
        <w:gridCol w:w="691"/>
        <w:gridCol w:w="1547"/>
        <w:gridCol w:w="1543"/>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88" w:hRule="atLeast"/>
        </w:trPr>
        <w:tc>
          <w:tcPr>
            <w:tcW w:w="2061"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bCs/>
                <w:kern w:val="0"/>
                <w:sz w:val="21"/>
                <w:szCs w:val="21"/>
              </w:rPr>
            </w:pPr>
            <w:bookmarkStart w:id="95" w:name="_Hlk22292932"/>
            <w:r>
              <w:rPr>
                <w:rFonts w:hint="default" w:ascii="Times New Roman" w:hAnsi="Times New Roman" w:eastAsia="宋体" w:cs="Times New Roman"/>
                <w:bCs/>
                <w:kern w:val="0"/>
                <w:sz w:val="21"/>
                <w:szCs w:val="21"/>
              </w:rPr>
              <w:t>年份</w:t>
            </w:r>
          </w:p>
        </w:tc>
        <w:tc>
          <w:tcPr>
            <w:tcW w:w="744"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2018年</w:t>
            </w:r>
          </w:p>
        </w:tc>
        <w:tc>
          <w:tcPr>
            <w:tcW w:w="744"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2019年</w:t>
            </w:r>
          </w:p>
        </w:tc>
        <w:tc>
          <w:tcPr>
            <w:tcW w:w="744"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2020年</w:t>
            </w:r>
          </w:p>
        </w:tc>
        <w:tc>
          <w:tcPr>
            <w:tcW w:w="744"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2025年</w:t>
            </w:r>
          </w:p>
        </w:tc>
        <w:tc>
          <w:tcPr>
            <w:tcW w:w="691"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远景年</w:t>
            </w:r>
          </w:p>
        </w:tc>
        <w:tc>
          <w:tcPr>
            <w:tcW w:w="1547"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2018-2020年均</w:t>
            </w:r>
          </w:p>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增长率（%））</w:t>
            </w:r>
          </w:p>
        </w:tc>
        <w:tc>
          <w:tcPr>
            <w:tcW w:w="1543"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“十四五”年均</w:t>
            </w:r>
          </w:p>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增长率（%））</w:t>
            </w:r>
          </w:p>
        </w:tc>
      </w:tr>
      <w:bookmarkEnd w:id="95"/>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88" w:hRule="atLeast"/>
        </w:trPr>
        <w:tc>
          <w:tcPr>
            <w:tcW w:w="2061"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10千伏负荷（兆瓦）</w:t>
            </w:r>
          </w:p>
        </w:tc>
        <w:tc>
          <w:tcPr>
            <w:tcW w:w="744"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8.43</w:t>
            </w:r>
          </w:p>
        </w:tc>
        <w:tc>
          <w:tcPr>
            <w:tcW w:w="744"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9.18</w:t>
            </w:r>
          </w:p>
        </w:tc>
        <w:tc>
          <w:tcPr>
            <w:tcW w:w="744"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10.01</w:t>
            </w:r>
          </w:p>
        </w:tc>
        <w:tc>
          <w:tcPr>
            <w:tcW w:w="744"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16.52</w:t>
            </w:r>
          </w:p>
        </w:tc>
        <w:tc>
          <w:tcPr>
            <w:tcW w:w="691"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27.23</w:t>
            </w:r>
          </w:p>
        </w:tc>
        <w:tc>
          <w:tcPr>
            <w:tcW w:w="1547"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9.00</w:t>
            </w:r>
          </w:p>
        </w:tc>
        <w:tc>
          <w:tcPr>
            <w:tcW w:w="1543"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10.53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88" w:hRule="atLeast"/>
        </w:trPr>
        <w:tc>
          <w:tcPr>
            <w:tcW w:w="2061"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20千伏负荷（兆瓦）</w:t>
            </w:r>
          </w:p>
        </w:tc>
        <w:tc>
          <w:tcPr>
            <w:tcW w:w="744"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15.65</w:t>
            </w:r>
          </w:p>
        </w:tc>
        <w:tc>
          <w:tcPr>
            <w:tcW w:w="744"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16.41</w:t>
            </w:r>
          </w:p>
        </w:tc>
        <w:tc>
          <w:tcPr>
            <w:tcW w:w="744"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18.04</w:t>
            </w:r>
          </w:p>
        </w:tc>
        <w:tc>
          <w:tcPr>
            <w:tcW w:w="744"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19.65</w:t>
            </w:r>
          </w:p>
        </w:tc>
        <w:tc>
          <w:tcPr>
            <w:tcW w:w="691"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21.63</w:t>
            </w:r>
          </w:p>
        </w:tc>
        <w:tc>
          <w:tcPr>
            <w:tcW w:w="1547"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7.37</w:t>
            </w:r>
          </w:p>
        </w:tc>
        <w:tc>
          <w:tcPr>
            <w:tcW w:w="1543"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1.73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88" w:hRule="atLeast"/>
        </w:trPr>
        <w:tc>
          <w:tcPr>
            <w:tcW w:w="2061"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试点区负荷（兆瓦）</w:t>
            </w:r>
          </w:p>
        </w:tc>
        <w:tc>
          <w:tcPr>
            <w:tcW w:w="744"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24.075</w:t>
            </w:r>
          </w:p>
        </w:tc>
        <w:tc>
          <w:tcPr>
            <w:tcW w:w="744"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25.59</w:t>
            </w:r>
          </w:p>
        </w:tc>
        <w:tc>
          <w:tcPr>
            <w:tcW w:w="744"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28.05</w:t>
            </w:r>
          </w:p>
        </w:tc>
        <w:tc>
          <w:tcPr>
            <w:tcW w:w="744" w:type="dxa"/>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36.17</w:t>
            </w:r>
          </w:p>
        </w:tc>
        <w:tc>
          <w:tcPr>
            <w:tcW w:w="691"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48.86</w:t>
            </w:r>
          </w:p>
        </w:tc>
        <w:tc>
          <w:tcPr>
            <w:tcW w:w="1547"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7.94</w:t>
            </w:r>
          </w:p>
        </w:tc>
        <w:tc>
          <w:tcPr>
            <w:tcW w:w="1543"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5.22</w:t>
            </w:r>
          </w:p>
        </w:tc>
      </w:tr>
    </w:tbl>
    <w:p>
      <w:pPr>
        <w:keepNext w:val="0"/>
        <w:keepLines w:val="0"/>
        <w:pageBreakBefore w:val="0"/>
        <w:widowControl w:val="0"/>
        <w:kinsoku/>
        <w:wordWrap/>
        <w:overflowPunct/>
        <w:topLinePunct w:val="0"/>
        <w:autoSpaceDE/>
        <w:autoSpaceDN/>
        <w:bidi w:val="0"/>
        <w:spacing w:line="579" w:lineRule="exact"/>
        <w:ind w:firstLine="560"/>
        <w:textAlignment w:val="auto"/>
        <w:rPr>
          <w:rFonts w:hint="default" w:ascii="Times New Roman" w:hAnsi="Times New Roman" w:eastAsia="仿宋" w:cs="Times New Roman"/>
          <w:bCs/>
        </w:rPr>
      </w:pPr>
    </w:p>
    <w:p>
      <w:pPr>
        <w:pStyle w:val="44"/>
        <w:keepNext w:val="0"/>
        <w:keepLines w:val="0"/>
        <w:pageBreakBefore w:val="0"/>
        <w:widowControl w:val="0"/>
        <w:kinsoku/>
        <w:wordWrap/>
        <w:overflowPunct/>
        <w:topLinePunct w:val="0"/>
        <w:autoSpaceDE/>
        <w:autoSpaceDN/>
        <w:bidi w:val="0"/>
        <w:adjustRightInd w:val="0"/>
        <w:snapToGrid w:val="0"/>
        <w:spacing w:line="579" w:lineRule="exact"/>
        <w:ind w:firstLine="640" w:firstLineChars="200"/>
        <w:textAlignment w:val="auto"/>
        <w:rPr>
          <w:rFonts w:hint="default" w:ascii="Times New Roman" w:hAnsi="Times New Roman" w:eastAsia="楷体" w:cs="Times New Roman"/>
          <w:b w:val="0"/>
        </w:rPr>
      </w:pPr>
      <w:bookmarkStart w:id="96" w:name="_Toc23253640"/>
      <w:r>
        <w:rPr>
          <w:rFonts w:hint="default" w:ascii="Times New Roman" w:hAnsi="Times New Roman" w:eastAsia="楷体" w:cs="Times New Roman"/>
          <w:b w:val="0"/>
        </w:rPr>
        <w:t>（三）区域电源（含分布式电源）增长预测</w:t>
      </w:r>
      <w:bookmarkEnd w:id="96"/>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1．家庭屋顶分布式光伏</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为更好地优化能源结构，使光伏发电融入百姓生活，提高居民生活质量，树立全民绿色能源生活的理念，需要落实家庭屋顶分布式光伏任务指标。</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预计到2020年，试点区域内家庭屋顶分布式光伏装机户数达到84户，装机容量达到508.10千瓦，以年利用小时1000小时测算，预计年发电量50.81万千瓦时。</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试点区域家庭屋顶分布式光伏发展计划见下表。</w:t>
      </w:r>
    </w:p>
    <w:p>
      <w:pPr>
        <w:pStyle w:val="91"/>
        <w:adjustRightInd w:val="0"/>
        <w:snapToGrid w:val="0"/>
        <w:spacing w:before="381" w:beforeLines="100"/>
        <w:outlineLvl w:val="9"/>
        <w:rPr>
          <w:rFonts w:hint="default" w:ascii="Times New Roman" w:hAnsi="Times New Roman" w:eastAsia="仿宋" w:cs="Times New Roman"/>
          <w:szCs w:val="24"/>
          <w:lang w:eastAsia="zh-CN"/>
        </w:rPr>
      </w:pPr>
      <w:r>
        <w:rPr>
          <w:rFonts w:hint="default" w:ascii="Times New Roman" w:hAnsi="Times New Roman" w:eastAsia="宋体" w:cs="Times New Roman"/>
          <w:b w:val="0"/>
          <w:sz w:val="28"/>
          <w:szCs w:val="28"/>
          <w:lang w:eastAsia="zh-CN"/>
        </w:rPr>
        <w:t>表4-21 试点区域家庭屋顶分布式光伏发展计划</w:t>
      </w:r>
    </w:p>
    <w:tbl>
      <w:tblPr>
        <w:tblStyle w:val="29"/>
        <w:tblW w:w="8818"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2702"/>
        <w:gridCol w:w="1529"/>
        <w:gridCol w:w="1529"/>
        <w:gridCol w:w="1529"/>
        <w:gridCol w:w="152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85" w:hRule="atLeast"/>
          <w:tblHeader/>
        </w:trPr>
        <w:tc>
          <w:tcPr>
            <w:tcW w:w="2702"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年份</w:t>
            </w:r>
          </w:p>
        </w:tc>
        <w:tc>
          <w:tcPr>
            <w:tcW w:w="1529"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2018</w:t>
            </w:r>
          </w:p>
        </w:tc>
        <w:tc>
          <w:tcPr>
            <w:tcW w:w="1529"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2019</w:t>
            </w:r>
          </w:p>
        </w:tc>
        <w:tc>
          <w:tcPr>
            <w:tcW w:w="1529"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2020</w:t>
            </w:r>
          </w:p>
        </w:tc>
        <w:tc>
          <w:tcPr>
            <w:tcW w:w="1529" w:type="dxa"/>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2025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85" w:hRule="atLeast"/>
        </w:trPr>
        <w:tc>
          <w:tcPr>
            <w:tcW w:w="2702"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装机户数（户）</w:t>
            </w:r>
          </w:p>
        </w:tc>
        <w:tc>
          <w:tcPr>
            <w:tcW w:w="1529"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48</w:t>
            </w:r>
          </w:p>
        </w:tc>
        <w:tc>
          <w:tcPr>
            <w:tcW w:w="1529"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70</w:t>
            </w:r>
          </w:p>
        </w:tc>
        <w:tc>
          <w:tcPr>
            <w:tcW w:w="1529"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84</w:t>
            </w:r>
          </w:p>
        </w:tc>
        <w:tc>
          <w:tcPr>
            <w:tcW w:w="1529" w:type="dxa"/>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85" w:hRule="atLeast"/>
        </w:trPr>
        <w:tc>
          <w:tcPr>
            <w:tcW w:w="2702"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装机容量（千瓦）</w:t>
            </w:r>
          </w:p>
        </w:tc>
        <w:tc>
          <w:tcPr>
            <w:tcW w:w="1529"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294.04</w:t>
            </w:r>
          </w:p>
        </w:tc>
        <w:tc>
          <w:tcPr>
            <w:tcW w:w="1529"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423.42</w:t>
            </w:r>
          </w:p>
        </w:tc>
        <w:tc>
          <w:tcPr>
            <w:tcW w:w="1529"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508.10</w:t>
            </w:r>
          </w:p>
        </w:tc>
        <w:tc>
          <w:tcPr>
            <w:tcW w:w="1529" w:type="dxa"/>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800</w:t>
            </w:r>
          </w:p>
        </w:tc>
      </w:tr>
    </w:tbl>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十四五”期间，预计家庭屋顶光伏工程装机增长趋势与“十三五”期间相似，试点区内家庭屋顶光伏装机户数及容量实现翻翻，“十四五”末期，预计装机容量800千瓦，按年利用小时1000小时测算，预计年发电量80万千瓦时。</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2．企业屋顶分布式光伏</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十三五”期间规划开发地块面积约0.2平方公里，根据区域内“十三五”期间企业厂房可利用屋顶面积，预计新增可接入分布式光伏约3兆瓦，按年利用小时1000小时测算，年发电量300万千瓦时。同样，按照“十四五”期间企业厂房可利用屋顶面积推算，至“十四五”末，累计可接入分布式光伏约15兆瓦，已年利用小时1000小时测算，年发电量1500万千瓦时。</w:t>
      </w:r>
    </w:p>
    <w:p>
      <w:pPr>
        <w:pStyle w:val="91"/>
        <w:keepNext w:val="0"/>
        <w:keepLines w:val="0"/>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表4-22 试点区域企业屋顶分布式光伏发展计划</w:t>
      </w:r>
    </w:p>
    <w:tbl>
      <w:tblPr>
        <w:tblStyle w:val="29"/>
        <w:tblW w:w="8818"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2702"/>
        <w:gridCol w:w="1529"/>
        <w:gridCol w:w="1529"/>
        <w:gridCol w:w="1529"/>
        <w:gridCol w:w="152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blHeader/>
        </w:trPr>
        <w:tc>
          <w:tcPr>
            <w:tcW w:w="2702"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年份</w:t>
            </w:r>
          </w:p>
        </w:tc>
        <w:tc>
          <w:tcPr>
            <w:tcW w:w="1529"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2018</w:t>
            </w:r>
          </w:p>
        </w:tc>
        <w:tc>
          <w:tcPr>
            <w:tcW w:w="1529"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2019</w:t>
            </w:r>
          </w:p>
        </w:tc>
        <w:tc>
          <w:tcPr>
            <w:tcW w:w="1529"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2020</w:t>
            </w:r>
          </w:p>
        </w:tc>
        <w:tc>
          <w:tcPr>
            <w:tcW w:w="1529" w:type="dxa"/>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2025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2702"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装机户数（户）</w:t>
            </w:r>
          </w:p>
        </w:tc>
        <w:tc>
          <w:tcPr>
            <w:tcW w:w="1529" w:type="dxa"/>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w:t>
            </w:r>
          </w:p>
        </w:tc>
        <w:tc>
          <w:tcPr>
            <w:tcW w:w="1529" w:type="dxa"/>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529" w:type="dxa"/>
            <w:vAlign w:val="center"/>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w:t>
            </w:r>
          </w:p>
        </w:tc>
        <w:tc>
          <w:tcPr>
            <w:tcW w:w="1529" w:type="dxa"/>
          </w:tcPr>
          <w:p>
            <w:pPr>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2702"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装机容量（千瓦）</w:t>
            </w:r>
          </w:p>
        </w:tc>
        <w:tc>
          <w:tcPr>
            <w:tcW w:w="1529"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5771.16</w:t>
            </w:r>
          </w:p>
        </w:tc>
        <w:tc>
          <w:tcPr>
            <w:tcW w:w="1529"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7632.36</w:t>
            </w:r>
          </w:p>
        </w:tc>
        <w:tc>
          <w:tcPr>
            <w:tcW w:w="1529"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8777.21</w:t>
            </w:r>
          </w:p>
        </w:tc>
        <w:tc>
          <w:tcPr>
            <w:tcW w:w="1529" w:type="dxa"/>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15000</w:t>
            </w:r>
          </w:p>
        </w:tc>
      </w:tr>
    </w:tbl>
    <w:p>
      <w:pPr>
        <w:pStyle w:val="44"/>
        <w:keepNext w:val="0"/>
        <w:keepLines w:val="0"/>
        <w:pageBreakBefore w:val="0"/>
        <w:widowControl w:val="0"/>
        <w:kinsoku/>
        <w:wordWrap/>
        <w:overflowPunct/>
        <w:topLinePunct w:val="0"/>
        <w:autoSpaceDE/>
        <w:autoSpaceDN/>
        <w:bidi w:val="0"/>
        <w:adjustRightInd w:val="0"/>
        <w:snapToGrid w:val="0"/>
        <w:spacing w:before="0" w:line="579" w:lineRule="exact"/>
        <w:ind w:firstLine="640" w:firstLineChars="200"/>
        <w:textAlignment w:val="auto"/>
        <w:rPr>
          <w:rFonts w:hint="default" w:ascii="Times New Roman" w:hAnsi="Times New Roman" w:eastAsia="楷体" w:cs="Times New Roman"/>
          <w:b w:val="0"/>
        </w:rPr>
      </w:pPr>
      <w:bookmarkStart w:id="97" w:name="_Toc23253641"/>
      <w:r>
        <w:rPr>
          <w:rFonts w:hint="default" w:ascii="Times New Roman" w:hAnsi="Times New Roman" w:eastAsia="楷体" w:cs="Times New Roman"/>
          <w:b w:val="0"/>
        </w:rPr>
        <w:t>（四）网供负荷、网供电量预测</w:t>
      </w:r>
      <w:bookmarkEnd w:id="97"/>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根据电力需求预测结果及电源增长预测，对试点区域进行电力电量平衡。区域内光伏电源不参与负荷平衡，仅参与电量平衡。至“十三五”末，区域外向试点区内供电负荷28.05兆瓦，供电量约1.01亿千瓦时。至“十四五”末，需要区域外向试点区内供电36.17兆瓦，供电量1.21亿千瓦时。试点区域电力电量平衡见下表。</w:t>
      </w:r>
    </w:p>
    <w:p>
      <w:pPr>
        <w:pStyle w:val="91"/>
        <w:keepNext w:val="0"/>
        <w:keepLines w:val="0"/>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表4-23        试点区域网供负荷、电量预测   单位：兆瓦、亿千瓦时</w:t>
      </w:r>
    </w:p>
    <w:tbl>
      <w:tblPr>
        <w:tblStyle w:val="29"/>
        <w:tblW w:w="8818"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612"/>
        <w:gridCol w:w="4326"/>
        <w:gridCol w:w="970"/>
        <w:gridCol w:w="970"/>
        <w:gridCol w:w="970"/>
        <w:gridCol w:w="97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blHeader/>
        </w:trPr>
        <w:tc>
          <w:tcPr>
            <w:tcW w:w="4938" w:type="dxa"/>
            <w:gridSpan w:val="2"/>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分类</w:t>
            </w:r>
          </w:p>
        </w:tc>
        <w:tc>
          <w:tcPr>
            <w:tcW w:w="970"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2018年</w:t>
            </w:r>
          </w:p>
        </w:tc>
        <w:tc>
          <w:tcPr>
            <w:tcW w:w="970"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2019年</w:t>
            </w:r>
          </w:p>
        </w:tc>
        <w:tc>
          <w:tcPr>
            <w:tcW w:w="970"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2020年</w:t>
            </w:r>
          </w:p>
        </w:tc>
        <w:tc>
          <w:tcPr>
            <w:tcW w:w="970"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2025年</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612" w:type="dxa"/>
            <w:vMerge w:val="restart"/>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负荷</w:t>
            </w:r>
          </w:p>
        </w:tc>
        <w:tc>
          <w:tcPr>
            <w:tcW w:w="4326"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区域内负荷需求（兆瓦）</w:t>
            </w:r>
          </w:p>
        </w:tc>
        <w:tc>
          <w:tcPr>
            <w:tcW w:w="970"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24.075</w:t>
            </w:r>
          </w:p>
        </w:tc>
        <w:tc>
          <w:tcPr>
            <w:tcW w:w="970"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25.59</w:t>
            </w:r>
          </w:p>
        </w:tc>
        <w:tc>
          <w:tcPr>
            <w:tcW w:w="970"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28.05</w:t>
            </w:r>
          </w:p>
        </w:tc>
        <w:tc>
          <w:tcPr>
            <w:tcW w:w="970"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36.17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612" w:type="dxa"/>
            <w:vMerge w:val="continue"/>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bookmarkStart w:id="98" w:name="_Hlk21895571"/>
          </w:p>
        </w:tc>
        <w:tc>
          <w:tcPr>
            <w:tcW w:w="4326"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bookmarkStart w:id="99" w:name="RANGE!B3"/>
            <w:r>
              <w:rPr>
                <w:rFonts w:hint="default" w:ascii="Times New Roman" w:hAnsi="Times New Roman" w:eastAsia="宋体" w:cs="Times New Roman"/>
                <w:kern w:val="0"/>
                <w:sz w:val="21"/>
                <w:szCs w:val="21"/>
              </w:rPr>
              <w:t>需区域外网供负荷（兆瓦）</w:t>
            </w:r>
            <w:bookmarkEnd w:id="99"/>
          </w:p>
        </w:tc>
        <w:tc>
          <w:tcPr>
            <w:tcW w:w="970"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24.075</w:t>
            </w:r>
          </w:p>
        </w:tc>
        <w:tc>
          <w:tcPr>
            <w:tcW w:w="970"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25.59</w:t>
            </w:r>
          </w:p>
        </w:tc>
        <w:tc>
          <w:tcPr>
            <w:tcW w:w="970"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28.05</w:t>
            </w:r>
          </w:p>
        </w:tc>
        <w:tc>
          <w:tcPr>
            <w:tcW w:w="970"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36.17</w:t>
            </w:r>
          </w:p>
        </w:tc>
      </w:tr>
      <w:bookmarkEnd w:id="98"/>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612" w:type="dxa"/>
            <w:vMerge w:val="restart"/>
            <w:shd w:val="clear" w:color="auto" w:fill="auto"/>
            <w:noWrap/>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电量</w:t>
            </w:r>
          </w:p>
        </w:tc>
        <w:tc>
          <w:tcPr>
            <w:tcW w:w="4326"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区域内电量需求（亿千瓦时）</w:t>
            </w:r>
          </w:p>
        </w:tc>
        <w:tc>
          <w:tcPr>
            <w:tcW w:w="970"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0.92</w:t>
            </w:r>
          </w:p>
        </w:tc>
        <w:tc>
          <w:tcPr>
            <w:tcW w:w="970"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0.98</w:t>
            </w:r>
          </w:p>
        </w:tc>
        <w:tc>
          <w:tcPr>
            <w:tcW w:w="970"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w:t>
            </w:r>
          </w:p>
        </w:tc>
        <w:tc>
          <w:tcPr>
            <w:tcW w:w="970"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1.37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612" w:type="dxa"/>
            <w:vMerge w:val="continue"/>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p>
        </w:tc>
        <w:tc>
          <w:tcPr>
            <w:tcW w:w="4326"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区域内电源年发电量（亿千瓦时）</w:t>
            </w:r>
          </w:p>
        </w:tc>
        <w:tc>
          <w:tcPr>
            <w:tcW w:w="970"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0.06</w:t>
            </w:r>
          </w:p>
        </w:tc>
        <w:tc>
          <w:tcPr>
            <w:tcW w:w="970"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0.08</w:t>
            </w:r>
          </w:p>
        </w:tc>
        <w:tc>
          <w:tcPr>
            <w:tcW w:w="970"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0.09</w:t>
            </w:r>
          </w:p>
        </w:tc>
        <w:tc>
          <w:tcPr>
            <w:tcW w:w="970"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0.16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612" w:type="dxa"/>
            <w:vMerge w:val="continue"/>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p>
        </w:tc>
        <w:tc>
          <w:tcPr>
            <w:tcW w:w="4326"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需区域外网供电量（亿千瓦时）</w:t>
            </w:r>
          </w:p>
        </w:tc>
        <w:tc>
          <w:tcPr>
            <w:tcW w:w="970"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0.86</w:t>
            </w:r>
          </w:p>
        </w:tc>
        <w:tc>
          <w:tcPr>
            <w:tcW w:w="970"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c>
          <w:tcPr>
            <w:tcW w:w="970"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1.01</w:t>
            </w:r>
          </w:p>
        </w:tc>
        <w:tc>
          <w:tcPr>
            <w:tcW w:w="970" w:type="dxa"/>
            <w:shd w:val="clear" w:color="auto" w:fill="auto"/>
            <w:tcMar>
              <w:top w:w="15" w:type="dxa"/>
              <w:left w:w="15" w:type="dxa"/>
              <w:bottom w:w="0" w:type="dxa"/>
              <w:right w:w="15" w:type="dxa"/>
            </w:tcMar>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1.21</w:t>
            </w:r>
          </w:p>
        </w:tc>
      </w:tr>
    </w:tbl>
    <w:p>
      <w:pPr>
        <w:pageBreakBefore w:val="0"/>
        <w:widowControl w:val="0"/>
        <w:kinsoku/>
        <w:wordWrap/>
        <w:overflowPunct/>
        <w:topLinePunct w:val="0"/>
        <w:autoSpaceDE/>
        <w:autoSpaceDN/>
        <w:bidi w:val="0"/>
        <w:spacing w:line="579" w:lineRule="exact"/>
        <w:ind w:firstLine="560"/>
        <w:textAlignment w:val="auto"/>
        <w:rPr>
          <w:rFonts w:hint="default" w:ascii="Times New Roman" w:hAnsi="Times New Roman" w:eastAsia="仿宋" w:cs="Times New Roman"/>
        </w:rPr>
      </w:pPr>
    </w:p>
    <w:bookmarkEnd w:id="4"/>
    <w:bookmarkEnd w:id="85"/>
    <w:p>
      <w:pPr>
        <w:pStyle w:val="43"/>
        <w:pageBreakBefore w:val="0"/>
        <w:widowControl w:val="0"/>
        <w:numPr>
          <w:ilvl w:val="0"/>
          <w:numId w:val="0"/>
        </w:numPr>
        <w:kinsoku/>
        <w:wordWrap/>
        <w:overflowPunct/>
        <w:topLinePunct w:val="0"/>
        <w:autoSpaceDE/>
        <w:autoSpaceDN/>
        <w:bidi w:val="0"/>
        <w:adjustRightInd w:val="0"/>
        <w:snapToGrid w:val="0"/>
        <w:spacing w:before="0" w:after="0" w:line="579" w:lineRule="exact"/>
        <w:textAlignment w:val="auto"/>
        <w:rPr>
          <w:rFonts w:hint="default" w:ascii="Times New Roman" w:hAnsi="Times New Roman" w:cs="Times New Roman"/>
          <w:b w:val="0"/>
          <w:sz w:val="32"/>
          <w:szCs w:val="32"/>
        </w:rPr>
      </w:pPr>
      <w:bookmarkStart w:id="100" w:name="_Toc493630218"/>
      <w:bookmarkEnd w:id="100"/>
      <w:bookmarkStart w:id="101" w:name="_Toc495541336"/>
      <w:bookmarkEnd w:id="101"/>
      <w:bookmarkStart w:id="102" w:name="_Toc495561221"/>
      <w:bookmarkEnd w:id="102"/>
      <w:bookmarkStart w:id="103" w:name="_Toc495542187"/>
      <w:bookmarkEnd w:id="103"/>
      <w:bookmarkStart w:id="104" w:name="_Toc493630091"/>
      <w:bookmarkEnd w:id="104"/>
      <w:bookmarkStart w:id="105" w:name="_Toc495538453"/>
      <w:bookmarkEnd w:id="105"/>
      <w:bookmarkStart w:id="106" w:name="_Toc495537933"/>
      <w:bookmarkEnd w:id="106"/>
      <w:bookmarkStart w:id="107" w:name="_Toc495541940"/>
      <w:bookmarkEnd w:id="107"/>
      <w:bookmarkStart w:id="108" w:name="_Toc495540736"/>
      <w:bookmarkEnd w:id="108"/>
      <w:bookmarkStart w:id="109" w:name="_Toc495538323"/>
      <w:bookmarkEnd w:id="109"/>
      <w:bookmarkStart w:id="110" w:name="_Toc495541135"/>
      <w:bookmarkEnd w:id="110"/>
      <w:bookmarkStart w:id="111" w:name="_Toc495540602"/>
      <w:bookmarkEnd w:id="111"/>
      <w:bookmarkStart w:id="112" w:name="_Toc495540469"/>
      <w:bookmarkEnd w:id="112"/>
      <w:bookmarkStart w:id="113" w:name="_Toc494357527"/>
      <w:bookmarkEnd w:id="113"/>
      <w:bookmarkStart w:id="114" w:name="_Toc495538063"/>
      <w:bookmarkEnd w:id="114"/>
      <w:bookmarkStart w:id="115" w:name="_Toc495537809"/>
      <w:bookmarkEnd w:id="115"/>
      <w:bookmarkStart w:id="116" w:name="_Toc23253642"/>
      <w:bookmarkStart w:id="117" w:name="_Toc464203879"/>
      <w:bookmarkStart w:id="118" w:name="_Toc377557221"/>
      <w:r>
        <w:rPr>
          <w:rFonts w:hint="eastAsia" w:ascii="Times New Roman" w:hAnsi="Times New Roman" w:cs="Times New Roman"/>
          <w:b w:val="0"/>
          <w:sz w:val="32"/>
          <w:szCs w:val="32"/>
          <w:lang w:val="en-US" w:eastAsia="zh-CN"/>
        </w:rPr>
        <w:t xml:space="preserve">    五、</w:t>
      </w:r>
      <w:r>
        <w:rPr>
          <w:rFonts w:hint="default" w:ascii="Times New Roman" w:hAnsi="Times New Roman" w:cs="Times New Roman"/>
          <w:b w:val="0"/>
          <w:sz w:val="32"/>
          <w:szCs w:val="32"/>
        </w:rPr>
        <w:t>总体要求</w:t>
      </w:r>
      <w:bookmarkEnd w:id="116"/>
    </w:p>
    <w:p>
      <w:pPr>
        <w:pStyle w:val="44"/>
        <w:pageBreakBefore w:val="0"/>
        <w:widowControl w:val="0"/>
        <w:kinsoku/>
        <w:wordWrap/>
        <w:overflowPunct/>
        <w:topLinePunct w:val="0"/>
        <w:autoSpaceDE/>
        <w:autoSpaceDN/>
        <w:bidi w:val="0"/>
        <w:adjustRightInd w:val="0"/>
        <w:snapToGrid w:val="0"/>
        <w:spacing w:before="0" w:after="0" w:line="579" w:lineRule="exact"/>
        <w:ind w:firstLine="640" w:firstLineChars="200"/>
        <w:textAlignment w:val="auto"/>
        <w:rPr>
          <w:rFonts w:hint="default" w:ascii="Times New Roman" w:hAnsi="Times New Roman" w:cs="Times New Roman"/>
        </w:rPr>
      </w:pPr>
      <w:bookmarkStart w:id="119" w:name="_Toc495540749"/>
      <w:bookmarkEnd w:id="119"/>
      <w:bookmarkStart w:id="120" w:name="_Toc494357540"/>
      <w:bookmarkEnd w:id="120"/>
      <w:bookmarkStart w:id="121" w:name="_Toc493630104"/>
      <w:bookmarkEnd w:id="121"/>
      <w:bookmarkStart w:id="122" w:name="_Toc495541148"/>
      <w:bookmarkEnd w:id="122"/>
      <w:bookmarkStart w:id="123" w:name="_Toc493630231"/>
      <w:bookmarkEnd w:id="123"/>
      <w:bookmarkStart w:id="124" w:name="_Toc495541349"/>
      <w:bookmarkEnd w:id="124"/>
      <w:bookmarkStart w:id="125" w:name="_Toc495541953"/>
      <w:bookmarkEnd w:id="125"/>
      <w:bookmarkStart w:id="126" w:name="_Toc495542200"/>
      <w:bookmarkEnd w:id="126"/>
      <w:bookmarkStart w:id="127" w:name="_Toc495537822"/>
      <w:bookmarkEnd w:id="127"/>
      <w:bookmarkStart w:id="128" w:name="_Toc495538076"/>
      <w:bookmarkEnd w:id="128"/>
      <w:bookmarkStart w:id="129" w:name="_Toc495538336"/>
      <w:bookmarkEnd w:id="129"/>
      <w:bookmarkStart w:id="130" w:name="_Toc495538466"/>
      <w:bookmarkEnd w:id="130"/>
      <w:bookmarkStart w:id="131" w:name="_Toc495561234"/>
      <w:bookmarkEnd w:id="131"/>
      <w:bookmarkStart w:id="132" w:name="_Toc495537946"/>
      <w:bookmarkEnd w:id="132"/>
      <w:bookmarkStart w:id="133" w:name="_Toc495540615"/>
      <w:bookmarkEnd w:id="133"/>
      <w:bookmarkStart w:id="134" w:name="_Toc495540482"/>
      <w:bookmarkEnd w:id="134"/>
      <w:bookmarkStart w:id="135" w:name="_Toc23253643"/>
      <w:r>
        <w:rPr>
          <w:rFonts w:hint="default" w:ascii="Times New Roman" w:hAnsi="Times New Roman" w:eastAsia="楷体" w:cs="Times New Roman"/>
          <w:b w:val="0"/>
        </w:rPr>
        <w:t>（一）指导思想</w:t>
      </w:r>
      <w:bookmarkEnd w:id="135"/>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本次规划以实现城乡电力均等化进程、满足全面实现小康社会对农村电力保障的要求为出发点，按照“五位一体”总体布局和“四个全面”战略布局，牢固树立和贯彻落实创新、协调、绿色、开</w:t>
      </w:r>
      <w:r>
        <w:rPr>
          <w:rFonts w:hint="eastAsia" w:cs="Times New Roman"/>
          <w:color w:val="000000"/>
          <w:kern w:val="0"/>
          <w:sz w:val="32"/>
          <w:szCs w:val="32"/>
          <w:lang w:val="en-US" w:eastAsia="zh-CN"/>
        </w:rPr>
        <w:t>放</w:t>
      </w:r>
      <w:r>
        <w:rPr>
          <w:rFonts w:hint="default" w:ascii="Times New Roman" w:hAnsi="Times New Roman" w:cs="Times New Roman"/>
          <w:color w:val="000000"/>
          <w:kern w:val="0"/>
          <w:sz w:val="32"/>
          <w:szCs w:val="32"/>
        </w:rPr>
        <w:t>、共享的发展理念；以用电需求为导向，以可靠性为目标，统筹城乡电网发展，提升配电网发展质量，着力解决配电网发展薄弱问题，推动装备提升与科技创新。</w:t>
      </w:r>
    </w:p>
    <w:p>
      <w:pPr>
        <w:pStyle w:val="44"/>
        <w:pageBreakBefore w:val="0"/>
        <w:widowControl w:val="0"/>
        <w:kinsoku/>
        <w:wordWrap/>
        <w:overflowPunct/>
        <w:topLinePunct w:val="0"/>
        <w:autoSpaceDE/>
        <w:autoSpaceDN/>
        <w:bidi w:val="0"/>
        <w:adjustRightInd w:val="0"/>
        <w:snapToGrid w:val="0"/>
        <w:spacing w:before="0" w:after="0" w:line="579" w:lineRule="exact"/>
        <w:ind w:firstLine="640" w:firstLineChars="200"/>
        <w:textAlignment w:val="auto"/>
        <w:rPr>
          <w:rFonts w:hint="default" w:ascii="Times New Roman" w:hAnsi="Times New Roman" w:eastAsia="楷体" w:cs="Times New Roman"/>
          <w:b w:val="0"/>
        </w:rPr>
      </w:pPr>
      <w:bookmarkStart w:id="136" w:name="_Toc23253644"/>
      <w:r>
        <w:rPr>
          <w:rFonts w:hint="default" w:ascii="Times New Roman" w:hAnsi="Times New Roman" w:eastAsia="楷体" w:cs="Times New Roman"/>
          <w:b w:val="0"/>
        </w:rPr>
        <w:t>（二）基本原则</w:t>
      </w:r>
      <w:bookmarkEnd w:id="136"/>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bookmarkStart w:id="137" w:name="_Toc495541351"/>
      <w:bookmarkStart w:id="138" w:name="_Toc494357542"/>
      <w:bookmarkStart w:id="139" w:name="_Toc464203874"/>
      <w:bookmarkStart w:id="140" w:name="_Toc377557216"/>
      <w:r>
        <w:rPr>
          <w:rFonts w:hint="default" w:ascii="Times New Roman" w:hAnsi="Times New Roman" w:cs="Times New Roman"/>
          <w:color w:val="000000"/>
          <w:kern w:val="0"/>
          <w:sz w:val="32"/>
          <w:szCs w:val="32"/>
        </w:rPr>
        <w:t>统筹规划，协调发展。坚持城乡电网、输配电网、近期远景之间相互衔接、协调发展，统筹城乡配电网规划，实现一体化发展，全面提升供电保障能力与电力普遍服务水平。科学制定远景配电网目标，远近结合、分步实施。</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统一标准，经济高效。合理确定各地区建设改造标准，导线截面一次选定、廊道一次到位、变电所土建一次建成，避免大拆大建和重复建设；贯彻资产全寿命周期理念，加强投入产出分析，深化技术经济论证，优化资源配置，提高设备利用效率。</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灵活先进，智能环保。推广应用新技术、新材料、新设备，提升智能化水平；充分满足新能源、分布式电源和多元化负荷的灵活接入与高效利用，推进电能替代，促进能源结构调整。</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优化布局，安全可靠。推进配电网设施布局规划，确保电网发展与地方规划有效衔接，合理布局、提前预留所址和廊道资源；构建强简有序、标准统一的网络结构，提高故障自愈和信息交互能力，抵御各类事故风险，保障可靠供电。</w:t>
      </w:r>
    </w:p>
    <w:p>
      <w:pPr>
        <w:pStyle w:val="44"/>
        <w:pageBreakBefore w:val="0"/>
        <w:widowControl w:val="0"/>
        <w:kinsoku/>
        <w:wordWrap/>
        <w:overflowPunct/>
        <w:topLinePunct w:val="0"/>
        <w:autoSpaceDE/>
        <w:autoSpaceDN/>
        <w:bidi w:val="0"/>
        <w:adjustRightInd w:val="0"/>
        <w:snapToGrid w:val="0"/>
        <w:spacing w:before="0" w:after="0" w:line="579" w:lineRule="exact"/>
        <w:ind w:firstLine="640" w:firstLineChars="200"/>
        <w:textAlignment w:val="auto"/>
        <w:rPr>
          <w:rFonts w:hint="default" w:ascii="Times New Roman" w:hAnsi="Times New Roman" w:eastAsia="楷体" w:cs="Times New Roman"/>
          <w:b w:val="0"/>
        </w:rPr>
      </w:pPr>
      <w:bookmarkStart w:id="141" w:name="_Toc23253645"/>
      <w:r>
        <w:rPr>
          <w:rFonts w:hint="default" w:ascii="Times New Roman" w:hAnsi="Times New Roman" w:eastAsia="楷体" w:cs="Times New Roman"/>
          <w:b w:val="0"/>
        </w:rPr>
        <w:t>（三）发展目标</w:t>
      </w:r>
      <w:bookmarkEnd w:id="137"/>
      <w:bookmarkEnd w:id="138"/>
      <w:bookmarkEnd w:id="139"/>
      <w:bookmarkEnd w:id="140"/>
      <w:bookmarkEnd w:id="141"/>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1．总体发展目标</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服务全面建成小康社会、率先实现现代化的宏伟目标，落实中央稳增长政策，促进能源生产消费方式变革，推进新型城镇化建设，以满足用电需求、提高可靠性、促进智能化为目标，坚持统一规划、统一标准，统筹城乡、协同推进，着力解决城乡配电网发展薄弱问题，贯彻供电可靠性和资产全寿命周期理念，推动装备提升与科技创新，推进智能化升级，推行标准化建设，满足中长期发展要求。</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2．主要技术指标规划目标</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根据《国家发展和改革委关于加快配电网建设改造的指导意见》，针对中心城市（区）、城镇地区提出不同的建设意见及发展目标。本次规划将试点区内划归为城镇地区。</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按照配电网规划设计技术导则，依据行政级别及未来负荷发展情况，将试点区划分为B类供电区。</w:t>
      </w:r>
    </w:p>
    <w:p>
      <w:pPr>
        <w:pStyle w:val="91"/>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表5-1  供电区域划分表</w:t>
      </w:r>
    </w:p>
    <w:tbl>
      <w:tblPr>
        <w:tblStyle w:val="29"/>
        <w:tblW w:w="896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392"/>
        <w:gridCol w:w="1366"/>
        <w:gridCol w:w="1202"/>
        <w:gridCol w:w="1202"/>
        <w:gridCol w:w="1201"/>
        <w:gridCol w:w="1201"/>
        <w:gridCol w:w="1201"/>
        <w:gridCol w:w="12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570" w:hRule="atLeast"/>
          <w:tblHeader/>
          <w:jc w:val="center"/>
        </w:trPr>
        <w:tc>
          <w:tcPr>
            <w:tcW w:w="1758" w:type="dxa"/>
            <w:gridSpan w:val="2"/>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供电区域</w:t>
            </w:r>
          </w:p>
        </w:tc>
        <w:tc>
          <w:tcPr>
            <w:tcW w:w="1202"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w:t>
            </w:r>
          </w:p>
        </w:tc>
        <w:tc>
          <w:tcPr>
            <w:tcW w:w="1202"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w:t>
            </w:r>
          </w:p>
        </w:tc>
        <w:tc>
          <w:tcPr>
            <w:tcW w:w="1201"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w:t>
            </w:r>
          </w:p>
        </w:tc>
        <w:tc>
          <w:tcPr>
            <w:tcW w:w="1201"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w:t>
            </w:r>
          </w:p>
        </w:tc>
        <w:tc>
          <w:tcPr>
            <w:tcW w:w="1201"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w:t>
            </w:r>
          </w:p>
        </w:tc>
        <w:tc>
          <w:tcPr>
            <w:tcW w:w="1201"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392" w:type="dxa"/>
            <w:vMerge w:val="restart"/>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行政级别</w:t>
            </w:r>
          </w:p>
        </w:tc>
        <w:tc>
          <w:tcPr>
            <w:tcW w:w="1366"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直辖市</w:t>
            </w:r>
          </w:p>
        </w:tc>
        <w:tc>
          <w:tcPr>
            <w:tcW w:w="1202"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市中心或δ≥30</w:t>
            </w:r>
          </w:p>
        </w:tc>
        <w:tc>
          <w:tcPr>
            <w:tcW w:w="1202"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市区或</w:t>
            </w:r>
          </w:p>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15≤δ＜30</w:t>
            </w:r>
          </w:p>
        </w:tc>
        <w:tc>
          <w:tcPr>
            <w:tcW w:w="1201"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市区或</w:t>
            </w:r>
          </w:p>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6≤δ＜15</w:t>
            </w:r>
          </w:p>
        </w:tc>
        <w:tc>
          <w:tcPr>
            <w:tcW w:w="1201"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城镇或</w:t>
            </w:r>
          </w:p>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1≤δ＜6</w:t>
            </w:r>
          </w:p>
        </w:tc>
        <w:tc>
          <w:tcPr>
            <w:tcW w:w="1201"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农村或</w:t>
            </w:r>
          </w:p>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0.1≤δ＜1</w:t>
            </w:r>
          </w:p>
        </w:tc>
        <w:tc>
          <w:tcPr>
            <w:tcW w:w="1201"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392" w:type="dxa"/>
            <w:vMerge w:val="continue"/>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p>
        </w:tc>
        <w:tc>
          <w:tcPr>
            <w:tcW w:w="1366"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省会城市、计划单列市</w:t>
            </w:r>
          </w:p>
        </w:tc>
        <w:tc>
          <w:tcPr>
            <w:tcW w:w="1202"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δ≥30</w:t>
            </w:r>
          </w:p>
        </w:tc>
        <w:tc>
          <w:tcPr>
            <w:tcW w:w="1202"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市区或</w:t>
            </w:r>
          </w:p>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15≤δ＜30</w:t>
            </w:r>
          </w:p>
        </w:tc>
        <w:tc>
          <w:tcPr>
            <w:tcW w:w="1201"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市区或</w:t>
            </w:r>
          </w:p>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6≤δ＜15</w:t>
            </w:r>
          </w:p>
        </w:tc>
        <w:tc>
          <w:tcPr>
            <w:tcW w:w="1201"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城镇或</w:t>
            </w:r>
          </w:p>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1≤δ＜6</w:t>
            </w:r>
          </w:p>
        </w:tc>
        <w:tc>
          <w:tcPr>
            <w:tcW w:w="1201"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农村或</w:t>
            </w:r>
          </w:p>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0.1≤δ＜1</w:t>
            </w:r>
          </w:p>
        </w:tc>
        <w:tc>
          <w:tcPr>
            <w:tcW w:w="1201"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392" w:type="dxa"/>
            <w:vMerge w:val="continue"/>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p>
        </w:tc>
        <w:tc>
          <w:tcPr>
            <w:tcW w:w="1366"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地级市</w:t>
            </w:r>
          </w:p>
        </w:tc>
        <w:tc>
          <w:tcPr>
            <w:tcW w:w="1202"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202"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δ≥15</w:t>
            </w:r>
          </w:p>
        </w:tc>
        <w:tc>
          <w:tcPr>
            <w:tcW w:w="1201"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市中区或</w:t>
            </w:r>
          </w:p>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6≤δ＜15</w:t>
            </w:r>
          </w:p>
        </w:tc>
        <w:tc>
          <w:tcPr>
            <w:tcW w:w="1201"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市区、城镇或</w:t>
            </w:r>
          </w:p>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1≤δ＜6</w:t>
            </w:r>
          </w:p>
        </w:tc>
        <w:tc>
          <w:tcPr>
            <w:tcW w:w="1201"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农村或</w:t>
            </w:r>
          </w:p>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0.1≤δ＜1</w:t>
            </w:r>
          </w:p>
        </w:tc>
        <w:tc>
          <w:tcPr>
            <w:tcW w:w="1201"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农牧区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atLeast"/>
          <w:jc w:val="center"/>
        </w:trPr>
        <w:tc>
          <w:tcPr>
            <w:tcW w:w="392" w:type="dxa"/>
            <w:vMerge w:val="continue"/>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p>
        </w:tc>
        <w:tc>
          <w:tcPr>
            <w:tcW w:w="1366"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县（县级市）</w:t>
            </w:r>
          </w:p>
        </w:tc>
        <w:tc>
          <w:tcPr>
            <w:tcW w:w="1202"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202"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201"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δ≥6</w:t>
            </w:r>
          </w:p>
        </w:tc>
        <w:tc>
          <w:tcPr>
            <w:tcW w:w="1201"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城镇或</w:t>
            </w:r>
          </w:p>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1≤δ＜6</w:t>
            </w:r>
          </w:p>
        </w:tc>
        <w:tc>
          <w:tcPr>
            <w:tcW w:w="1201"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农村或</w:t>
            </w:r>
          </w:p>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0.1≤δ＜1</w:t>
            </w:r>
          </w:p>
        </w:tc>
        <w:tc>
          <w:tcPr>
            <w:tcW w:w="1201" w:type="dxa"/>
            <w:shd w:val="clear" w:color="auto" w:fill="auto"/>
            <w:vAlign w:val="center"/>
          </w:tcPr>
          <w:p>
            <w:pPr>
              <w:keepNext/>
              <w:adjustRightInd w:val="0"/>
              <w:snapToGrid w:val="0"/>
              <w:spacing w:line="276"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农牧区</w:t>
            </w:r>
          </w:p>
        </w:tc>
      </w:tr>
    </w:tbl>
    <w:p>
      <w:pPr>
        <w:keepNext w:val="0"/>
        <w:keepLines w:val="0"/>
        <w:pageBreakBefore w:val="0"/>
        <w:widowControl w:val="0"/>
        <w:kinsoku/>
        <w:wordWrap/>
        <w:overflowPunct/>
        <w:topLinePunct w:val="0"/>
        <w:autoSpaceDE/>
        <w:autoSpaceDN/>
        <w:bidi w:val="0"/>
        <w:adjustRightInd w:val="0"/>
        <w:snapToGrid w:val="0"/>
        <w:spacing w:line="579" w:lineRule="exact"/>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注：σ为供电区域的负荷密度（兆瓦/平方公里）；供电区域面积一般不小于5平方公里；计算负荷密度时，应扣除110千伏专线负荷，以及高山、戈壁、荒漠、水域、森林等无效供电面积。</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结合《浙江省“十三五”配电网建设改造规划》和《关于抓紧编制并上报各增量配电网“十三五”建设发展规划的通知》（浙发改办能源〔2017〕126号）中电网的发展目标要求，提出如下发展目标：</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1）推进“两全”（电动汽车等多元化负荷全接入、清洁能源全消纳）配电网建设，推进“双替代”（清洁替代、电能替代）工程。</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2）至2025年，试点区供电可靠率不低于99.95%，用户年均停电时间小于4.38小时，综合电压合格率不低于99.7%。</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eastAsia="宋体" w:cs="Times New Roman"/>
          <w:b w:val="0"/>
          <w:sz w:val="28"/>
          <w:szCs w:val="28"/>
          <w:lang w:eastAsia="zh-CN"/>
        </w:rPr>
      </w:pPr>
      <w:r>
        <w:rPr>
          <w:rFonts w:hint="default" w:ascii="Times New Roman" w:hAnsi="Times New Roman" w:cs="Times New Roman"/>
          <w:color w:val="000000"/>
          <w:kern w:val="0"/>
          <w:sz w:val="32"/>
          <w:szCs w:val="32"/>
        </w:rPr>
        <w:t>配网建设发展目标见表5-2所示。</w:t>
      </w:r>
    </w:p>
    <w:p>
      <w:pPr>
        <w:pStyle w:val="91"/>
        <w:adjustRightInd w:val="0"/>
        <w:snapToGrid w:val="0"/>
        <w:spacing w:before="381" w:beforeLines="100" w:after="114" w:afterLines="30"/>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表5-2  试点区域2025年配网发展目标</w:t>
      </w:r>
    </w:p>
    <w:tbl>
      <w:tblPr>
        <w:tblStyle w:val="29"/>
        <w:tblW w:w="8818"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2321"/>
        <w:gridCol w:w="3557"/>
        <w:gridCol w:w="294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76" w:hRule="atLeast"/>
          <w:tblHeader/>
          <w:jc w:val="center"/>
        </w:trPr>
        <w:tc>
          <w:tcPr>
            <w:tcW w:w="2321"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3557"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指标</w:t>
            </w:r>
          </w:p>
        </w:tc>
        <w:tc>
          <w:tcPr>
            <w:tcW w:w="2940"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试点区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76" w:hRule="atLeast"/>
          <w:jc w:val="center"/>
        </w:trPr>
        <w:tc>
          <w:tcPr>
            <w:tcW w:w="2321"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3557"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供电可靠率</w:t>
            </w:r>
          </w:p>
        </w:tc>
        <w:tc>
          <w:tcPr>
            <w:tcW w:w="2940"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≥99.95%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76" w:hRule="atLeast"/>
          <w:jc w:val="center"/>
        </w:trPr>
        <w:tc>
          <w:tcPr>
            <w:tcW w:w="2321"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3557"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用户年均停电时间</w:t>
            </w:r>
          </w:p>
        </w:tc>
        <w:tc>
          <w:tcPr>
            <w:tcW w:w="2940"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＜4.38小时</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76" w:hRule="atLeast"/>
          <w:jc w:val="center"/>
        </w:trPr>
        <w:tc>
          <w:tcPr>
            <w:tcW w:w="2321"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3557"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综合电压合格率</w:t>
            </w:r>
          </w:p>
        </w:tc>
        <w:tc>
          <w:tcPr>
            <w:tcW w:w="2940"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≥99.70%</w:t>
            </w:r>
          </w:p>
        </w:tc>
      </w:tr>
    </w:tbl>
    <w:p>
      <w:pPr>
        <w:adjustRightInd w:val="0"/>
        <w:snapToGrid w:val="0"/>
        <w:spacing w:before="381" w:beforeLines="100"/>
        <w:ind w:firstLine="640"/>
        <w:rPr>
          <w:rFonts w:hint="default" w:ascii="Times New Roman" w:hAnsi="Times New Roman" w:cs="Times New Roman"/>
          <w:color w:val="000000"/>
          <w:kern w:val="0"/>
          <w:sz w:val="32"/>
          <w:szCs w:val="32"/>
        </w:rPr>
      </w:pPr>
      <w:bookmarkStart w:id="142" w:name="_Toc495541356"/>
      <w:bookmarkStart w:id="143" w:name="_Toc494357547"/>
      <w:r>
        <w:rPr>
          <w:rFonts w:hint="default" w:ascii="Times New Roman" w:hAnsi="Times New Roman" w:cs="Times New Roman"/>
          <w:color w:val="000000"/>
          <w:kern w:val="0"/>
          <w:sz w:val="32"/>
          <w:szCs w:val="32"/>
        </w:rPr>
        <w:t>到2025年，供电可靠率不低于99.95%，用户年均停电时间小于4.38小时，综合电压合格率不低于99.70%。</w:t>
      </w:r>
    </w:p>
    <w:p>
      <w:pPr>
        <w:adjustRightInd w:val="0"/>
        <w:snapToGrid w:val="0"/>
        <w:spacing w:before="381" w:beforeLines="100"/>
        <w:ind w:firstLine="640"/>
        <w:rPr>
          <w:rFonts w:hint="default" w:ascii="Times New Roman" w:hAnsi="Times New Roman" w:cs="Times New Roman"/>
          <w:color w:val="000000"/>
          <w:kern w:val="0"/>
          <w:sz w:val="32"/>
          <w:szCs w:val="32"/>
        </w:rPr>
      </w:pPr>
    </w:p>
    <w:bookmarkEnd w:id="142"/>
    <w:bookmarkEnd w:id="143"/>
    <w:p>
      <w:pPr>
        <w:pStyle w:val="43"/>
        <w:pageBreakBefore w:val="0"/>
        <w:widowControl w:val="0"/>
        <w:numPr>
          <w:ilvl w:val="0"/>
          <w:numId w:val="0"/>
        </w:numPr>
        <w:kinsoku/>
        <w:wordWrap/>
        <w:overflowPunct/>
        <w:topLinePunct w:val="0"/>
        <w:autoSpaceDE/>
        <w:autoSpaceDN/>
        <w:bidi w:val="0"/>
        <w:adjustRightInd w:val="0"/>
        <w:snapToGrid w:val="0"/>
        <w:spacing w:before="0" w:line="579" w:lineRule="exact"/>
        <w:textAlignment w:val="auto"/>
        <w:rPr>
          <w:rFonts w:hint="default" w:ascii="Times New Roman" w:hAnsi="Times New Roman" w:cs="Times New Roman"/>
          <w:b w:val="0"/>
          <w:sz w:val="32"/>
          <w:szCs w:val="32"/>
        </w:rPr>
      </w:pPr>
      <w:bookmarkStart w:id="144" w:name="_Toc23253646"/>
      <w:r>
        <w:rPr>
          <w:rFonts w:hint="eastAsia" w:ascii="Times New Roman" w:hAnsi="Times New Roman" w:cs="Times New Roman"/>
          <w:b w:val="0"/>
          <w:sz w:val="32"/>
          <w:szCs w:val="32"/>
          <w:lang w:val="en-US" w:eastAsia="zh-CN"/>
        </w:rPr>
        <w:t xml:space="preserve">    六、</w:t>
      </w:r>
      <w:r>
        <w:rPr>
          <w:rFonts w:hint="default" w:ascii="Times New Roman" w:hAnsi="Times New Roman" w:cs="Times New Roman"/>
          <w:b w:val="0"/>
          <w:sz w:val="32"/>
          <w:szCs w:val="32"/>
        </w:rPr>
        <w:t>区域网架建设规划</w:t>
      </w:r>
      <w:bookmarkEnd w:id="144"/>
    </w:p>
    <w:p>
      <w:pPr>
        <w:pStyle w:val="44"/>
        <w:pageBreakBefore w:val="0"/>
        <w:widowControl w:val="0"/>
        <w:kinsoku/>
        <w:wordWrap/>
        <w:overflowPunct/>
        <w:topLinePunct w:val="0"/>
        <w:autoSpaceDE/>
        <w:autoSpaceDN/>
        <w:bidi w:val="0"/>
        <w:adjustRightInd w:val="0"/>
        <w:snapToGrid w:val="0"/>
        <w:spacing w:before="0" w:line="579" w:lineRule="exact"/>
        <w:ind w:firstLine="640" w:firstLineChars="200"/>
        <w:textAlignment w:val="auto"/>
        <w:rPr>
          <w:rFonts w:hint="default" w:ascii="Times New Roman" w:hAnsi="Times New Roman" w:eastAsia="楷体" w:cs="Times New Roman"/>
          <w:b w:val="0"/>
        </w:rPr>
      </w:pPr>
      <w:bookmarkStart w:id="145" w:name="_Toc494357548"/>
      <w:bookmarkEnd w:id="145"/>
      <w:bookmarkStart w:id="146" w:name="_Toc495537954"/>
      <w:bookmarkEnd w:id="146"/>
      <w:bookmarkStart w:id="147" w:name="_Toc495541357"/>
      <w:bookmarkEnd w:id="147"/>
      <w:bookmarkStart w:id="148" w:name="_Toc495541961"/>
      <w:bookmarkEnd w:id="148"/>
      <w:bookmarkStart w:id="149" w:name="_Toc495537830"/>
      <w:bookmarkEnd w:id="149"/>
      <w:bookmarkStart w:id="150" w:name="_Toc493630239"/>
      <w:bookmarkEnd w:id="150"/>
      <w:bookmarkStart w:id="151" w:name="_Toc493630112"/>
      <w:bookmarkEnd w:id="151"/>
      <w:bookmarkStart w:id="152" w:name="_Toc495542208"/>
      <w:bookmarkEnd w:id="152"/>
      <w:bookmarkStart w:id="153" w:name="_Toc495561242"/>
      <w:bookmarkEnd w:id="153"/>
      <w:bookmarkStart w:id="154" w:name="_Toc495538084"/>
      <w:bookmarkEnd w:id="154"/>
      <w:bookmarkStart w:id="155" w:name="_Toc495538474"/>
      <w:bookmarkEnd w:id="155"/>
      <w:bookmarkStart w:id="156" w:name="_Toc495540490"/>
      <w:bookmarkEnd w:id="156"/>
      <w:bookmarkStart w:id="157" w:name="_Toc495540623"/>
      <w:bookmarkEnd w:id="157"/>
      <w:bookmarkStart w:id="158" w:name="_Toc495538344"/>
      <w:bookmarkEnd w:id="158"/>
      <w:bookmarkStart w:id="159" w:name="_Toc495541156"/>
      <w:bookmarkEnd w:id="159"/>
      <w:bookmarkStart w:id="160" w:name="_Toc495540757"/>
      <w:bookmarkEnd w:id="160"/>
      <w:bookmarkStart w:id="161" w:name="_Toc23253647"/>
      <w:bookmarkStart w:id="162" w:name="_Toc377557222"/>
      <w:r>
        <w:rPr>
          <w:rFonts w:hint="default" w:ascii="Times New Roman" w:hAnsi="Times New Roman" w:eastAsia="楷体" w:cs="Times New Roman"/>
          <w:b w:val="0"/>
        </w:rPr>
        <w:t>（一）规划技术原则</w:t>
      </w:r>
      <w:bookmarkEnd w:id="161"/>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根据《配电网规划设计技术导则》（DL／T-5729-2016）7.1.1条的相关规定，合理的电网结构是满足供电可靠性、提高运行灵活性、降低网络损耗的基础。高压、中压和低压配电网三个层级应相互匹配、强简有序、相互支援，以实现配电网技术经济的整体最优。规划区的配电网结构应满足以下基本要求：</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1）正常运行时，各变电站应有相互独立的供电区域，供电区不交叉、不重叠，故障或检修时，变电站之间应有一定比例的负荷转供能力。</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2）在同一供电区域内，变电站中压出线长度及所带负荷宜均衡，应有合理的分段和联络；故障或检修时，中压线路应具有转供非停运段负荷的能力。</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3）接入一定容量的分布式电源时，应合理选择接入点，控制短路电流及电压水平。</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4）高可靠性的配电网结构应具备网络重构能力，便于实现故障隔离。</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1.10（20）千伏电网规划技术原则</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（1）网架结构</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根据《国网浙江省电力公司20kV伏配电网典型供电模式技术规范》（Q-G瓦11-356-2013）中5.3节及7.3节的相关规定。试点区网架接线主要采用多分段单联络和多分段适度联络模式，满足区域内电力负荷和可靠性需求。</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多分段单联络：见图6-1，指单条线路合理分段，相邻线路“手拉手”，保证主干线上每段线路双向受电。</w:t>
      </w:r>
    </w:p>
    <w:p>
      <w:pPr>
        <w:pStyle w:val="72"/>
        <w:rPr>
          <w:rFonts w:hint="default" w:ascii="Times New Roman" w:hAnsi="Times New Roman" w:eastAsia="仿宋" w:cs="Times New Roman"/>
        </w:rPr>
      </w:pPr>
      <w:r>
        <w:rPr>
          <w:rFonts w:hint="default" w:ascii="Times New Roman" w:hAnsi="Times New Roman" w:eastAsia="仿宋" w:cs="Times New Roman"/>
          <w:lang w:val="en-US"/>
        </w:rPr>
        <w:drawing>
          <wp:inline distT="0" distB="0" distL="114300" distR="114300">
            <wp:extent cx="4391025" cy="866775"/>
            <wp:effectExtent l="0" t="0" r="9525" b="9525"/>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29"/>
                    <a:stretch>
                      <a:fillRect/>
                    </a:stretch>
                  </pic:blipFill>
                  <pic:spPr>
                    <a:xfrm>
                      <a:off x="0" y="0"/>
                      <a:ext cx="4391025" cy="86677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val="0"/>
        <w:snapToGrid w:val="0"/>
        <w:spacing w:line="579" w:lineRule="exact"/>
        <w:ind w:firstLine="640"/>
        <w:jc w:val="center"/>
        <w:textAlignment w:val="auto"/>
        <w:rPr>
          <w:rFonts w:hint="default" w:ascii="Times New Roman" w:hAnsi="Times New Roman" w:cs="Times New Roman"/>
          <w:color w:val="000000"/>
          <w:kern w:val="0"/>
          <w:sz w:val="32"/>
          <w:szCs w:val="32"/>
          <w:lang w:eastAsia="zh-CN"/>
        </w:rPr>
      </w:pPr>
      <w:r>
        <w:rPr>
          <w:rFonts w:hint="default" w:ascii="Times New Roman" w:hAnsi="Times New Roman" w:cs="Times New Roman"/>
          <w:color w:val="000000"/>
          <w:kern w:val="0"/>
          <w:sz w:val="32"/>
          <w:szCs w:val="32"/>
          <w:lang w:eastAsia="zh-CN"/>
        </w:rPr>
        <w:t>图6-1  架空多分段单联络结构</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多分段适度联络：见图6-2，线路分段推荐以3～4段为目标，每段线路负荷控制在1～2兆瓦左右。</w:t>
      </w:r>
    </w:p>
    <w:p>
      <w:pPr>
        <w:pStyle w:val="72"/>
        <w:rPr>
          <w:rFonts w:hint="default" w:ascii="Times New Roman" w:hAnsi="Times New Roman" w:eastAsia="仿宋" w:cs="Times New Roman"/>
          <w:lang w:val="en-US"/>
        </w:rPr>
      </w:pPr>
      <w:r>
        <w:rPr>
          <w:rFonts w:hint="default" w:ascii="Times New Roman" w:hAnsi="Times New Roman" w:eastAsia="仿宋" w:cs="Times New Roman"/>
          <w:lang w:val="en-US"/>
        </w:rPr>
        <w:drawing>
          <wp:inline distT="0" distB="0" distL="114300" distR="114300">
            <wp:extent cx="3124200" cy="2124075"/>
            <wp:effectExtent l="0" t="0" r="0" b="9525"/>
            <wp:docPr id="2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pic:cNvPicPr>
                      <a:picLocks noChangeAspect="1"/>
                    </pic:cNvPicPr>
                  </pic:nvPicPr>
                  <pic:blipFill>
                    <a:blip r:embed="rId30"/>
                    <a:stretch>
                      <a:fillRect/>
                    </a:stretch>
                  </pic:blipFill>
                  <pic:spPr>
                    <a:xfrm>
                      <a:off x="0" y="0"/>
                      <a:ext cx="3124200" cy="2124075"/>
                    </a:xfrm>
                    <a:prstGeom prst="rect">
                      <a:avLst/>
                    </a:prstGeom>
                    <a:noFill/>
                    <a:ln>
                      <a:noFill/>
                    </a:ln>
                  </pic:spPr>
                </pic:pic>
              </a:graphicData>
            </a:graphic>
          </wp:inline>
        </w:drawing>
      </w:r>
    </w:p>
    <w:p>
      <w:pPr>
        <w:pStyle w:val="91"/>
        <w:adjustRightInd w:val="0"/>
        <w:snapToGrid w:val="0"/>
        <w:spacing w:before="381" w:beforeLines="100" w:after="381" w:afterLines="100"/>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图6-2  架空多分段适度联络结构</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（2）配电设备</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根据配电网规划设计技术导则（DL／T-5729-2016）中8.5节的相关规定。</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1）柱上变压器</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柱上变压器应按“小容量、密布点、短半径”的原则配置，应尽量靠近负荷中心，根据需要也可采用单相变压器。</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2）配电室</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配电室宜独立建设，受条件所限必须进楼时，可设置在地下一层，但不应设置在最底层，其配电变压器宜选用干式，并采取屏蔽、减振、防潮措施。变压器接线组别宜采用D，yn11，单台容量不宜超过1000千伏安，220/380伏侧为单母线分段接线。</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3）箱变</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箱变仅限用于配电室建设改造困难的情况，如架空线路入地改造地区、配电室无法扩容改造的场所，以及施工用电、临时用电等。</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4）柱上开关</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线路分段、联络开关宜选择负荷开关；长线路后段（超出变电站过流保护范围）、较大分支线路首端及用户分界点处可选择断路器。开关的遮断容量应与上级20千伏母线相协调。规划实施配电自动化的地区，开关性能及自动化原理应一致，并预留自动化接口。</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5）开关站</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开关站宜建于负荷中心区，宜配置双电源，分别取自不同变电站或同一座变电站的不同母线。开关站接线宜简化，可采用两路电源进线、6～12路出线，单母线分段接线，出线断路器带保护。开关站应按配电自动化要求设计并留有发展余地。</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6）环网单元</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环网单元宜采用两路电源进线、4路出线，必要时可增加出线。进线及环出线宜采用负荷开关，配出线根据电网情况及负荷性质可采用负荷开关或断路器。</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环网单元设置应符合中压配电网的分区原则。原则上建于地面层、负荷中心，尽量靠近道路，进出线路径通顺，设备运输、操作维护方便。在用户项目建设时，同步规划、设计，同步建成。在设计时,需适当考虑其扩展性能，使其能满足今后发展的需要。环网室设置方式应规范、统一，设置时应充分考虑周边用户接入便捷，起到区域中电源支撑的作用。</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（3）线路</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20千伏配电网应有较强的适应性，主干线截面宜综合饱和负荷状况、线路全寿命周期一次选定。导线截面选择应系列化，同一规划区的主干线导线截面不宜超过3种。架空线路主干线截面宜采用185、240平方毫米，分支线截面宜采用95、120、150平方毫米。电缆线路主干线铜芯电缆截面宜采用300、400平方毫米，分支线铜芯电缆截面宜采用185、240平方毫米。</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新规划建设的出线工程宜利用现有出线廊道进行建设或改造，以提高土地利用率。</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2．低压配电网</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根据配电网规划设计技术导则（DL／T-5729-2016）中8.6节的相关规定。</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380伏配电网应实行分区供电的原则，台区不得跨越铁路、通航河道、县级及以上公路，不宜跨越其他河流和城乡主干道路。220/380伏配电网应结构简单、安全可靠，一般采用辐射式结构。设备选用宜标准化、序列化。</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（2）380/220伏配电网应有较强的适应性，主干截面应按远期规划一次选定。导线截面选择应系列化，试点区域内主干线导线截面不宜超过3种。</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（3）220/380伏电缆可采用排管、沟槽、直埋等敷设方式。穿越道路时，应采用抗压力保护管。</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（4）220/380伏线路应有明确的供电范围，供电半径应满足末端电压质量的要求。原则上试点区域220/380伏线路供电半径不宜超过250米。</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3．其它技术原则</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（1）无功补偿</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根据配电网规划设计技术导则（DL／T-5729-2016）中6.5节的相关规定。无功补偿装置应按就地平衡和便于调整电压的原则进行配置，可采用变电站集中补偿和分散就地补偿相结合，电网补偿与用户补偿相结合，高压补偿与低压补偿相结合等方式。接近用电端的分散补偿装置主要用于提高功率因数，降低线路损耗；集中安装在变电站内的无功补偿装置主要用于控制电压水平。</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分布式电源接入电网后，原则上不可从电网吸收无功，否则需配置合理的无功补偿装置。</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（2）中性点接地方式</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根据配电网规划设计技术导则（DL／T-5729-2016）中6.7节的相关规定。中性点接地方式对供电可靠性、人身安全、设备绝缘水平、继电保护方式及通讯干扰等有直接影响。配电网应综合考虑可靠性与经济性，选择合理的中性点接地方式。同一区域内宜统一中性点接地方式，以利于负荷转供；中性点接地方式不同的配电网应避免互带负荷。</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试点区内根据线路所供区域，宜统一采用消弧线圈接地的方式。</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4．电源接入原则</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根据配电网规划设计技术导则（DL／T-5729-2016）中10.2节的相关规定。</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（1）配电网应满足国家鼓励发展的各类电源及新能源微电网的接入要求，逐步形成能源互联、能源综合利用的体系。</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（2）接入110～35千伏电网的常规电源，宜采用专线方式并网。</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（3）分布式电源接入应符合现行行业标准《分布式电源接入配电网技术规定》NB/T 32015的相关规定。</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（4）在分布式电源接入前，应对接入的配电线路载流量、变压器容量进行校核，并对接入的母线、线路、开关等进行短路电流和热稳定校核，如有必要也可进行动稳定校核。</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（5）接入单条线路的电源总容量不应超过线路的允许容量；接入本级配电网的电源总容量不应超过上一级变压器的额定容量以及上一级线路的允许容量。</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（6）分布式电源并网点应安装易操作、可闭锁、具有明显开断点、带接地功能、可开断故障电流的开断设备。</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（7）在满足上述技术要求的条件下，电源并网电压等级可按表6-1的规定确定。</w:t>
      </w:r>
    </w:p>
    <w:p>
      <w:pPr>
        <w:pStyle w:val="91"/>
        <w:snapToGrid w:val="0"/>
        <w:spacing w:before="381" w:beforeLines="100"/>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表6-1  电源并网电压等级参考表</w:t>
      </w:r>
    </w:p>
    <w:tbl>
      <w:tblPr>
        <w:tblStyle w:val="29"/>
        <w:tblW w:w="8818"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4693"/>
        <w:gridCol w:w="412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blHeader/>
          <w:jc w:val="center"/>
        </w:trPr>
        <w:tc>
          <w:tcPr>
            <w:tcW w:w="4693"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电源总容量范围</w:t>
            </w:r>
          </w:p>
        </w:tc>
        <w:tc>
          <w:tcPr>
            <w:tcW w:w="4125"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并网电压等级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jc w:val="center"/>
        </w:trPr>
        <w:tc>
          <w:tcPr>
            <w:tcW w:w="4693"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8千瓦及以下</w:t>
            </w:r>
          </w:p>
        </w:tc>
        <w:tc>
          <w:tcPr>
            <w:tcW w:w="4125"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220伏</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jc w:val="center"/>
        </w:trPr>
        <w:tc>
          <w:tcPr>
            <w:tcW w:w="4693"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8千瓦~400千瓦</w:t>
            </w:r>
          </w:p>
        </w:tc>
        <w:tc>
          <w:tcPr>
            <w:tcW w:w="4125"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380伏</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jc w:val="center"/>
        </w:trPr>
        <w:tc>
          <w:tcPr>
            <w:tcW w:w="4693"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400千瓦~6兆瓦</w:t>
            </w:r>
          </w:p>
        </w:tc>
        <w:tc>
          <w:tcPr>
            <w:tcW w:w="4125"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10（20）千伏</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jc w:val="center"/>
        </w:trPr>
        <w:tc>
          <w:tcPr>
            <w:tcW w:w="4693"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6兆瓦~50兆瓦</w:t>
            </w:r>
          </w:p>
        </w:tc>
        <w:tc>
          <w:tcPr>
            <w:tcW w:w="4125"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35千伏、110千伏</w:t>
            </w:r>
          </w:p>
        </w:tc>
      </w:tr>
    </w:tbl>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5．用户接入原则</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根据配电网规划设计技术导则（DL／T-5729-2016）中10.1节的相关规定。用户接入应符合电网规划，不应影响电网的安全运行及电能质量。用户的供电电压等级应根据当地电网条件、最大用电负荷、用户报装容量，经过技术经济比较后确定。供电半径较长、负荷较大的用户，当电压质量不满足要求时，应采用高一级电压供电。应合理控制专线数量，统筹安排廊道资源，以提高城市空间资源和电网资源的利用效率。</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6．分布式光伏消纳原则</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试点区内分布式光伏采用自发自用余量、上网的消纳原则，并在试点区范围内全部消纳，避免功率倒送。</w:t>
      </w:r>
    </w:p>
    <w:p>
      <w:pPr>
        <w:pStyle w:val="44"/>
        <w:keepNext w:val="0"/>
        <w:keepLines w:val="0"/>
        <w:pageBreakBefore w:val="0"/>
        <w:widowControl w:val="0"/>
        <w:kinsoku/>
        <w:wordWrap/>
        <w:overflowPunct/>
        <w:topLinePunct w:val="0"/>
        <w:autoSpaceDE/>
        <w:autoSpaceDN/>
        <w:bidi w:val="0"/>
        <w:adjustRightInd w:val="0"/>
        <w:snapToGrid w:val="0"/>
        <w:spacing w:line="579" w:lineRule="exact"/>
        <w:ind w:firstLine="640" w:firstLineChars="200"/>
        <w:textAlignment w:val="auto"/>
        <w:rPr>
          <w:rFonts w:hint="default" w:ascii="Times New Roman" w:hAnsi="Times New Roman" w:eastAsia="楷体" w:cs="Times New Roman"/>
          <w:b w:val="0"/>
        </w:rPr>
      </w:pPr>
      <w:bookmarkStart w:id="163" w:name="_Toc23253648"/>
      <w:r>
        <w:rPr>
          <w:rFonts w:hint="default" w:ascii="Times New Roman" w:hAnsi="Times New Roman" w:eastAsia="楷体" w:cs="Times New Roman"/>
          <w:b w:val="0"/>
        </w:rPr>
        <w:t>（二）布点规划方案</w:t>
      </w:r>
      <w:bookmarkEnd w:id="163"/>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试点区内至2025年无新110千伏和35千伏变电站布点，主要原因是现状110千伏万兴变可以满足区域内负荷供电要求。</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lang w:eastAsia="zh-CN"/>
        </w:rPr>
      </w:pPr>
      <w:r>
        <w:rPr>
          <w:rFonts w:hint="default" w:ascii="Times New Roman" w:hAnsi="Times New Roman" w:cs="Times New Roman"/>
          <w:color w:val="000000"/>
          <w:kern w:val="0"/>
          <w:sz w:val="32"/>
          <w:szCs w:val="32"/>
        </w:rPr>
        <w:t>规划对试点区内存在重过载、户均容量偏小、低压供电半径偏长等问题的20千伏公变进行改造，新增布点8处。</w:t>
      </w:r>
      <w:bookmarkEnd w:id="117"/>
      <w:bookmarkEnd w:id="118"/>
      <w:bookmarkEnd w:id="162"/>
    </w:p>
    <w:p>
      <w:pPr>
        <w:pStyle w:val="44"/>
        <w:keepNext w:val="0"/>
        <w:keepLines w:val="0"/>
        <w:pageBreakBefore w:val="0"/>
        <w:widowControl w:val="0"/>
        <w:kinsoku/>
        <w:wordWrap/>
        <w:overflowPunct/>
        <w:topLinePunct w:val="0"/>
        <w:autoSpaceDE/>
        <w:autoSpaceDN/>
        <w:bidi w:val="0"/>
        <w:adjustRightInd w:val="0"/>
        <w:snapToGrid w:val="0"/>
        <w:spacing w:before="0" w:after="0" w:line="579" w:lineRule="exact"/>
        <w:ind w:firstLine="640" w:firstLineChars="200"/>
        <w:textAlignment w:val="auto"/>
        <w:rPr>
          <w:rFonts w:hint="default" w:ascii="Times New Roman" w:hAnsi="Times New Roman" w:eastAsia="楷体" w:cs="Times New Roman"/>
          <w:b w:val="0"/>
        </w:rPr>
      </w:pPr>
      <w:bookmarkStart w:id="164" w:name="_Toc23253649"/>
      <w:r>
        <w:rPr>
          <w:rFonts w:hint="default" w:ascii="Times New Roman" w:hAnsi="Times New Roman" w:eastAsia="楷体" w:cs="Times New Roman"/>
          <w:b w:val="0"/>
        </w:rPr>
        <w:t>（三）重复建设辨识</w:t>
      </w:r>
      <w:bookmarkEnd w:id="164"/>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增量配电网试点区域内无重复建设工程。</w:t>
      </w:r>
    </w:p>
    <w:p>
      <w:pPr>
        <w:pStyle w:val="44"/>
        <w:keepNext w:val="0"/>
        <w:keepLines w:val="0"/>
        <w:pageBreakBefore w:val="0"/>
        <w:widowControl w:val="0"/>
        <w:kinsoku/>
        <w:wordWrap/>
        <w:overflowPunct/>
        <w:topLinePunct w:val="0"/>
        <w:autoSpaceDE/>
        <w:autoSpaceDN/>
        <w:bidi w:val="0"/>
        <w:adjustRightInd w:val="0"/>
        <w:snapToGrid w:val="0"/>
        <w:spacing w:before="0" w:after="0" w:line="579" w:lineRule="exact"/>
        <w:ind w:firstLine="640" w:firstLineChars="200"/>
        <w:textAlignment w:val="auto"/>
        <w:rPr>
          <w:rFonts w:hint="default" w:ascii="Times New Roman" w:hAnsi="Times New Roman" w:cs="Times New Roman"/>
        </w:rPr>
      </w:pPr>
      <w:bookmarkStart w:id="165" w:name="_Toc23253650"/>
      <w:r>
        <w:rPr>
          <w:rFonts w:hint="default" w:ascii="Times New Roman" w:hAnsi="Times New Roman" w:eastAsia="楷体" w:cs="Times New Roman"/>
          <w:b w:val="0"/>
        </w:rPr>
        <w:t>（四）建设方案和投资</w:t>
      </w:r>
      <w:bookmarkEnd w:id="165"/>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1．规划思路和目标</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根据前文中现状电网分析、近中期负荷预测以及上位电网规划，提出本次中压配电网规划思路：</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1）针对试点区域10千伏、20千伏混供问题，考虑区域内用户大部分为20千伏用户，仅少量10千伏用户由区外的110千伏富亭变、110千伏通元变和35千伏城南变的10千伏线路供电，规划将</w:t>
      </w:r>
      <w:bookmarkStart w:id="166" w:name="_Hlk23110691"/>
      <w:r>
        <w:rPr>
          <w:rFonts w:hint="default" w:ascii="Times New Roman" w:hAnsi="Times New Roman" w:cs="Times New Roman"/>
          <w:color w:val="000000"/>
          <w:kern w:val="0"/>
          <w:sz w:val="32"/>
          <w:szCs w:val="32"/>
        </w:rPr>
        <w:t>试点区内的10千伏用户负荷，采用隔离变的方式就近割接至20千伏线路</w:t>
      </w:r>
      <w:bookmarkEnd w:id="166"/>
      <w:r>
        <w:rPr>
          <w:rFonts w:hint="default" w:ascii="Times New Roman" w:hAnsi="Times New Roman" w:cs="Times New Roman"/>
          <w:color w:val="000000"/>
          <w:kern w:val="0"/>
          <w:sz w:val="32"/>
          <w:szCs w:val="32"/>
        </w:rPr>
        <w:t>，解决交叉供电。</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2）针对试点区域10千伏线路联络复杂问题，考虑将试点区内的10千伏用户负荷经隔离变就近割接至20千伏线路。</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3）针对试点区域内20千伏线路均为万兴变站内联络问题。远期考虑由220千伏立峰变新建20千伏线路与现有20千伏线路形成站间联络，增强试点区域内20千伏线路供电可靠性。</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4）考虑试点区域内新增负荷采用10千伏供电，在万兴变站前新建大容量20/10千伏隔离变2座，新建线路由隔离变出10千伏线路供电，以提高增量配电业务的收益。</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5）考虑在110千伏首荡变投运后，配套送出10千伏线路与试点区内的10千伏线路联络，以提高供电可靠性。</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2．近中期建设改造方案与投资</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根据当地实际的设备价格和工程施工报价情况、列出所涉及的各种输配电项目的单位工程综合单价表（含施工费用、管理费用及政策处理费用）。</w:t>
      </w:r>
    </w:p>
    <w:p>
      <w:pPr>
        <w:pStyle w:val="91"/>
        <w:keepNext w:val="0"/>
        <w:keepLines w:val="0"/>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表6-2  电网工程综合造价表</w:t>
      </w:r>
    </w:p>
    <w:tbl>
      <w:tblPr>
        <w:tblStyle w:val="29"/>
        <w:tblW w:w="8818"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2894"/>
        <w:gridCol w:w="2069"/>
        <w:gridCol w:w="1310"/>
        <w:gridCol w:w="254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tblHeader/>
        </w:trPr>
        <w:tc>
          <w:tcPr>
            <w:tcW w:w="2894"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项目名称</w:t>
            </w:r>
          </w:p>
        </w:tc>
        <w:tc>
          <w:tcPr>
            <w:tcW w:w="2069"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单位工程综合造价</w:t>
            </w:r>
          </w:p>
        </w:tc>
        <w:tc>
          <w:tcPr>
            <w:tcW w:w="1310"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单位</w:t>
            </w:r>
          </w:p>
        </w:tc>
        <w:tc>
          <w:tcPr>
            <w:tcW w:w="2545"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trPr>
        <w:tc>
          <w:tcPr>
            <w:tcW w:w="2894"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新建20千伏中压架空线路</w:t>
            </w:r>
          </w:p>
        </w:tc>
        <w:tc>
          <w:tcPr>
            <w:tcW w:w="2069"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50</w:t>
            </w:r>
          </w:p>
        </w:tc>
        <w:tc>
          <w:tcPr>
            <w:tcW w:w="1310"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万元/公里</w:t>
            </w:r>
          </w:p>
        </w:tc>
        <w:tc>
          <w:tcPr>
            <w:tcW w:w="2545"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JkLYJ-240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trPr>
        <w:tc>
          <w:tcPr>
            <w:tcW w:w="2894"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新建20千伏中压电缆线路</w:t>
            </w:r>
          </w:p>
        </w:tc>
        <w:tc>
          <w:tcPr>
            <w:tcW w:w="2069"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80</w:t>
            </w:r>
          </w:p>
        </w:tc>
        <w:tc>
          <w:tcPr>
            <w:tcW w:w="1310"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万元/公里</w:t>
            </w:r>
          </w:p>
        </w:tc>
        <w:tc>
          <w:tcPr>
            <w:tcW w:w="2545"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YJV22-3×400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trPr>
        <w:tc>
          <w:tcPr>
            <w:tcW w:w="2894"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新建10千伏中压架空线路</w:t>
            </w:r>
          </w:p>
        </w:tc>
        <w:tc>
          <w:tcPr>
            <w:tcW w:w="2069"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40</w:t>
            </w:r>
          </w:p>
        </w:tc>
        <w:tc>
          <w:tcPr>
            <w:tcW w:w="1310"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万元/公里</w:t>
            </w:r>
          </w:p>
        </w:tc>
        <w:tc>
          <w:tcPr>
            <w:tcW w:w="2545"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JkLYJ-240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trPr>
        <w:tc>
          <w:tcPr>
            <w:tcW w:w="2894"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新建10千伏中压电缆线路</w:t>
            </w:r>
          </w:p>
        </w:tc>
        <w:tc>
          <w:tcPr>
            <w:tcW w:w="2069"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70</w:t>
            </w:r>
          </w:p>
        </w:tc>
        <w:tc>
          <w:tcPr>
            <w:tcW w:w="1310"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万元/公里</w:t>
            </w:r>
          </w:p>
        </w:tc>
        <w:tc>
          <w:tcPr>
            <w:tcW w:w="2545"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YJV22-3×400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trPr>
        <w:tc>
          <w:tcPr>
            <w:tcW w:w="2894"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20千伏环网柜</w:t>
            </w:r>
          </w:p>
        </w:tc>
        <w:tc>
          <w:tcPr>
            <w:tcW w:w="2069"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40</w:t>
            </w:r>
          </w:p>
        </w:tc>
        <w:tc>
          <w:tcPr>
            <w:tcW w:w="1310"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万元/座</w:t>
            </w:r>
          </w:p>
        </w:tc>
        <w:tc>
          <w:tcPr>
            <w:tcW w:w="2545"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2进4出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trPr>
        <w:tc>
          <w:tcPr>
            <w:tcW w:w="2894"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柱上开关</w:t>
            </w:r>
          </w:p>
        </w:tc>
        <w:tc>
          <w:tcPr>
            <w:tcW w:w="2069"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1310"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万元/台</w:t>
            </w:r>
          </w:p>
        </w:tc>
        <w:tc>
          <w:tcPr>
            <w:tcW w:w="2545"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trPr>
        <w:tc>
          <w:tcPr>
            <w:tcW w:w="2894"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DTU</w:t>
            </w:r>
          </w:p>
        </w:tc>
        <w:tc>
          <w:tcPr>
            <w:tcW w:w="2069"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p>
        </w:tc>
        <w:tc>
          <w:tcPr>
            <w:tcW w:w="1310"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万元/台</w:t>
            </w:r>
          </w:p>
        </w:tc>
        <w:tc>
          <w:tcPr>
            <w:tcW w:w="2545"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trPr>
        <w:tc>
          <w:tcPr>
            <w:tcW w:w="2894"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FTU</w:t>
            </w:r>
          </w:p>
        </w:tc>
        <w:tc>
          <w:tcPr>
            <w:tcW w:w="2069"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p>
        </w:tc>
        <w:tc>
          <w:tcPr>
            <w:tcW w:w="1310"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万元/台</w:t>
            </w:r>
          </w:p>
        </w:tc>
        <w:tc>
          <w:tcPr>
            <w:tcW w:w="2545"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trPr>
        <w:tc>
          <w:tcPr>
            <w:tcW w:w="2894"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20千伏箱变</w:t>
            </w:r>
          </w:p>
        </w:tc>
        <w:tc>
          <w:tcPr>
            <w:tcW w:w="2069"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w:t>
            </w:r>
          </w:p>
        </w:tc>
        <w:tc>
          <w:tcPr>
            <w:tcW w:w="1310"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万元/台</w:t>
            </w:r>
          </w:p>
        </w:tc>
        <w:tc>
          <w:tcPr>
            <w:tcW w:w="2545"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630千伏安</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trPr>
        <w:tc>
          <w:tcPr>
            <w:tcW w:w="2894"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20/10千伏隔离变</w:t>
            </w:r>
          </w:p>
        </w:tc>
        <w:tc>
          <w:tcPr>
            <w:tcW w:w="2069"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26</w:t>
            </w:r>
          </w:p>
        </w:tc>
        <w:tc>
          <w:tcPr>
            <w:tcW w:w="1310"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万元/台</w:t>
            </w:r>
          </w:p>
        </w:tc>
        <w:tc>
          <w:tcPr>
            <w:tcW w:w="2545"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2000千伏安</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trPr>
        <w:tc>
          <w:tcPr>
            <w:tcW w:w="2894"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20/10千伏隔离变</w:t>
            </w:r>
          </w:p>
        </w:tc>
        <w:tc>
          <w:tcPr>
            <w:tcW w:w="2069"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28</w:t>
            </w:r>
          </w:p>
        </w:tc>
        <w:tc>
          <w:tcPr>
            <w:tcW w:w="1310"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万元/台</w:t>
            </w:r>
          </w:p>
        </w:tc>
        <w:tc>
          <w:tcPr>
            <w:tcW w:w="2545"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2500千伏安</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trPr>
        <w:tc>
          <w:tcPr>
            <w:tcW w:w="2894"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20/10千伏隔离变</w:t>
            </w:r>
          </w:p>
        </w:tc>
        <w:tc>
          <w:tcPr>
            <w:tcW w:w="2069"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w:t>
            </w:r>
          </w:p>
        </w:tc>
        <w:tc>
          <w:tcPr>
            <w:tcW w:w="1310"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万元/台</w:t>
            </w:r>
          </w:p>
        </w:tc>
        <w:tc>
          <w:tcPr>
            <w:tcW w:w="2545"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3000千伏安</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trPr>
        <w:tc>
          <w:tcPr>
            <w:tcW w:w="2894"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20/10千伏隔离变</w:t>
            </w:r>
          </w:p>
        </w:tc>
        <w:tc>
          <w:tcPr>
            <w:tcW w:w="2069"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32</w:t>
            </w:r>
          </w:p>
        </w:tc>
        <w:tc>
          <w:tcPr>
            <w:tcW w:w="1310"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万元/台</w:t>
            </w:r>
          </w:p>
        </w:tc>
        <w:tc>
          <w:tcPr>
            <w:tcW w:w="2545"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3500千伏安</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40" w:hRule="atLeast"/>
        </w:trPr>
        <w:tc>
          <w:tcPr>
            <w:tcW w:w="2894"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20/10千伏隔离变</w:t>
            </w:r>
          </w:p>
        </w:tc>
        <w:tc>
          <w:tcPr>
            <w:tcW w:w="2069"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42</w:t>
            </w:r>
          </w:p>
        </w:tc>
        <w:tc>
          <w:tcPr>
            <w:tcW w:w="1310"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万元/台</w:t>
            </w:r>
          </w:p>
        </w:tc>
        <w:tc>
          <w:tcPr>
            <w:tcW w:w="2545" w:type="dxa"/>
            <w:shd w:val="clear" w:color="auto" w:fill="auto"/>
            <w:noWrap/>
            <w:vAlign w:val="center"/>
          </w:tcPr>
          <w:p>
            <w:pPr>
              <w:widowControl/>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20000千伏安</w:t>
            </w:r>
          </w:p>
        </w:tc>
      </w:tr>
    </w:tbl>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 xml:space="preserve">至2025年，试点区域电网建设工程总投资1260万元，针对区域负荷需求发展的不确定性，应根据区域负荷发展具体情况合理安排项目建设时序。至2025年，试点区域建设项目需求如表6-3所示。 </w:t>
      </w:r>
    </w:p>
    <w:p>
      <w:pPr>
        <w:pStyle w:val="91"/>
        <w:adjustRightInd w:val="0"/>
        <w:snapToGrid w:val="0"/>
        <w:spacing w:before="381" w:beforeLines="100" w:after="95" w:afterLines="25"/>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表6-3 试点区域配网建设项目需求表</w:t>
      </w:r>
    </w:p>
    <w:tbl>
      <w:tblPr>
        <w:tblStyle w:val="29"/>
        <w:tblW w:w="8818"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292"/>
        <w:gridCol w:w="1692"/>
        <w:gridCol w:w="933"/>
        <w:gridCol w:w="975"/>
        <w:gridCol w:w="987"/>
        <w:gridCol w:w="973"/>
        <w:gridCol w:w="876"/>
        <w:gridCol w:w="663"/>
        <w:gridCol w:w="708"/>
        <w:gridCol w:w="71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blHeader/>
        </w:trPr>
        <w:tc>
          <w:tcPr>
            <w:tcW w:w="292"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序号</w:t>
            </w:r>
          </w:p>
        </w:tc>
        <w:tc>
          <w:tcPr>
            <w:tcW w:w="1692"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项目名称</w:t>
            </w:r>
          </w:p>
        </w:tc>
        <w:tc>
          <w:tcPr>
            <w:tcW w:w="933"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工程投资（万元）</w:t>
            </w:r>
          </w:p>
        </w:tc>
        <w:tc>
          <w:tcPr>
            <w:tcW w:w="975"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规划年限</w:t>
            </w:r>
          </w:p>
        </w:tc>
        <w:tc>
          <w:tcPr>
            <w:tcW w:w="987"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架空线路（公里）</w:t>
            </w:r>
          </w:p>
        </w:tc>
        <w:tc>
          <w:tcPr>
            <w:tcW w:w="973"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电缆线路（公里）</w:t>
            </w:r>
          </w:p>
        </w:tc>
        <w:tc>
          <w:tcPr>
            <w:tcW w:w="876"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柱上开关（台）</w:t>
            </w:r>
          </w:p>
        </w:tc>
        <w:tc>
          <w:tcPr>
            <w:tcW w:w="663"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FTU（台）</w:t>
            </w:r>
          </w:p>
        </w:tc>
        <w:tc>
          <w:tcPr>
            <w:tcW w:w="708"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20千伏隔离变</w:t>
            </w:r>
          </w:p>
        </w:tc>
        <w:tc>
          <w:tcPr>
            <w:tcW w:w="719"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20千伏配变</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292"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692"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浙江嘉兴海盐20千伏隔离变新建工程</w:t>
            </w:r>
          </w:p>
        </w:tc>
        <w:tc>
          <w:tcPr>
            <w:tcW w:w="933"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350</w:t>
            </w:r>
          </w:p>
        </w:tc>
        <w:tc>
          <w:tcPr>
            <w:tcW w:w="975"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2020</w:t>
            </w:r>
          </w:p>
        </w:tc>
        <w:tc>
          <w:tcPr>
            <w:tcW w:w="987"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1.28</w:t>
            </w:r>
          </w:p>
        </w:tc>
        <w:tc>
          <w:tcPr>
            <w:tcW w:w="973"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1.75</w:t>
            </w:r>
          </w:p>
        </w:tc>
        <w:tc>
          <w:tcPr>
            <w:tcW w:w="876"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p>
        </w:tc>
        <w:tc>
          <w:tcPr>
            <w:tcW w:w="663"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c>
          <w:tcPr>
            <w:tcW w:w="708"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p>
        </w:tc>
        <w:tc>
          <w:tcPr>
            <w:tcW w:w="719"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292"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1692"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浙江嘉兴海盐110千伏万兴变20千伏建丰D143线改造工程</w:t>
            </w:r>
          </w:p>
        </w:tc>
        <w:tc>
          <w:tcPr>
            <w:tcW w:w="933"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190</w:t>
            </w:r>
          </w:p>
        </w:tc>
        <w:tc>
          <w:tcPr>
            <w:tcW w:w="975"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2020-2021</w:t>
            </w:r>
          </w:p>
        </w:tc>
        <w:tc>
          <w:tcPr>
            <w:tcW w:w="987"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3.38</w:t>
            </w:r>
          </w:p>
        </w:tc>
        <w:tc>
          <w:tcPr>
            <w:tcW w:w="973"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c>
          <w:tcPr>
            <w:tcW w:w="876"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663"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708"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c>
          <w:tcPr>
            <w:tcW w:w="719"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292"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1692"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浙江嘉兴海盐110千伏万兴变10千伏万兴4线、5线新建工程</w:t>
            </w:r>
          </w:p>
        </w:tc>
        <w:tc>
          <w:tcPr>
            <w:tcW w:w="933"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520</w:t>
            </w:r>
          </w:p>
        </w:tc>
        <w:tc>
          <w:tcPr>
            <w:tcW w:w="975"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2021-2023</w:t>
            </w:r>
          </w:p>
        </w:tc>
        <w:tc>
          <w:tcPr>
            <w:tcW w:w="987"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3.84</w:t>
            </w:r>
          </w:p>
        </w:tc>
        <w:tc>
          <w:tcPr>
            <w:tcW w:w="973"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3.21</w:t>
            </w:r>
          </w:p>
        </w:tc>
        <w:tc>
          <w:tcPr>
            <w:tcW w:w="876"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w:t>
            </w:r>
          </w:p>
        </w:tc>
        <w:tc>
          <w:tcPr>
            <w:tcW w:w="663"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w:t>
            </w:r>
          </w:p>
        </w:tc>
        <w:tc>
          <w:tcPr>
            <w:tcW w:w="708"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719"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292"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bookmarkStart w:id="167" w:name="RANGE!A5"/>
            <w:r>
              <w:rPr>
                <w:rFonts w:hint="default" w:ascii="Times New Roman" w:hAnsi="Times New Roman" w:eastAsia="宋体" w:cs="Times New Roman"/>
                <w:kern w:val="0"/>
                <w:sz w:val="21"/>
                <w:szCs w:val="21"/>
              </w:rPr>
              <w:t>4</w:t>
            </w:r>
            <w:bookmarkEnd w:id="167"/>
          </w:p>
        </w:tc>
        <w:tc>
          <w:tcPr>
            <w:tcW w:w="1692"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浙江嘉兴海盐增量试点区域增容布点工程</w:t>
            </w:r>
          </w:p>
        </w:tc>
        <w:tc>
          <w:tcPr>
            <w:tcW w:w="933"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200</w:t>
            </w:r>
          </w:p>
        </w:tc>
        <w:tc>
          <w:tcPr>
            <w:tcW w:w="975"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2021-2025</w:t>
            </w:r>
          </w:p>
        </w:tc>
        <w:tc>
          <w:tcPr>
            <w:tcW w:w="987"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c>
          <w:tcPr>
            <w:tcW w:w="973"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c>
          <w:tcPr>
            <w:tcW w:w="876"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p>
        </w:tc>
        <w:tc>
          <w:tcPr>
            <w:tcW w:w="663"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c>
          <w:tcPr>
            <w:tcW w:w="708"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p>
        </w:tc>
        <w:tc>
          <w:tcPr>
            <w:tcW w:w="719"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1984" w:type="dxa"/>
            <w:gridSpan w:val="2"/>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合计</w:t>
            </w:r>
          </w:p>
        </w:tc>
        <w:tc>
          <w:tcPr>
            <w:tcW w:w="933"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1260</w:t>
            </w:r>
          </w:p>
        </w:tc>
        <w:tc>
          <w:tcPr>
            <w:tcW w:w="975"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987"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8.50</w:t>
            </w:r>
          </w:p>
        </w:tc>
        <w:tc>
          <w:tcPr>
            <w:tcW w:w="973"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4.96</w:t>
            </w:r>
          </w:p>
        </w:tc>
        <w:tc>
          <w:tcPr>
            <w:tcW w:w="876"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w:t>
            </w:r>
          </w:p>
        </w:tc>
        <w:tc>
          <w:tcPr>
            <w:tcW w:w="663"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w:t>
            </w:r>
          </w:p>
        </w:tc>
        <w:tc>
          <w:tcPr>
            <w:tcW w:w="708"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w:t>
            </w:r>
          </w:p>
        </w:tc>
        <w:tc>
          <w:tcPr>
            <w:tcW w:w="719"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w:t>
            </w:r>
          </w:p>
        </w:tc>
      </w:tr>
    </w:tbl>
    <w:p>
      <w:pPr>
        <w:snapToGrid w:val="0"/>
        <w:spacing w:before="190" w:beforeLines="50" w:after="381" w:afterLines="100" w:line="240" w:lineRule="auto"/>
        <w:ind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注：试点区域项目投资方为试点区域单位业主方。</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具体建设项目如下：</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（1）浙江嘉兴海盐20千伏隔离变新建工程</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必要性：试点区现状同时存在20千伏、10千伏线路供电，且10千伏线路主要为试点区外的负荷供电，仅部分分支为试点区供电。考虑试点区与外部电网应尽量划清供电界限，避免区域内外交叉供电，将区域内10千伏负荷经隔离变接入20千伏线路是十分必要的。</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项目方案：新建5台20/10千伏隔离变，断开10千伏太平Y274线镀锌厂支线16#-17#、城塘184线66#-67#，分别接入1#隔离变和2#隔离变，2台容量各为3500千伏安和3000千伏安，隔离变与20千伏秦工线连接；</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将金城二路盐中Y289线金城支线7家、金城二路至金城三路城塘184线2家通过接入一台容量为3000千伏安隔离变3#与夏家D151线金城2路支线连接。</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将金城三路10千伏城塘184线7家工业用户通过接入一台容量为2500千伏安隔离变4#与夏家D151线金城二路支线连接；</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将北星支线接入容量为2000千伏安隔离变5#，断开北星支线11#-12#杆，将前段负荷接入改造后的20千伏建丰D143线。</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建设规模：新建20千伏隔离变5台（1台3500千伏安，2台3000千伏安，1台2500千伏安,1台2000千伏安），敷设YJV22-18/24-3×400电缆1.75公里，新建JKLYJ-20/240单回架空线路1.28公里。</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实施时间：2020年</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项目投资：350万元</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（2）浙江嘉兴海盐110千伏万兴变20千伏建丰D143线改造工程</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必要性：建丰D143线同时为试点区内外供电，考虑划清试点区供电界限，考虑将建丰D143线进行改造，调整供电范围，解决试点区内外交叉供电问题。</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项目方案：将20千伏建丰D143线在变电站出口处更改路径，沿联星Y134线路径向北延伸至核电大道，再沿太平274线路径向西延伸至原建丰D143线，拆除沿路的10千伏线路。建丰D143线原有线路接入油车D141线，为试点区外部供电。</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建设规模：新建JKLYJ-20/240单回架空线路3.38公里，新建20千伏分段开关3台，配电自动化同步建设。</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实施时间：2020-2021年</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项目投资：190万元</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（3）浙江嘉兴海盐110千伏万兴变10千伏万兴4线、5线新建工程</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必要性：试点区东北部现状主要由分支线供电，随着区域负荷的发展，分支线将不能满足供电要求，因此，需新建线路，为试点区东北部负荷供电。</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项目方案：从110千伏万兴变新出2回20千伏线路，新出20千伏来自不同主变的母线，在万兴变站前新建20/10千伏隔离变2座，容量采用20000千伏安，之后由2座隔离变各新出1条10千伏线路至金城三路，并形成联络，为工业园区新增负荷供电。</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建设规模：新建JKLYJ-10/240架空线路3.84公里，新建YJV22/10-3×400电缆线路3.01公里，新建YJV22/20-3×400电缆线路0.2公里，新建20/10千伏隔离变2台，新建10千伏柱上开关8台，配电自动化同步建设。</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实施时间：2021-2023年</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项目投资：520万元</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（4）浙江嘉兴海盐增量试点区域增容布点和低压改造工程</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必要性：随着试点区西侧居住区的建设开发，区域负荷将出现增长，需新增配电变压器，以满足居民用户的接入要求。</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项目方案：区域西侧居住用地新建8台20千伏箱变（630千伏安）满足供电需求，自动化设备同步配置，同时对试点区域部分低压线路进行改造。</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建设规模：新增20千伏箱变8台。</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实施时间：2021-2025年</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项目投资： 200万元</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3．远景建设改造方案概述</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远景年，110千伏首荡变投运后，规划新建2回10千伏线路向试点区域供电，与万兴4线、5线形成2组单联络结构。</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为提高供电可靠性，远期考虑由220千伏立峰变新出2回20千伏线路，与试点区域内20千伏线路形成2组两联络接线。</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远景年新建10（20）千伏线路的目的是为了提高试点区的供电可靠性，在试点区外无供电负荷，建议该部分投资由增量配电公司投资。投资金额约1200万元（包含20千伏线路约20.25公里，10千伏线路约4.96公里）。</w:t>
      </w:r>
    </w:p>
    <w:p>
      <w:pPr>
        <w:pStyle w:val="44"/>
        <w:keepNext w:val="0"/>
        <w:keepLines w:val="0"/>
        <w:pageBreakBefore w:val="0"/>
        <w:widowControl w:val="0"/>
        <w:kinsoku/>
        <w:wordWrap/>
        <w:overflowPunct/>
        <w:topLinePunct w:val="0"/>
        <w:autoSpaceDE/>
        <w:autoSpaceDN/>
        <w:bidi w:val="0"/>
        <w:adjustRightInd w:val="0"/>
        <w:snapToGrid w:val="0"/>
        <w:spacing w:before="0" w:after="0" w:line="579" w:lineRule="exact"/>
        <w:ind w:firstLine="640" w:firstLineChars="200"/>
        <w:textAlignment w:val="auto"/>
        <w:rPr>
          <w:rFonts w:hint="default" w:ascii="Times New Roman" w:hAnsi="Times New Roman" w:eastAsia="楷体" w:cs="Times New Roman"/>
          <w:b w:val="0"/>
        </w:rPr>
      </w:pPr>
      <w:bookmarkStart w:id="168" w:name="_Toc23253651"/>
      <w:r>
        <w:rPr>
          <w:rFonts w:hint="default" w:ascii="Times New Roman" w:hAnsi="Times New Roman" w:eastAsia="楷体" w:cs="Times New Roman"/>
          <w:b w:val="0"/>
        </w:rPr>
        <w:t>（五）技术指标校核</w:t>
      </w:r>
      <w:bookmarkEnd w:id="168"/>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1．规划成效</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至2025年，海盐秦山增量配电试点区着力解决配电网发展薄弱问题，推动装备提升以及供电能力提升，支撑经济发展和服务社会民生，满足用户接入需求。规划主要成效如下：</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1）实现试点区域内外中压电网互不交叉，采用“隔离变”的方式将原有10千伏负荷切至20千伏线路，节约了通道资源，降低了运行成本，电网运行管理更加有效。</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2）新建改造中压架空线路约8.50公里，新建电缆线线路4.96公里，区域内20千伏配网实现多分段适度联络典型接线模式，电网安全可靠供电水平得到极大提升。</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3）20千伏线路均配置“二遥”开关，并实现无线公网通信，配电自动化覆盖率和信息自动采集率均达到100%，线路故障发现和处理能力明显提升。</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2．技术指标提升情况</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至2020年，试点区域中压线路为4条，线路总长度31.76公里，平均供电半径4.03公里，电缆化率34.13%，架空线路绝缘化率78.44%，线路联络率100%。线路平均装接配变容量13338千伏安，中压线路平均最大负载率44.13%，线路“N-1”通过率100%。</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至2025年，试点区域中压线路为6条，线路总长度50.76公里，平均供电半径4.26公里，电缆化率21.36%，架空线路绝缘化率100%，线路联络率100%。线路平均装接配变容量10692千伏安，中压线路平均最大负载率33.28%，线路“N-1”通过率100%。</w:t>
      </w:r>
    </w:p>
    <w:p>
      <w:pPr>
        <w:pStyle w:val="91"/>
        <w:keepNext w:val="0"/>
        <w:keepLines w:val="0"/>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表6-4 试点区域2020年、2025年10(20)千伏配电网指标表</w:t>
      </w:r>
    </w:p>
    <w:tbl>
      <w:tblPr>
        <w:tblStyle w:val="29"/>
        <w:tblW w:w="8818"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1499"/>
        <w:gridCol w:w="1793"/>
        <w:gridCol w:w="2674"/>
        <w:gridCol w:w="1426"/>
        <w:gridCol w:w="142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blHeader/>
        </w:trPr>
        <w:tc>
          <w:tcPr>
            <w:tcW w:w="3292" w:type="dxa"/>
            <w:gridSpan w:val="2"/>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项目</w:t>
            </w:r>
          </w:p>
        </w:tc>
        <w:tc>
          <w:tcPr>
            <w:tcW w:w="2674"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2018年指标</w:t>
            </w:r>
          </w:p>
        </w:tc>
        <w:tc>
          <w:tcPr>
            <w:tcW w:w="1426"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2020年指标</w:t>
            </w:r>
          </w:p>
        </w:tc>
        <w:tc>
          <w:tcPr>
            <w:tcW w:w="1426"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2025年指标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3292" w:type="dxa"/>
            <w:gridSpan w:val="2"/>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中压线路数量</w:t>
            </w:r>
          </w:p>
        </w:tc>
        <w:tc>
          <w:tcPr>
            <w:tcW w:w="2674"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w:t>
            </w:r>
          </w:p>
        </w:tc>
        <w:tc>
          <w:tcPr>
            <w:tcW w:w="1426"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w:t>
            </w:r>
          </w:p>
        </w:tc>
        <w:tc>
          <w:tcPr>
            <w:tcW w:w="1426"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1499" w:type="dxa"/>
            <w:vMerge w:val="restart"/>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中压线路主干长度</w:t>
            </w:r>
          </w:p>
        </w:tc>
        <w:tc>
          <w:tcPr>
            <w:tcW w:w="1793"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绝缘线（公里）</w:t>
            </w:r>
          </w:p>
        </w:tc>
        <w:tc>
          <w:tcPr>
            <w:tcW w:w="2674"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37.65</w:t>
            </w:r>
          </w:p>
        </w:tc>
        <w:tc>
          <w:tcPr>
            <w:tcW w:w="1426"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16.41</w:t>
            </w:r>
          </w:p>
        </w:tc>
        <w:tc>
          <w:tcPr>
            <w:tcW w:w="1426"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35.41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1499" w:type="dxa"/>
            <w:vMerge w:val="continue"/>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p>
        </w:tc>
        <w:tc>
          <w:tcPr>
            <w:tcW w:w="1793"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裸导线（公里）</w:t>
            </w:r>
          </w:p>
        </w:tc>
        <w:tc>
          <w:tcPr>
            <w:tcW w:w="2674"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37.7</w:t>
            </w:r>
          </w:p>
        </w:tc>
        <w:tc>
          <w:tcPr>
            <w:tcW w:w="1426"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4.51</w:t>
            </w:r>
          </w:p>
        </w:tc>
        <w:tc>
          <w:tcPr>
            <w:tcW w:w="1426"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1499" w:type="dxa"/>
            <w:vMerge w:val="continue"/>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p>
        </w:tc>
        <w:tc>
          <w:tcPr>
            <w:tcW w:w="1793"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电缆线路（公里）</w:t>
            </w:r>
          </w:p>
        </w:tc>
        <w:tc>
          <w:tcPr>
            <w:tcW w:w="2674"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21.41</w:t>
            </w:r>
          </w:p>
        </w:tc>
        <w:tc>
          <w:tcPr>
            <w:tcW w:w="1426"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10.84</w:t>
            </w:r>
          </w:p>
        </w:tc>
        <w:tc>
          <w:tcPr>
            <w:tcW w:w="1426"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10.84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1499" w:type="dxa"/>
            <w:vMerge w:val="continue"/>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p>
        </w:tc>
        <w:tc>
          <w:tcPr>
            <w:tcW w:w="1793"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总长度（公里）</w:t>
            </w:r>
          </w:p>
        </w:tc>
        <w:tc>
          <w:tcPr>
            <w:tcW w:w="2674"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96.76</w:t>
            </w:r>
          </w:p>
        </w:tc>
        <w:tc>
          <w:tcPr>
            <w:tcW w:w="1426"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31.76</w:t>
            </w:r>
          </w:p>
        </w:tc>
        <w:tc>
          <w:tcPr>
            <w:tcW w:w="1426"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50.76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1499" w:type="dxa"/>
            <w:vMerge w:val="restart"/>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线路采用主要导线型号</w:t>
            </w:r>
          </w:p>
        </w:tc>
        <w:tc>
          <w:tcPr>
            <w:tcW w:w="1793"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架空线路</w:t>
            </w:r>
          </w:p>
        </w:tc>
        <w:tc>
          <w:tcPr>
            <w:tcW w:w="2674"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JKLYJ-240、JKLYJ-185、LJ-240、LJ-185</w:t>
            </w:r>
          </w:p>
        </w:tc>
        <w:tc>
          <w:tcPr>
            <w:tcW w:w="1426"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JKLYJ-240</w:t>
            </w:r>
          </w:p>
        </w:tc>
        <w:tc>
          <w:tcPr>
            <w:tcW w:w="1426"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JKLYJ-240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1499" w:type="dxa"/>
            <w:vMerge w:val="continue"/>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p>
        </w:tc>
        <w:tc>
          <w:tcPr>
            <w:tcW w:w="1793"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电缆线路</w:t>
            </w:r>
          </w:p>
        </w:tc>
        <w:tc>
          <w:tcPr>
            <w:tcW w:w="2674"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YJLV-400、YJV22-300、YJV-240</w:t>
            </w:r>
          </w:p>
        </w:tc>
        <w:tc>
          <w:tcPr>
            <w:tcW w:w="1426"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YJLV-400、YJV22-300</w:t>
            </w:r>
          </w:p>
        </w:tc>
        <w:tc>
          <w:tcPr>
            <w:tcW w:w="1426"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YJLV-400、YJV22-300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3292" w:type="dxa"/>
            <w:gridSpan w:val="2"/>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平均供电半径（公里）</w:t>
            </w:r>
          </w:p>
        </w:tc>
        <w:tc>
          <w:tcPr>
            <w:tcW w:w="2674"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5.82</w:t>
            </w:r>
          </w:p>
        </w:tc>
        <w:tc>
          <w:tcPr>
            <w:tcW w:w="1426"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4.03</w:t>
            </w:r>
          </w:p>
        </w:tc>
        <w:tc>
          <w:tcPr>
            <w:tcW w:w="1426"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4.26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3292" w:type="dxa"/>
            <w:gridSpan w:val="2"/>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电缆化率（%）</w:t>
            </w:r>
          </w:p>
        </w:tc>
        <w:tc>
          <w:tcPr>
            <w:tcW w:w="2674"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22.13</w:t>
            </w:r>
          </w:p>
        </w:tc>
        <w:tc>
          <w:tcPr>
            <w:tcW w:w="1426"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34.13</w:t>
            </w:r>
          </w:p>
        </w:tc>
        <w:tc>
          <w:tcPr>
            <w:tcW w:w="1426"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21.36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3292" w:type="dxa"/>
            <w:gridSpan w:val="2"/>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架空线路绝缘化率（%）</w:t>
            </w:r>
          </w:p>
        </w:tc>
        <w:tc>
          <w:tcPr>
            <w:tcW w:w="2674"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49.97</w:t>
            </w:r>
          </w:p>
        </w:tc>
        <w:tc>
          <w:tcPr>
            <w:tcW w:w="1426"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78.44</w:t>
            </w:r>
          </w:p>
        </w:tc>
        <w:tc>
          <w:tcPr>
            <w:tcW w:w="1426"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1499" w:type="dxa"/>
            <w:vMerge w:val="restart"/>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线路装接配变总数</w:t>
            </w:r>
          </w:p>
        </w:tc>
        <w:tc>
          <w:tcPr>
            <w:tcW w:w="1793"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台数（台）</w:t>
            </w:r>
          </w:p>
        </w:tc>
        <w:tc>
          <w:tcPr>
            <w:tcW w:w="2674"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266</w:t>
            </w:r>
          </w:p>
        </w:tc>
        <w:tc>
          <w:tcPr>
            <w:tcW w:w="1426"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118</w:t>
            </w:r>
          </w:p>
        </w:tc>
        <w:tc>
          <w:tcPr>
            <w:tcW w:w="1426"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1499" w:type="dxa"/>
            <w:vMerge w:val="continue"/>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p>
        </w:tc>
        <w:tc>
          <w:tcPr>
            <w:tcW w:w="1793"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其中：区内台数（台）</w:t>
            </w:r>
          </w:p>
        </w:tc>
        <w:tc>
          <w:tcPr>
            <w:tcW w:w="2674"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106</w:t>
            </w:r>
          </w:p>
        </w:tc>
        <w:tc>
          <w:tcPr>
            <w:tcW w:w="1426"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118</w:t>
            </w:r>
          </w:p>
        </w:tc>
        <w:tc>
          <w:tcPr>
            <w:tcW w:w="1426"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1499" w:type="dxa"/>
            <w:vMerge w:val="continue"/>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p>
        </w:tc>
        <w:tc>
          <w:tcPr>
            <w:tcW w:w="1793"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容量（千伏安）</w:t>
            </w:r>
          </w:p>
        </w:tc>
        <w:tc>
          <w:tcPr>
            <w:tcW w:w="2674"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95823</w:t>
            </w:r>
          </w:p>
        </w:tc>
        <w:tc>
          <w:tcPr>
            <w:tcW w:w="1426"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53350</w:t>
            </w:r>
          </w:p>
        </w:tc>
        <w:tc>
          <w:tcPr>
            <w:tcW w:w="1426"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64150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1499" w:type="dxa"/>
            <w:vMerge w:val="continue"/>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p>
        </w:tc>
        <w:tc>
          <w:tcPr>
            <w:tcW w:w="1793"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其中：区内容量（千伏安）</w:t>
            </w:r>
          </w:p>
        </w:tc>
        <w:tc>
          <w:tcPr>
            <w:tcW w:w="2674"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49905</w:t>
            </w:r>
          </w:p>
        </w:tc>
        <w:tc>
          <w:tcPr>
            <w:tcW w:w="1426"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53350</w:t>
            </w:r>
          </w:p>
        </w:tc>
        <w:tc>
          <w:tcPr>
            <w:tcW w:w="1426"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64150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1499" w:type="dxa"/>
            <w:vMerge w:val="restart"/>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线路平均装接配变数</w:t>
            </w:r>
          </w:p>
        </w:tc>
        <w:tc>
          <w:tcPr>
            <w:tcW w:w="1793"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台数（台/线路）</w:t>
            </w:r>
          </w:p>
        </w:tc>
        <w:tc>
          <w:tcPr>
            <w:tcW w:w="2674"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33</w:t>
            </w:r>
          </w:p>
        </w:tc>
        <w:tc>
          <w:tcPr>
            <w:tcW w:w="1426"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w:t>
            </w:r>
          </w:p>
        </w:tc>
        <w:tc>
          <w:tcPr>
            <w:tcW w:w="1426"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1499" w:type="dxa"/>
            <w:vMerge w:val="continue"/>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p>
        </w:tc>
        <w:tc>
          <w:tcPr>
            <w:tcW w:w="1793"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容量（千伏安/线路）</w:t>
            </w:r>
          </w:p>
        </w:tc>
        <w:tc>
          <w:tcPr>
            <w:tcW w:w="2674"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11978</w:t>
            </w:r>
          </w:p>
        </w:tc>
        <w:tc>
          <w:tcPr>
            <w:tcW w:w="1426"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13338</w:t>
            </w:r>
          </w:p>
        </w:tc>
        <w:tc>
          <w:tcPr>
            <w:tcW w:w="1426"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10692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3292" w:type="dxa"/>
            <w:gridSpan w:val="2"/>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中压线路平均最大负载率（%）</w:t>
            </w:r>
          </w:p>
        </w:tc>
        <w:tc>
          <w:tcPr>
            <w:tcW w:w="2674"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31.22</w:t>
            </w:r>
          </w:p>
        </w:tc>
        <w:tc>
          <w:tcPr>
            <w:tcW w:w="1426"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44.13</w:t>
            </w:r>
          </w:p>
        </w:tc>
        <w:tc>
          <w:tcPr>
            <w:tcW w:w="1426"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33.28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3292" w:type="dxa"/>
            <w:gridSpan w:val="2"/>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联络率（%）</w:t>
            </w:r>
          </w:p>
        </w:tc>
        <w:tc>
          <w:tcPr>
            <w:tcW w:w="2674"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100</w:t>
            </w:r>
          </w:p>
        </w:tc>
        <w:tc>
          <w:tcPr>
            <w:tcW w:w="1426"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100</w:t>
            </w:r>
          </w:p>
        </w:tc>
        <w:tc>
          <w:tcPr>
            <w:tcW w:w="1426"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0" w:hRule="atLeast"/>
        </w:trPr>
        <w:tc>
          <w:tcPr>
            <w:tcW w:w="3292" w:type="dxa"/>
            <w:gridSpan w:val="2"/>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中压线路“N-1”通过率（%）</w:t>
            </w:r>
          </w:p>
        </w:tc>
        <w:tc>
          <w:tcPr>
            <w:tcW w:w="2674"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100</w:t>
            </w:r>
          </w:p>
        </w:tc>
        <w:tc>
          <w:tcPr>
            <w:tcW w:w="1426" w:type="dxa"/>
            <w:shd w:val="clear" w:color="auto" w:fill="auto"/>
            <w:noWrap/>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100</w:t>
            </w:r>
          </w:p>
        </w:tc>
        <w:tc>
          <w:tcPr>
            <w:tcW w:w="1426"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100</w:t>
            </w:r>
          </w:p>
        </w:tc>
      </w:tr>
    </w:tbl>
    <w:p>
      <w:pPr>
        <w:widowControl/>
        <w:spacing w:line="240" w:lineRule="auto"/>
        <w:ind w:firstLine="0" w:firstLineChars="0"/>
        <w:jc w:val="center"/>
        <w:rPr>
          <w:rFonts w:hint="default" w:ascii="Times New Roman" w:hAnsi="Times New Roman" w:eastAsia="仿宋" w:cs="Times New Roman"/>
          <w:kern w:val="0"/>
          <w:sz w:val="21"/>
        </w:rPr>
      </w:pPr>
      <w:r>
        <w:rPr>
          <w:rFonts w:hint="default" w:ascii="Times New Roman" w:hAnsi="Times New Roman" w:eastAsia="仿宋" w:cs="Times New Roman"/>
          <w:kern w:val="0"/>
          <w:sz w:val="21"/>
        </w:rPr>
        <w:t xml:space="preserve"> </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2019年至2025年，通过合理安排检修时间缩短故障停电时间、合理安排电网运行方式控制电压异常波动、优化有序用电方案、提供客户设备抢修技术指导、推广带电作业缩短通电时间、建立与重点企业沟通联络机制等一系列的措施，逐步提高供电可靠性、电压合格率、减少停电时间。</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 xml:space="preserve">根据《中压配电网可靠性评估导则》（DL/T 1563-2016）中的“两状态模型”和“三状态模型”，并结合《中低压配电网能效评估导则》（GB/T 31367-2015）的相关要求，经综合评估，2025年试点区域供电可靠率将达到99.95%，户均停电时间不高于4.38小时，综合电压合格率达到99.70%。 </w:t>
      </w:r>
    </w:p>
    <w:p>
      <w:pPr>
        <w:pStyle w:val="91"/>
        <w:adjustRightInd w:val="0"/>
        <w:snapToGrid w:val="0"/>
        <w:spacing w:before="381" w:beforeLines="100" w:after="83" w:afterLines="22"/>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表6-5 试点区域10(20)千伏电网综合指标情况</w:t>
      </w:r>
    </w:p>
    <w:tbl>
      <w:tblPr>
        <w:tblStyle w:val="29"/>
        <w:tblW w:w="8818"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2874"/>
        <w:gridCol w:w="1488"/>
        <w:gridCol w:w="1488"/>
        <w:gridCol w:w="1488"/>
        <w:gridCol w:w="148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cantSplit/>
          <w:trHeight w:val="340" w:hRule="atLeast"/>
          <w:tblHeader/>
          <w:jc w:val="center"/>
        </w:trPr>
        <w:tc>
          <w:tcPr>
            <w:tcW w:w="2874" w:type="dxa"/>
            <w:vAlign w:val="center"/>
          </w:tcPr>
          <w:p>
            <w:pPr>
              <w:keepNext/>
              <w:widowControl/>
              <w:spacing w:line="240" w:lineRule="auto"/>
              <w:ind w:firstLine="0" w:firstLineChars="0"/>
              <w:jc w:val="center"/>
              <w:rPr>
                <w:rFonts w:hint="default" w:ascii="Times New Roman" w:hAnsi="Times New Roman" w:eastAsia="宋体" w:cs="Times New Roman"/>
                <w:kern w:val="0"/>
                <w:sz w:val="21"/>
              </w:rPr>
            </w:pPr>
            <w:r>
              <w:rPr>
                <w:rFonts w:hint="default" w:ascii="Times New Roman" w:hAnsi="Times New Roman" w:eastAsia="宋体" w:cs="Times New Roman"/>
                <w:kern w:val="0"/>
                <w:sz w:val="21"/>
              </w:rPr>
              <w:t>指标名称</w:t>
            </w:r>
          </w:p>
        </w:tc>
        <w:tc>
          <w:tcPr>
            <w:tcW w:w="1488" w:type="dxa"/>
            <w:vAlign w:val="center"/>
          </w:tcPr>
          <w:p>
            <w:pPr>
              <w:keepNext/>
              <w:widowControl/>
              <w:spacing w:line="240" w:lineRule="auto"/>
              <w:ind w:firstLine="0" w:firstLineChars="0"/>
              <w:jc w:val="center"/>
              <w:rPr>
                <w:rFonts w:hint="default" w:ascii="Times New Roman" w:hAnsi="Times New Roman" w:eastAsia="宋体" w:cs="Times New Roman"/>
                <w:kern w:val="0"/>
                <w:sz w:val="21"/>
              </w:rPr>
            </w:pPr>
            <w:r>
              <w:rPr>
                <w:rFonts w:hint="default" w:ascii="Times New Roman" w:hAnsi="Times New Roman" w:eastAsia="宋体" w:cs="Times New Roman"/>
                <w:kern w:val="0"/>
                <w:sz w:val="21"/>
              </w:rPr>
              <w:t>2018年</w:t>
            </w:r>
          </w:p>
        </w:tc>
        <w:tc>
          <w:tcPr>
            <w:tcW w:w="1488" w:type="dxa"/>
            <w:vAlign w:val="center"/>
          </w:tcPr>
          <w:p>
            <w:pPr>
              <w:keepNext/>
              <w:widowControl/>
              <w:spacing w:line="240" w:lineRule="auto"/>
              <w:ind w:firstLine="0" w:firstLineChars="0"/>
              <w:jc w:val="center"/>
              <w:rPr>
                <w:rFonts w:hint="default" w:ascii="Times New Roman" w:hAnsi="Times New Roman" w:eastAsia="宋体" w:cs="Times New Roman"/>
                <w:kern w:val="0"/>
                <w:sz w:val="21"/>
              </w:rPr>
            </w:pPr>
            <w:r>
              <w:rPr>
                <w:rFonts w:hint="default" w:ascii="Times New Roman" w:hAnsi="Times New Roman" w:eastAsia="宋体" w:cs="Times New Roman"/>
                <w:kern w:val="0"/>
                <w:sz w:val="21"/>
              </w:rPr>
              <w:t>2019年</w:t>
            </w:r>
          </w:p>
        </w:tc>
        <w:tc>
          <w:tcPr>
            <w:tcW w:w="1488" w:type="dxa"/>
          </w:tcPr>
          <w:p>
            <w:pPr>
              <w:keepNext/>
              <w:widowControl/>
              <w:spacing w:line="240" w:lineRule="auto"/>
              <w:ind w:firstLine="0" w:firstLineChars="0"/>
              <w:jc w:val="center"/>
              <w:rPr>
                <w:rFonts w:hint="default" w:ascii="Times New Roman" w:hAnsi="Times New Roman" w:eastAsia="宋体" w:cs="Times New Roman"/>
                <w:kern w:val="0"/>
                <w:sz w:val="21"/>
              </w:rPr>
            </w:pPr>
            <w:r>
              <w:rPr>
                <w:rFonts w:hint="default" w:ascii="Times New Roman" w:hAnsi="Times New Roman" w:eastAsia="宋体" w:cs="Times New Roman"/>
                <w:kern w:val="0"/>
                <w:sz w:val="21"/>
              </w:rPr>
              <w:t>2020年</w:t>
            </w:r>
          </w:p>
        </w:tc>
        <w:tc>
          <w:tcPr>
            <w:tcW w:w="1480" w:type="dxa"/>
            <w:vAlign w:val="center"/>
          </w:tcPr>
          <w:p>
            <w:pPr>
              <w:keepNext/>
              <w:widowControl/>
              <w:spacing w:line="240" w:lineRule="auto"/>
              <w:ind w:firstLine="0" w:firstLineChars="0"/>
              <w:jc w:val="center"/>
              <w:rPr>
                <w:rFonts w:hint="default" w:ascii="Times New Roman" w:hAnsi="Times New Roman" w:eastAsia="宋体" w:cs="Times New Roman"/>
                <w:kern w:val="0"/>
                <w:sz w:val="21"/>
              </w:rPr>
            </w:pPr>
            <w:r>
              <w:rPr>
                <w:rFonts w:hint="default" w:ascii="Times New Roman" w:hAnsi="Times New Roman" w:eastAsia="宋体" w:cs="Times New Roman"/>
                <w:kern w:val="0"/>
                <w:sz w:val="21"/>
              </w:rPr>
              <w:t>2025年</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cantSplit/>
          <w:trHeight w:val="340" w:hRule="atLeast"/>
          <w:jc w:val="center"/>
        </w:trPr>
        <w:tc>
          <w:tcPr>
            <w:tcW w:w="2874" w:type="dxa"/>
            <w:vAlign w:val="center"/>
          </w:tcPr>
          <w:p>
            <w:pPr>
              <w:widowControl/>
              <w:spacing w:line="240" w:lineRule="auto"/>
              <w:ind w:firstLine="0" w:firstLineChars="0"/>
              <w:jc w:val="center"/>
              <w:rPr>
                <w:rFonts w:hint="default" w:ascii="Times New Roman" w:hAnsi="Times New Roman" w:eastAsia="宋体" w:cs="Times New Roman"/>
                <w:kern w:val="0"/>
                <w:sz w:val="21"/>
              </w:rPr>
            </w:pPr>
            <w:r>
              <w:rPr>
                <w:rFonts w:hint="default" w:ascii="Times New Roman" w:hAnsi="Times New Roman" w:eastAsia="宋体" w:cs="Times New Roman"/>
                <w:kern w:val="0"/>
                <w:sz w:val="21"/>
              </w:rPr>
              <w:t>供电可靠率（%）</w:t>
            </w:r>
          </w:p>
        </w:tc>
        <w:tc>
          <w:tcPr>
            <w:tcW w:w="1488" w:type="dxa"/>
            <w:vAlign w:val="center"/>
          </w:tcPr>
          <w:p>
            <w:pPr>
              <w:widowControl/>
              <w:spacing w:line="240" w:lineRule="auto"/>
              <w:ind w:firstLine="0" w:firstLineChars="0"/>
              <w:jc w:val="center"/>
              <w:rPr>
                <w:rFonts w:hint="default" w:ascii="Times New Roman" w:hAnsi="Times New Roman" w:eastAsia="宋体" w:cs="Times New Roman"/>
                <w:kern w:val="0"/>
                <w:sz w:val="21"/>
              </w:rPr>
            </w:pPr>
            <w:r>
              <w:rPr>
                <w:rFonts w:hint="default" w:ascii="Times New Roman" w:hAnsi="Times New Roman" w:eastAsia="宋体" w:cs="Times New Roman"/>
                <w:kern w:val="0"/>
                <w:sz w:val="21"/>
              </w:rPr>
              <w:t>99.912</w:t>
            </w:r>
          </w:p>
        </w:tc>
        <w:tc>
          <w:tcPr>
            <w:tcW w:w="1488" w:type="dxa"/>
            <w:vAlign w:val="center"/>
          </w:tcPr>
          <w:p>
            <w:pPr>
              <w:widowControl/>
              <w:spacing w:line="240" w:lineRule="auto"/>
              <w:ind w:firstLine="0" w:firstLineChars="0"/>
              <w:jc w:val="center"/>
              <w:rPr>
                <w:rFonts w:hint="default" w:ascii="Times New Roman" w:hAnsi="Times New Roman" w:eastAsia="宋体" w:cs="Times New Roman"/>
                <w:kern w:val="0"/>
                <w:sz w:val="21"/>
              </w:rPr>
            </w:pPr>
            <w:r>
              <w:rPr>
                <w:rFonts w:hint="default" w:ascii="Times New Roman" w:hAnsi="Times New Roman" w:eastAsia="宋体" w:cs="Times New Roman"/>
                <w:kern w:val="0"/>
                <w:sz w:val="21"/>
              </w:rPr>
              <w:t>99.939</w:t>
            </w:r>
          </w:p>
        </w:tc>
        <w:tc>
          <w:tcPr>
            <w:tcW w:w="1488" w:type="dxa"/>
          </w:tcPr>
          <w:p>
            <w:pPr>
              <w:widowControl/>
              <w:spacing w:line="240" w:lineRule="auto"/>
              <w:ind w:firstLine="0" w:firstLineChars="0"/>
              <w:jc w:val="center"/>
              <w:rPr>
                <w:rFonts w:hint="default" w:ascii="Times New Roman" w:hAnsi="Times New Roman" w:eastAsia="宋体" w:cs="Times New Roman"/>
                <w:kern w:val="0"/>
                <w:sz w:val="21"/>
              </w:rPr>
            </w:pPr>
            <w:r>
              <w:rPr>
                <w:rFonts w:hint="default" w:ascii="Times New Roman" w:hAnsi="Times New Roman" w:eastAsia="宋体" w:cs="Times New Roman"/>
                <w:kern w:val="0"/>
                <w:sz w:val="21"/>
              </w:rPr>
              <w:t>99.94</w:t>
            </w:r>
          </w:p>
        </w:tc>
        <w:tc>
          <w:tcPr>
            <w:tcW w:w="1480" w:type="dxa"/>
            <w:vAlign w:val="center"/>
          </w:tcPr>
          <w:p>
            <w:pPr>
              <w:widowControl/>
              <w:spacing w:line="240" w:lineRule="auto"/>
              <w:ind w:firstLine="0" w:firstLineChars="0"/>
              <w:jc w:val="center"/>
              <w:rPr>
                <w:rFonts w:hint="default" w:ascii="Times New Roman" w:hAnsi="Times New Roman" w:eastAsia="宋体" w:cs="Times New Roman"/>
                <w:kern w:val="0"/>
                <w:sz w:val="21"/>
              </w:rPr>
            </w:pPr>
            <w:r>
              <w:rPr>
                <w:rFonts w:hint="default" w:ascii="Times New Roman" w:hAnsi="Times New Roman" w:eastAsia="宋体" w:cs="Times New Roman"/>
                <w:kern w:val="0"/>
                <w:sz w:val="21"/>
              </w:rPr>
              <w:t>99.95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cantSplit/>
          <w:trHeight w:val="340" w:hRule="atLeast"/>
          <w:jc w:val="center"/>
        </w:trPr>
        <w:tc>
          <w:tcPr>
            <w:tcW w:w="2874" w:type="dxa"/>
            <w:vAlign w:val="center"/>
          </w:tcPr>
          <w:p>
            <w:pPr>
              <w:widowControl/>
              <w:spacing w:line="240" w:lineRule="auto"/>
              <w:ind w:firstLine="0" w:firstLineChars="0"/>
              <w:jc w:val="center"/>
              <w:rPr>
                <w:rFonts w:hint="default" w:ascii="Times New Roman" w:hAnsi="Times New Roman" w:eastAsia="宋体" w:cs="Times New Roman"/>
                <w:kern w:val="0"/>
                <w:sz w:val="21"/>
              </w:rPr>
            </w:pPr>
            <w:r>
              <w:rPr>
                <w:rFonts w:hint="default" w:ascii="Times New Roman" w:hAnsi="Times New Roman" w:eastAsia="宋体" w:cs="Times New Roman"/>
                <w:kern w:val="0"/>
                <w:sz w:val="21"/>
              </w:rPr>
              <w:t>户均停电时间（小时）</w:t>
            </w:r>
          </w:p>
        </w:tc>
        <w:tc>
          <w:tcPr>
            <w:tcW w:w="1488"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rPr>
            </w:pPr>
            <w:r>
              <w:rPr>
                <w:rFonts w:hint="default" w:ascii="Times New Roman" w:hAnsi="Times New Roman" w:eastAsia="宋体" w:cs="Times New Roman"/>
                <w:kern w:val="0"/>
                <w:sz w:val="21"/>
              </w:rPr>
              <w:t>7.71</w:t>
            </w:r>
          </w:p>
        </w:tc>
        <w:tc>
          <w:tcPr>
            <w:tcW w:w="1488"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rPr>
            </w:pPr>
            <w:r>
              <w:rPr>
                <w:rFonts w:hint="default" w:ascii="Times New Roman" w:hAnsi="Times New Roman" w:eastAsia="宋体" w:cs="Times New Roman"/>
                <w:kern w:val="0"/>
                <w:sz w:val="21"/>
              </w:rPr>
              <w:t>5.34</w:t>
            </w:r>
          </w:p>
        </w:tc>
        <w:tc>
          <w:tcPr>
            <w:tcW w:w="1488" w:type="dxa"/>
          </w:tcPr>
          <w:p>
            <w:pPr>
              <w:widowControl/>
              <w:spacing w:line="240" w:lineRule="auto"/>
              <w:ind w:firstLine="0" w:firstLineChars="0"/>
              <w:jc w:val="center"/>
              <w:rPr>
                <w:rFonts w:hint="default" w:ascii="Times New Roman" w:hAnsi="Times New Roman" w:eastAsia="宋体" w:cs="Times New Roman"/>
                <w:kern w:val="0"/>
                <w:sz w:val="21"/>
              </w:rPr>
            </w:pPr>
            <w:r>
              <w:rPr>
                <w:rFonts w:hint="default" w:ascii="Times New Roman" w:hAnsi="Times New Roman" w:eastAsia="宋体" w:cs="Times New Roman"/>
                <w:kern w:val="0"/>
                <w:sz w:val="21"/>
              </w:rPr>
              <w:t>5.00</w:t>
            </w:r>
          </w:p>
        </w:tc>
        <w:tc>
          <w:tcPr>
            <w:tcW w:w="1480" w:type="dxa"/>
            <w:shd w:val="clear" w:color="auto" w:fill="auto"/>
            <w:vAlign w:val="center"/>
          </w:tcPr>
          <w:p>
            <w:pPr>
              <w:widowControl/>
              <w:spacing w:line="240" w:lineRule="auto"/>
              <w:ind w:firstLine="0" w:firstLineChars="0"/>
              <w:jc w:val="center"/>
              <w:rPr>
                <w:rFonts w:hint="default" w:ascii="Times New Roman" w:hAnsi="Times New Roman" w:eastAsia="宋体" w:cs="Times New Roman"/>
                <w:kern w:val="0"/>
                <w:sz w:val="21"/>
              </w:rPr>
            </w:pPr>
            <w:r>
              <w:rPr>
                <w:rFonts w:hint="default" w:ascii="Times New Roman" w:hAnsi="Times New Roman" w:eastAsia="宋体" w:cs="Times New Roman"/>
                <w:kern w:val="0"/>
                <w:sz w:val="21"/>
              </w:rPr>
              <w:t>4.38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cantSplit/>
          <w:trHeight w:val="340" w:hRule="atLeast"/>
          <w:jc w:val="center"/>
        </w:trPr>
        <w:tc>
          <w:tcPr>
            <w:tcW w:w="2874" w:type="dxa"/>
            <w:vAlign w:val="center"/>
          </w:tcPr>
          <w:p>
            <w:pPr>
              <w:widowControl/>
              <w:spacing w:line="240" w:lineRule="auto"/>
              <w:ind w:firstLine="0" w:firstLineChars="0"/>
              <w:jc w:val="center"/>
              <w:rPr>
                <w:rFonts w:hint="default" w:ascii="Times New Roman" w:hAnsi="Times New Roman" w:eastAsia="宋体" w:cs="Times New Roman"/>
                <w:kern w:val="0"/>
                <w:sz w:val="21"/>
              </w:rPr>
            </w:pPr>
            <w:r>
              <w:rPr>
                <w:rFonts w:hint="default" w:ascii="Times New Roman" w:hAnsi="Times New Roman" w:eastAsia="宋体" w:cs="Times New Roman"/>
                <w:kern w:val="0"/>
                <w:sz w:val="21"/>
              </w:rPr>
              <w:t>综合电压合格率（%）</w:t>
            </w:r>
          </w:p>
        </w:tc>
        <w:tc>
          <w:tcPr>
            <w:tcW w:w="1488" w:type="dxa"/>
            <w:vAlign w:val="center"/>
          </w:tcPr>
          <w:p>
            <w:pPr>
              <w:widowControl/>
              <w:spacing w:line="240" w:lineRule="auto"/>
              <w:ind w:firstLine="0" w:firstLineChars="0"/>
              <w:jc w:val="center"/>
              <w:rPr>
                <w:rFonts w:hint="default" w:ascii="Times New Roman" w:hAnsi="Times New Roman" w:eastAsia="宋体" w:cs="Times New Roman"/>
                <w:kern w:val="0"/>
                <w:sz w:val="21"/>
              </w:rPr>
            </w:pPr>
            <w:r>
              <w:rPr>
                <w:rFonts w:hint="default" w:ascii="Times New Roman" w:hAnsi="Times New Roman" w:eastAsia="宋体" w:cs="Times New Roman"/>
                <w:kern w:val="0"/>
                <w:sz w:val="21"/>
              </w:rPr>
              <w:t>99.58</w:t>
            </w:r>
          </w:p>
        </w:tc>
        <w:tc>
          <w:tcPr>
            <w:tcW w:w="1488" w:type="dxa"/>
            <w:vAlign w:val="center"/>
          </w:tcPr>
          <w:p>
            <w:pPr>
              <w:widowControl/>
              <w:spacing w:line="240" w:lineRule="auto"/>
              <w:ind w:firstLine="0" w:firstLineChars="0"/>
              <w:jc w:val="center"/>
              <w:rPr>
                <w:rFonts w:hint="default" w:ascii="Times New Roman" w:hAnsi="Times New Roman" w:eastAsia="宋体" w:cs="Times New Roman"/>
                <w:kern w:val="0"/>
                <w:sz w:val="21"/>
              </w:rPr>
            </w:pPr>
            <w:r>
              <w:rPr>
                <w:rFonts w:hint="default" w:ascii="Times New Roman" w:hAnsi="Times New Roman" w:eastAsia="宋体" w:cs="Times New Roman"/>
                <w:kern w:val="0"/>
                <w:sz w:val="21"/>
              </w:rPr>
              <w:t>99.60</w:t>
            </w:r>
          </w:p>
        </w:tc>
        <w:tc>
          <w:tcPr>
            <w:tcW w:w="1488" w:type="dxa"/>
          </w:tcPr>
          <w:p>
            <w:pPr>
              <w:widowControl/>
              <w:spacing w:line="240" w:lineRule="auto"/>
              <w:ind w:firstLine="0" w:firstLineChars="0"/>
              <w:jc w:val="center"/>
              <w:rPr>
                <w:rFonts w:hint="default" w:ascii="Times New Roman" w:hAnsi="Times New Roman" w:eastAsia="宋体" w:cs="Times New Roman"/>
                <w:kern w:val="0"/>
                <w:sz w:val="21"/>
              </w:rPr>
            </w:pPr>
            <w:r>
              <w:rPr>
                <w:rFonts w:hint="default" w:ascii="Times New Roman" w:hAnsi="Times New Roman" w:eastAsia="宋体" w:cs="Times New Roman"/>
                <w:kern w:val="0"/>
                <w:sz w:val="21"/>
              </w:rPr>
              <w:t>99.65</w:t>
            </w:r>
          </w:p>
        </w:tc>
        <w:tc>
          <w:tcPr>
            <w:tcW w:w="1480" w:type="dxa"/>
            <w:vAlign w:val="center"/>
          </w:tcPr>
          <w:p>
            <w:pPr>
              <w:widowControl/>
              <w:spacing w:line="240" w:lineRule="auto"/>
              <w:ind w:firstLine="0" w:firstLineChars="0"/>
              <w:jc w:val="center"/>
              <w:rPr>
                <w:rFonts w:hint="default" w:ascii="Times New Roman" w:hAnsi="Times New Roman" w:eastAsia="宋体" w:cs="Times New Roman"/>
                <w:kern w:val="0"/>
                <w:sz w:val="21"/>
              </w:rPr>
            </w:pPr>
            <w:r>
              <w:rPr>
                <w:rFonts w:hint="default" w:ascii="Times New Roman" w:hAnsi="Times New Roman" w:eastAsia="宋体" w:cs="Times New Roman"/>
                <w:kern w:val="0"/>
                <w:sz w:val="21"/>
              </w:rPr>
              <w:t>99.70</w:t>
            </w:r>
          </w:p>
        </w:tc>
      </w:tr>
    </w:tbl>
    <w:p>
      <w:pPr>
        <w:pageBreakBefore w:val="0"/>
        <w:widowControl w:val="0"/>
        <w:kinsoku/>
        <w:wordWrap/>
        <w:overflowPunct/>
        <w:topLinePunct w:val="0"/>
        <w:autoSpaceDE/>
        <w:autoSpaceDN/>
        <w:bidi w:val="0"/>
        <w:spacing w:line="579" w:lineRule="exact"/>
        <w:ind w:firstLine="560" w:firstLineChars="0"/>
        <w:textAlignment w:val="auto"/>
        <w:rPr>
          <w:rFonts w:hint="default" w:ascii="Times New Roman" w:hAnsi="Times New Roman" w:eastAsia="仿宋" w:cs="Times New Roman"/>
          <w:b/>
          <w:sz w:val="21"/>
        </w:rPr>
      </w:pPr>
    </w:p>
    <w:p>
      <w:pPr>
        <w:pStyle w:val="43"/>
        <w:pageBreakBefore w:val="0"/>
        <w:widowControl w:val="0"/>
        <w:numPr>
          <w:ilvl w:val="0"/>
          <w:numId w:val="0"/>
        </w:numPr>
        <w:kinsoku/>
        <w:wordWrap/>
        <w:overflowPunct/>
        <w:topLinePunct w:val="0"/>
        <w:autoSpaceDE/>
        <w:autoSpaceDN/>
        <w:bidi w:val="0"/>
        <w:adjustRightInd w:val="0"/>
        <w:snapToGrid w:val="0"/>
        <w:spacing w:before="381" w:beforeLines="100" w:line="579" w:lineRule="exact"/>
        <w:textAlignment w:val="auto"/>
        <w:rPr>
          <w:rFonts w:hint="default" w:ascii="Times New Roman" w:hAnsi="Times New Roman" w:eastAsia="仿宋" w:cs="Times New Roman"/>
        </w:rPr>
      </w:pPr>
      <w:bookmarkStart w:id="169" w:name="_Toc495537963"/>
      <w:bookmarkEnd w:id="169"/>
      <w:bookmarkStart w:id="170" w:name="_Toc493630118"/>
      <w:bookmarkEnd w:id="170"/>
      <w:bookmarkStart w:id="171" w:name="_Toc495537839"/>
      <w:bookmarkEnd w:id="171"/>
      <w:bookmarkStart w:id="172" w:name="_Toc495540766"/>
      <w:bookmarkEnd w:id="172"/>
      <w:bookmarkStart w:id="173" w:name="_Toc495541970"/>
      <w:bookmarkEnd w:id="173"/>
      <w:bookmarkStart w:id="174" w:name="_Toc495541165"/>
      <w:bookmarkEnd w:id="174"/>
      <w:bookmarkStart w:id="175" w:name="_Toc495541366"/>
      <w:bookmarkEnd w:id="175"/>
      <w:bookmarkStart w:id="176" w:name="_Toc495538353"/>
      <w:bookmarkEnd w:id="176"/>
      <w:bookmarkStart w:id="177" w:name="_Toc495538483"/>
      <w:bookmarkEnd w:id="177"/>
      <w:bookmarkStart w:id="178" w:name="_Toc495540499"/>
      <w:bookmarkEnd w:id="178"/>
      <w:bookmarkStart w:id="179" w:name="_Toc495561251"/>
      <w:bookmarkEnd w:id="179"/>
      <w:bookmarkStart w:id="180" w:name="_Toc495540632"/>
      <w:bookmarkEnd w:id="180"/>
      <w:bookmarkStart w:id="181" w:name="_Toc495538093"/>
      <w:bookmarkEnd w:id="181"/>
      <w:bookmarkStart w:id="182" w:name="_Toc494357557"/>
      <w:bookmarkEnd w:id="182"/>
      <w:bookmarkStart w:id="183" w:name="_Toc495542217"/>
      <w:bookmarkEnd w:id="183"/>
      <w:bookmarkStart w:id="184" w:name="_Toc493630245"/>
      <w:bookmarkEnd w:id="184"/>
      <w:bookmarkStart w:id="185" w:name="_Toc23253652"/>
      <w:bookmarkStart w:id="186" w:name="_Toc377557245"/>
      <w:bookmarkStart w:id="187" w:name="_Toc464203901"/>
      <w:r>
        <w:rPr>
          <w:rFonts w:hint="eastAsia" w:ascii="Times New Roman" w:hAnsi="Times New Roman" w:cs="Times New Roman"/>
          <w:b w:val="0"/>
          <w:sz w:val="32"/>
          <w:szCs w:val="32"/>
          <w:lang w:val="en-US" w:eastAsia="zh-CN"/>
        </w:rPr>
        <w:t xml:space="preserve">    七、</w:t>
      </w:r>
      <w:r>
        <w:rPr>
          <w:rFonts w:hint="default" w:ascii="Times New Roman" w:hAnsi="Times New Roman" w:cs="Times New Roman"/>
          <w:b w:val="0"/>
          <w:sz w:val="32"/>
          <w:szCs w:val="32"/>
        </w:rPr>
        <w:t>区域内外网架衔接规划</w:t>
      </w:r>
      <w:bookmarkEnd w:id="185"/>
    </w:p>
    <w:p>
      <w:pPr>
        <w:pStyle w:val="44"/>
        <w:pageBreakBefore w:val="0"/>
        <w:widowControl w:val="0"/>
        <w:kinsoku/>
        <w:wordWrap/>
        <w:overflowPunct/>
        <w:topLinePunct w:val="0"/>
        <w:autoSpaceDE/>
        <w:autoSpaceDN/>
        <w:bidi w:val="0"/>
        <w:adjustRightInd w:val="0"/>
        <w:snapToGrid w:val="0"/>
        <w:spacing w:line="579" w:lineRule="exact"/>
        <w:ind w:firstLine="640" w:firstLineChars="200"/>
        <w:textAlignment w:val="auto"/>
        <w:rPr>
          <w:rFonts w:hint="default" w:ascii="Times New Roman" w:hAnsi="Times New Roman" w:eastAsia="楷体" w:cs="Times New Roman"/>
          <w:b w:val="0"/>
        </w:rPr>
      </w:pPr>
      <w:bookmarkStart w:id="188" w:name="_Toc493630265"/>
      <w:bookmarkEnd w:id="188"/>
      <w:bookmarkStart w:id="189" w:name="_Toc495538373"/>
      <w:bookmarkEnd w:id="189"/>
      <w:bookmarkStart w:id="190" w:name="_Toc495538503"/>
      <w:bookmarkEnd w:id="190"/>
      <w:bookmarkStart w:id="191" w:name="_Toc494357577"/>
      <w:bookmarkEnd w:id="191"/>
      <w:bookmarkStart w:id="192" w:name="_Toc495537859"/>
      <w:bookmarkEnd w:id="192"/>
      <w:bookmarkStart w:id="193" w:name="_Toc495542237"/>
      <w:bookmarkEnd w:id="193"/>
      <w:bookmarkStart w:id="194" w:name="_Toc495561271"/>
      <w:bookmarkEnd w:id="194"/>
      <w:bookmarkStart w:id="195" w:name="_Toc495541386"/>
      <w:bookmarkEnd w:id="195"/>
      <w:bookmarkStart w:id="196" w:name="_Toc495538113"/>
      <w:bookmarkEnd w:id="196"/>
      <w:bookmarkStart w:id="197" w:name="_Toc495541990"/>
      <w:bookmarkEnd w:id="197"/>
      <w:bookmarkStart w:id="198" w:name="_Toc495537983"/>
      <w:bookmarkEnd w:id="198"/>
      <w:bookmarkStart w:id="199" w:name="_Toc495540652"/>
      <w:bookmarkEnd w:id="199"/>
      <w:bookmarkStart w:id="200" w:name="_Toc493630138"/>
      <w:bookmarkEnd w:id="200"/>
      <w:bookmarkStart w:id="201" w:name="_Toc495540519"/>
      <w:bookmarkEnd w:id="201"/>
      <w:bookmarkStart w:id="202" w:name="_Toc495540786"/>
      <w:bookmarkEnd w:id="202"/>
      <w:bookmarkStart w:id="203" w:name="_Toc495541185"/>
      <w:bookmarkEnd w:id="203"/>
      <w:bookmarkStart w:id="204" w:name="_Toc23253653"/>
      <w:r>
        <w:rPr>
          <w:rFonts w:hint="default" w:ascii="Times New Roman" w:hAnsi="Times New Roman" w:eastAsia="楷体" w:cs="Times New Roman"/>
          <w:b w:val="0"/>
        </w:rPr>
        <w:t>（一）现状年区域内外网架衔接规划</w:t>
      </w:r>
      <w:bookmarkEnd w:id="204"/>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现状年，海盐秦山增量配电试点区内及周边涉及10（20）千伏线路9回，分别为20千伏秦工D140线、夏家D151线、落塘D150线、建丰D143线以及10千伏太平Y274线、盐中Y289线、城塘Y184线、联星Y134线和富万Y291线，同时存在区域内外线路交叉跨供的情况。现状年共计设置计量点13个，具体区域网架及计量点设置情况如下所示。</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现状年为试点区供电的变电站有4座，分别为110千伏富亭变、110千伏通元变、35千伏城南变和110千伏万兴变。现状年试点区存在10千伏、20千伏混合供电问题。区域内主要为20千伏负荷，由万兴变主供；仅存在少量10千伏负荷，由通元变、富亭变、城南变的部分10千伏分支供电。</w:t>
      </w:r>
    </w:p>
    <w:p>
      <w:pPr>
        <w:pStyle w:val="44"/>
        <w:keepNext w:val="0"/>
        <w:keepLines w:val="0"/>
        <w:pageBreakBefore w:val="0"/>
        <w:widowControl w:val="0"/>
        <w:kinsoku/>
        <w:wordWrap/>
        <w:overflowPunct/>
        <w:topLinePunct w:val="0"/>
        <w:autoSpaceDE/>
        <w:autoSpaceDN/>
        <w:bidi w:val="0"/>
        <w:adjustRightInd w:val="0"/>
        <w:snapToGrid w:val="0"/>
        <w:spacing w:line="579" w:lineRule="exact"/>
        <w:ind w:firstLine="640" w:firstLineChars="200"/>
        <w:textAlignment w:val="auto"/>
        <w:rPr>
          <w:rFonts w:hint="default" w:ascii="Times New Roman" w:hAnsi="Times New Roman" w:eastAsia="楷体" w:cs="Times New Roman"/>
          <w:b w:val="0"/>
        </w:rPr>
      </w:pPr>
      <w:bookmarkStart w:id="205" w:name="_Toc23253654"/>
      <w:r>
        <w:rPr>
          <w:rFonts w:hint="default" w:ascii="Times New Roman" w:hAnsi="Times New Roman" w:eastAsia="楷体" w:cs="Times New Roman"/>
          <w:b w:val="0"/>
        </w:rPr>
        <w:t>（二）2020年区域内外网架衔接规划</w:t>
      </w:r>
      <w:bookmarkEnd w:id="205"/>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2020年，海盐秦山增量配电试点区由110千伏万兴变的4回线路供电，分别为20千伏秦工D140线、夏家D151线、万兴2线、建丰D143线，联络方式为站内自环，试点区域网架独立清晰。线路供电范围经过优化后，供试点区域内线路不再为区域外负荷供电，区域内10千伏负荷由20千伏线路经隔离变降压后供电。2020年共计设置计量点4个，具体区域网架及计量点设置情况如下所示。</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2020年，解决试点区存在的10千伏、20千伏混合供电问题。区域内仅由20千伏线路供电，试点区内原有的10千伏负荷通过隔离变的方式接入20千伏线路供电。</w:t>
      </w:r>
    </w:p>
    <w:p>
      <w:pPr>
        <w:pStyle w:val="44"/>
        <w:keepNext w:val="0"/>
        <w:keepLines w:val="0"/>
        <w:pageBreakBefore w:val="0"/>
        <w:widowControl w:val="0"/>
        <w:kinsoku/>
        <w:wordWrap/>
        <w:overflowPunct/>
        <w:topLinePunct w:val="0"/>
        <w:autoSpaceDE/>
        <w:autoSpaceDN/>
        <w:bidi w:val="0"/>
        <w:adjustRightInd w:val="0"/>
        <w:snapToGrid w:val="0"/>
        <w:spacing w:line="579" w:lineRule="exact"/>
        <w:ind w:firstLine="640" w:firstLineChars="200"/>
        <w:textAlignment w:val="auto"/>
        <w:rPr>
          <w:rFonts w:hint="default" w:ascii="Times New Roman" w:hAnsi="Times New Roman" w:eastAsia="楷体" w:cs="Times New Roman"/>
          <w:b w:val="0"/>
        </w:rPr>
      </w:pPr>
      <w:bookmarkStart w:id="206" w:name="_Toc23253655"/>
      <w:r>
        <w:rPr>
          <w:rFonts w:hint="default" w:ascii="Times New Roman" w:hAnsi="Times New Roman" w:eastAsia="楷体" w:cs="Times New Roman"/>
          <w:b w:val="0"/>
        </w:rPr>
        <w:t>（三）2025年区域内外网架衔接规划</w:t>
      </w:r>
      <w:bookmarkEnd w:id="206"/>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2025年，随着海盐秦山增量配电试点区的负荷逐步发展，区域内供电线路增加为6回，分别为110千伏万兴变的20千伏秦工D140线、夏家D151线、万兴2线、建丰D143线、万兴4线以及万兴5线，联络方式为站内自环，试点区域网架独立清晰。线路供电范围经过优化后，供试点区域内线路不再为区域外负荷供电，2025年共计设置计量点6个，具体区域网架及计量点设置情况如下所示。</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2025年，受上级电源布点限制，区域内供电线路仍为站内联络，增加为6回，分别为110千伏万兴变的20千伏秦工D140线、夏家D151线、万兴2线、建丰D143线，10千伏万兴4线、万兴5线。</w:t>
      </w:r>
    </w:p>
    <w:p>
      <w:pPr>
        <w:pStyle w:val="44"/>
        <w:keepNext w:val="0"/>
        <w:keepLines w:val="0"/>
        <w:pageBreakBefore w:val="0"/>
        <w:widowControl w:val="0"/>
        <w:kinsoku/>
        <w:wordWrap/>
        <w:overflowPunct/>
        <w:topLinePunct w:val="0"/>
        <w:autoSpaceDE/>
        <w:autoSpaceDN/>
        <w:bidi w:val="0"/>
        <w:adjustRightInd w:val="0"/>
        <w:snapToGrid w:val="0"/>
        <w:spacing w:line="579" w:lineRule="exact"/>
        <w:ind w:firstLine="640" w:firstLineChars="200"/>
        <w:textAlignment w:val="auto"/>
        <w:rPr>
          <w:rFonts w:hint="default" w:ascii="Times New Roman" w:hAnsi="Times New Roman" w:eastAsia="楷体" w:cs="Times New Roman"/>
          <w:b w:val="0"/>
        </w:rPr>
      </w:pPr>
      <w:bookmarkStart w:id="207" w:name="_Toc23253656"/>
      <w:r>
        <w:rPr>
          <w:rFonts w:hint="default" w:ascii="Times New Roman" w:hAnsi="Times New Roman" w:eastAsia="楷体" w:cs="Times New Roman"/>
          <w:b w:val="0"/>
        </w:rPr>
        <w:t>（四）远景年区域内外网架衔接规划</w:t>
      </w:r>
      <w:bookmarkEnd w:id="207"/>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远景年，110千伏首荡变投运后，规划新建2回10千伏线路向试点区域供电，与万兴4线、5线形成2组单联络结构。</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为提高供电可靠性，远期考虑由220千伏立峰变新出2回20千伏线路，与试点区域内20千伏线路形成2组两联络接线。</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远景年，区域内有10条线路供电，20千伏线路6条，组成2组站间两联络结构，10千伏线路4条，组成2组站间单联络结构。</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p>
    <w:p>
      <w:pPr>
        <w:pStyle w:val="43"/>
        <w:pageBreakBefore w:val="0"/>
        <w:widowControl w:val="0"/>
        <w:numPr>
          <w:ilvl w:val="0"/>
          <w:numId w:val="0"/>
        </w:numPr>
        <w:kinsoku/>
        <w:wordWrap/>
        <w:overflowPunct/>
        <w:topLinePunct w:val="0"/>
        <w:autoSpaceDE/>
        <w:autoSpaceDN/>
        <w:bidi w:val="0"/>
        <w:adjustRightInd w:val="0"/>
        <w:snapToGrid w:val="0"/>
        <w:spacing w:before="0" w:line="579" w:lineRule="exact"/>
        <w:textAlignment w:val="auto"/>
        <w:rPr>
          <w:rFonts w:hint="default" w:ascii="Times New Roman" w:hAnsi="Times New Roman" w:cs="Times New Roman"/>
          <w:b w:val="0"/>
          <w:sz w:val="32"/>
          <w:szCs w:val="32"/>
        </w:rPr>
      </w:pPr>
      <w:bookmarkStart w:id="208" w:name="_Toc23253661"/>
      <w:r>
        <w:rPr>
          <w:rFonts w:hint="eastAsia" w:ascii="Times New Roman" w:hAnsi="Times New Roman" w:cs="Times New Roman"/>
          <w:b w:val="0"/>
          <w:sz w:val="32"/>
          <w:szCs w:val="32"/>
          <w:lang w:val="en-US" w:eastAsia="zh-CN"/>
        </w:rPr>
        <w:t xml:space="preserve">    八、</w:t>
      </w:r>
      <w:r>
        <w:rPr>
          <w:rFonts w:hint="default" w:ascii="Times New Roman" w:hAnsi="Times New Roman" w:cs="Times New Roman"/>
          <w:b w:val="0"/>
          <w:sz w:val="32"/>
          <w:szCs w:val="32"/>
        </w:rPr>
        <w:t>运行管理规划</w:t>
      </w:r>
      <w:bookmarkEnd w:id="208"/>
    </w:p>
    <w:p>
      <w:pPr>
        <w:pStyle w:val="44"/>
        <w:pageBreakBefore w:val="0"/>
        <w:widowControl w:val="0"/>
        <w:kinsoku/>
        <w:wordWrap/>
        <w:overflowPunct/>
        <w:topLinePunct w:val="0"/>
        <w:autoSpaceDE/>
        <w:autoSpaceDN/>
        <w:bidi w:val="0"/>
        <w:adjustRightInd w:val="0"/>
        <w:snapToGrid w:val="0"/>
        <w:spacing w:before="0" w:line="579" w:lineRule="exact"/>
        <w:ind w:firstLine="640" w:firstLineChars="200"/>
        <w:textAlignment w:val="auto"/>
        <w:rPr>
          <w:rFonts w:hint="default" w:ascii="Times New Roman" w:hAnsi="Times New Roman" w:eastAsia="楷体" w:cs="Times New Roman"/>
          <w:b w:val="0"/>
        </w:rPr>
      </w:pPr>
      <w:bookmarkStart w:id="209" w:name="_Toc23253662"/>
      <w:r>
        <w:rPr>
          <w:rFonts w:hint="default" w:ascii="Times New Roman" w:hAnsi="Times New Roman" w:eastAsia="楷体" w:cs="Times New Roman"/>
          <w:b w:val="0"/>
        </w:rPr>
        <w:t>（一）配电自动化建设</w:t>
      </w:r>
      <w:bookmarkEnd w:id="209"/>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1．建设原则</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1）配电自动化规划设计应符合现行行业标准《配电自动化技术导则》（DL/T 1406）、《配电自动化规划设计导则》（DL/T 5709）的相关规定。</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2）配电自动化应通过对配电网的监测和控制，支撑配电网调度运行和抢修指挥等业务需求，并为配电网规划设计工作提供基础数据信息。</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3）配电自动化建设应与配电网一次网架相衔接。</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4）应根据各区域配电网规模和应用需求，合理确定配电自动化系统主站的规模与功能。对关键性节点，如主干线联络开关、必要的分段开关，进出线较多的开关站、环网单元和配电室，配置“三遥”（遥测、遥信、遥控）配电自动化终端；对一般性节点，如分支开关、无联络的末端站室，配置“两遥”（遥测、遥信）配电自动化终端，用户进线处配置分界开关或具备遥测、遥信功能的故障指示器。</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5）配电自动化功能应适应分布式电源以及电动汽车、储能装置等新型负荷接入后的运行及业务需求。</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6）应根据可靠性需求、网架结构和设备状况，合理选用配电设备信息采集形式及终端类型。</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2．建设方案</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试点区域内供电线路以架空线路为主，“十三五”期间暂不新建配电自动化系统主站，推荐采用智能开关，确保2020年供电可靠性指标达到目标要求。</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（1）为贯彻设备全寿命周期理念，“十三五”期间新建或改造线路工程同步对线路开关进行加装或更换，新装开关全部具备“二遥”功能，与“十三五”后试点区域配电自动化建设充分衔接。</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（2）“十三五”期间深入推进配电自动化系统的实用化应用，加强配电自动化系统与其他信息化系统的数据共享。试点区配电自动化典型建设方案如下图所示。</w:t>
      </w:r>
    </w:p>
    <w:p>
      <w:pPr>
        <w:pStyle w:val="107"/>
        <w:rPr>
          <w:rFonts w:hint="default" w:ascii="Times New Roman" w:hAnsi="Times New Roman" w:cs="Times New Roman"/>
        </w:rPr>
      </w:pPr>
      <w:r>
        <w:rPr>
          <w:rFonts w:hint="default" w:ascii="Times New Roman" w:hAnsi="Times New Roman" w:cs="Times New Roman"/>
        </w:rPr>
        <w:drawing>
          <wp:inline distT="0" distB="0" distL="114300" distR="114300">
            <wp:extent cx="5305425" cy="1162050"/>
            <wp:effectExtent l="0" t="0" r="9525" b="0"/>
            <wp:docPr id="39" name="图片 40" descr="技术路线 第二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0" descr="技术路线 第二版"/>
                    <pic:cNvPicPr>
                      <a:picLocks noChangeAspect="1"/>
                    </pic:cNvPicPr>
                  </pic:nvPicPr>
                  <pic:blipFill>
                    <a:blip r:embed="rId31"/>
                    <a:srcRect l="17030" t="50598" r="16116" b="28462"/>
                    <a:stretch>
                      <a:fillRect/>
                    </a:stretch>
                  </pic:blipFill>
                  <pic:spPr>
                    <a:xfrm>
                      <a:off x="0" y="0"/>
                      <a:ext cx="5305425" cy="1162050"/>
                    </a:xfrm>
                    <a:prstGeom prst="rect">
                      <a:avLst/>
                    </a:prstGeom>
                    <a:noFill/>
                    <a:ln>
                      <a:noFill/>
                    </a:ln>
                  </pic:spPr>
                </pic:pic>
              </a:graphicData>
            </a:graphic>
          </wp:inline>
        </w:drawing>
      </w:r>
    </w:p>
    <w:p>
      <w:pPr>
        <w:pStyle w:val="91"/>
        <w:adjustRightInd w:val="0"/>
        <w:snapToGrid w:val="0"/>
        <w:spacing w:before="381" w:beforeLines="100" w:after="381" w:afterLines="100"/>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图</w:t>
      </w:r>
      <w:r>
        <w:rPr>
          <w:rFonts w:hint="eastAsia" w:eastAsia="宋体" w:cs="Times New Roman"/>
          <w:b w:val="0"/>
          <w:sz w:val="28"/>
          <w:szCs w:val="28"/>
          <w:lang w:val="en-US" w:eastAsia="zh-CN"/>
        </w:rPr>
        <w:t>8</w:t>
      </w:r>
      <w:r>
        <w:rPr>
          <w:rFonts w:hint="default" w:ascii="Times New Roman" w:hAnsi="Times New Roman" w:eastAsia="宋体" w:cs="Times New Roman"/>
          <w:b w:val="0"/>
          <w:sz w:val="28"/>
          <w:szCs w:val="28"/>
          <w:lang w:eastAsia="zh-CN"/>
        </w:rPr>
        <w:t>-1 试点区配电自动化典型方案示意图</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3．建设投资</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试点区域规划期内暂不新建配电自动化系统主站，因此配电自动化部分建设投资主要为智能开关投资。</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至2025年，配电自动化建设投资共55万元，自动化建设与配电网一次建设同步实施，其</w:t>
      </w:r>
      <w:bookmarkStart w:id="210" w:name="_Hlk23175081"/>
      <w:r>
        <w:rPr>
          <w:rFonts w:hint="default" w:ascii="Times New Roman" w:hAnsi="Times New Roman" w:cs="Times New Roman"/>
          <w:color w:val="000000"/>
          <w:kern w:val="0"/>
          <w:sz w:val="32"/>
          <w:szCs w:val="32"/>
        </w:rPr>
        <w:t>工程量及投资已列入配网项目一次建设投资需求当中</w:t>
      </w:r>
      <w:bookmarkEnd w:id="210"/>
      <w:r>
        <w:rPr>
          <w:rFonts w:hint="default" w:ascii="Times New Roman" w:hAnsi="Times New Roman" w:cs="Times New Roman"/>
          <w:color w:val="000000"/>
          <w:kern w:val="0"/>
          <w:sz w:val="32"/>
          <w:szCs w:val="32"/>
        </w:rPr>
        <w:t>，如表6-5所示。</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4．建设成效</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到2025年，试点区配网自动化能有效支撑电网运行管理要求。</w:t>
      </w:r>
    </w:p>
    <w:p>
      <w:pPr>
        <w:pStyle w:val="44"/>
        <w:keepNext w:val="0"/>
        <w:keepLines w:val="0"/>
        <w:pageBreakBefore w:val="0"/>
        <w:widowControl w:val="0"/>
        <w:kinsoku/>
        <w:wordWrap/>
        <w:overflowPunct/>
        <w:topLinePunct w:val="0"/>
        <w:autoSpaceDE/>
        <w:autoSpaceDN/>
        <w:bidi w:val="0"/>
        <w:adjustRightInd w:val="0"/>
        <w:snapToGrid w:val="0"/>
        <w:spacing w:line="579" w:lineRule="exact"/>
        <w:ind w:firstLine="640" w:firstLineChars="200"/>
        <w:textAlignment w:val="auto"/>
        <w:rPr>
          <w:rFonts w:hint="default" w:ascii="Times New Roman" w:hAnsi="Times New Roman" w:eastAsia="楷体" w:cs="Times New Roman"/>
          <w:b w:val="0"/>
        </w:rPr>
      </w:pPr>
      <w:bookmarkStart w:id="211" w:name="_Toc23253663"/>
      <w:r>
        <w:rPr>
          <w:rFonts w:hint="default" w:ascii="Times New Roman" w:hAnsi="Times New Roman" w:eastAsia="楷体" w:cs="Times New Roman"/>
          <w:b w:val="0"/>
        </w:rPr>
        <w:t>（二）调度自动化建设</w:t>
      </w:r>
      <w:bookmarkEnd w:id="211"/>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1．建设原则</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1）应结合配电网及配电自动化发展水平合理选择调度控制功能的实现方式。规模较小、不具备配电自动化主站的地区，配调功能可嵌入地区电网调度控制系统。</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2）调度控制功能至少应包括SCADA、图库电子化、关键节点数据采集、配电网故障抢修指挥等功能，并实现与电网其他平台数据共享。</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3）110千伏/35千伏场站应至少配置1套调度数据网设备，接入所属地调接入网。</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4）厂站端自动化系统的硬件配置和功能配置应全面支撑电网的调控运行，满足调度对站内数据、模型和图形的应用需求。</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5）系统建设安全防护的总体原则为“安全分区、网络专用、横向隔离、纵向认证”，保证电力生产控制系统及重要数据的安全。</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2．建设方案</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试点区调度自动化工程应以当前成熟的自动化数据采集、控制和无源光网络（EPON）技术作为支撑，选择“主站+终端”的两层体系结构，实现配电网运行监视和控制，并通过信息交互总线实现与EMS、GIS、用电信息采集系统的交互应用。</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3．建设成效</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具备电网监测和电力系统运行状态诊断等要求，满足电网运行中的异常和突发故障协调控制，实现调度的智能化管理。</w:t>
      </w:r>
    </w:p>
    <w:p>
      <w:pPr>
        <w:pStyle w:val="44"/>
        <w:keepNext w:val="0"/>
        <w:keepLines w:val="0"/>
        <w:pageBreakBefore w:val="0"/>
        <w:widowControl w:val="0"/>
        <w:kinsoku/>
        <w:wordWrap/>
        <w:overflowPunct/>
        <w:topLinePunct w:val="0"/>
        <w:autoSpaceDE/>
        <w:autoSpaceDN/>
        <w:bidi w:val="0"/>
        <w:adjustRightInd w:val="0"/>
        <w:snapToGrid w:val="0"/>
        <w:spacing w:line="579" w:lineRule="exact"/>
        <w:ind w:firstLine="643" w:firstLineChars="200"/>
        <w:textAlignment w:val="auto"/>
        <w:rPr>
          <w:rFonts w:hint="default" w:ascii="Times New Roman" w:hAnsi="Times New Roman" w:eastAsia="楷体" w:cs="Times New Roman"/>
          <w:b w:val="0"/>
        </w:rPr>
      </w:pPr>
      <w:bookmarkStart w:id="212" w:name="_Toc23253664"/>
      <w:bookmarkStart w:id="213" w:name="_Toc495541403"/>
      <w:bookmarkStart w:id="214" w:name="_Toc494357585"/>
      <w:r>
        <w:rPr>
          <w:rFonts w:hint="default" w:ascii="Times New Roman" w:hAnsi="Times New Roman" w:cs="Times New Roman"/>
        </w:rPr>
        <w:t>（三）系统通信建设</w:t>
      </w:r>
      <w:bookmarkEnd w:id="212"/>
      <w:bookmarkEnd w:id="213"/>
      <w:bookmarkEnd w:id="214"/>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1．建设原则</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1）试点区采用的通信技术应与当地配电网的发展规划相适应，应与配电网一次网架同步规划、同步建设，或预留相应位置和管道，满足配电自动化中、长期建设和业务发展需求，并做好适度超前。</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2）配电网应统筹通信资源，充分满足配电自动化、用电信息采集系统、分布式电源、电动汽车充换电站及储能装置站点的通信需求。</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2．建设方案</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试点区域处于城镇区块，110千伏、35千伏变电站采用光纤通信，20（10）千伏配网主要采用无线公网通信，也可以结合区域配电自动化实施需求，采用多元组合通信方式，确保经济技术综合最优。</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3．建设成效</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到2025年，试点区域配电通信满足电网运营要求。实现区域内用电信息采集系统的“全覆盖、全采集”，通过信息交互实现供电可靠性和电压合格率统计到户。</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p>
    <w:p>
      <w:pPr>
        <w:ind w:firstLine="560"/>
        <w:jc w:val="center"/>
        <w:rPr>
          <w:rFonts w:hint="default" w:ascii="Times New Roman" w:hAnsi="Times New Roman" w:eastAsia="仿宋" w:cs="Times New Roman"/>
          <w:lang w:val="zh-CN"/>
        </w:rPr>
      </w:pPr>
      <w:r>
        <w:rPr>
          <w:rFonts w:hint="default" w:ascii="Times New Roman" w:hAnsi="Times New Roman" w:eastAsia="仿宋" w:cs="Times New Roman"/>
        </w:rPr>
        <w:drawing>
          <wp:inline distT="0" distB="0" distL="114300" distR="114300">
            <wp:extent cx="3952875" cy="2409825"/>
            <wp:effectExtent l="0" t="0" r="9525" b="952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32"/>
                    <a:stretch>
                      <a:fillRect/>
                    </a:stretch>
                  </pic:blipFill>
                  <pic:spPr>
                    <a:xfrm>
                      <a:off x="0" y="0"/>
                      <a:ext cx="3952875" cy="2409825"/>
                    </a:xfrm>
                    <a:prstGeom prst="rect">
                      <a:avLst/>
                    </a:prstGeom>
                    <a:noFill/>
                    <a:ln>
                      <a:noFill/>
                    </a:ln>
                  </pic:spPr>
                </pic:pic>
              </a:graphicData>
            </a:graphic>
          </wp:inline>
        </w:drawing>
      </w:r>
    </w:p>
    <w:p>
      <w:pPr>
        <w:pStyle w:val="91"/>
        <w:adjustRightInd w:val="0"/>
        <w:snapToGrid w:val="0"/>
        <w:spacing w:before="381" w:beforeLines="100" w:after="381" w:afterLines="100"/>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图</w:t>
      </w:r>
      <w:r>
        <w:rPr>
          <w:rFonts w:hint="eastAsia" w:eastAsia="宋体" w:cs="Times New Roman"/>
          <w:b w:val="0"/>
          <w:sz w:val="28"/>
          <w:szCs w:val="28"/>
          <w:lang w:val="en-US" w:eastAsia="zh-CN"/>
        </w:rPr>
        <w:t>8</w:t>
      </w:r>
      <w:r>
        <w:rPr>
          <w:rFonts w:hint="default" w:ascii="Times New Roman" w:hAnsi="Times New Roman" w:eastAsia="宋体" w:cs="Times New Roman"/>
          <w:b w:val="0"/>
          <w:sz w:val="28"/>
          <w:szCs w:val="28"/>
          <w:lang w:eastAsia="zh-CN"/>
        </w:rPr>
        <w:t>-2 无线公网通信解决方案</w:t>
      </w:r>
    </w:p>
    <w:bookmarkEnd w:id="186"/>
    <w:bookmarkEnd w:id="187"/>
    <w:p>
      <w:pPr>
        <w:pStyle w:val="43"/>
        <w:pageBreakBefore w:val="0"/>
        <w:widowControl w:val="0"/>
        <w:numPr>
          <w:ilvl w:val="0"/>
          <w:numId w:val="0"/>
        </w:numPr>
        <w:kinsoku/>
        <w:wordWrap/>
        <w:overflowPunct/>
        <w:topLinePunct w:val="0"/>
        <w:autoSpaceDE/>
        <w:autoSpaceDN/>
        <w:bidi w:val="0"/>
        <w:adjustRightInd w:val="0"/>
        <w:snapToGrid w:val="0"/>
        <w:spacing w:before="0" w:after="0" w:line="579" w:lineRule="exact"/>
        <w:textAlignment w:val="auto"/>
        <w:rPr>
          <w:rFonts w:hint="default" w:ascii="Times New Roman" w:hAnsi="Times New Roman" w:cs="Times New Roman"/>
          <w:b w:val="0"/>
          <w:sz w:val="32"/>
          <w:szCs w:val="32"/>
        </w:rPr>
      </w:pPr>
      <w:bookmarkStart w:id="215" w:name="_Toc23253665"/>
      <w:r>
        <w:rPr>
          <w:rFonts w:hint="eastAsia" w:ascii="Times New Roman" w:hAnsi="Times New Roman" w:cs="Times New Roman"/>
          <w:b w:val="0"/>
          <w:sz w:val="32"/>
          <w:szCs w:val="32"/>
          <w:lang w:val="en-US" w:eastAsia="zh-CN"/>
        </w:rPr>
        <w:t xml:space="preserve">    九、</w:t>
      </w:r>
      <w:r>
        <w:rPr>
          <w:rFonts w:hint="default" w:ascii="Times New Roman" w:hAnsi="Times New Roman" w:cs="Times New Roman"/>
          <w:b w:val="0"/>
          <w:sz w:val="32"/>
          <w:szCs w:val="32"/>
        </w:rPr>
        <w:t>电能质量规划</w:t>
      </w:r>
      <w:bookmarkEnd w:id="215"/>
    </w:p>
    <w:p>
      <w:pPr>
        <w:pStyle w:val="44"/>
        <w:pageBreakBefore w:val="0"/>
        <w:widowControl w:val="0"/>
        <w:kinsoku/>
        <w:wordWrap/>
        <w:overflowPunct/>
        <w:topLinePunct w:val="0"/>
        <w:autoSpaceDE/>
        <w:autoSpaceDN/>
        <w:bidi w:val="0"/>
        <w:adjustRightInd w:val="0"/>
        <w:snapToGrid w:val="0"/>
        <w:spacing w:before="0" w:after="0" w:line="579" w:lineRule="exact"/>
        <w:ind w:firstLine="640" w:firstLineChars="200"/>
        <w:textAlignment w:val="auto"/>
        <w:rPr>
          <w:rFonts w:hint="default" w:ascii="Times New Roman" w:hAnsi="Times New Roman" w:cs="Times New Roman"/>
        </w:rPr>
      </w:pPr>
      <w:bookmarkStart w:id="216" w:name="_Toc23253666"/>
      <w:r>
        <w:rPr>
          <w:rFonts w:hint="default" w:ascii="Times New Roman" w:hAnsi="Times New Roman" w:eastAsia="楷体" w:cs="Times New Roman"/>
          <w:b w:val="0"/>
        </w:rPr>
        <w:t>（一）概述</w:t>
      </w:r>
      <w:bookmarkEnd w:id="216"/>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电能质量问题有着自身特点：</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1）电力系统里的电能质量始终处在动态变化中，这取决于：电力系统的潮流本身不停变化；大部分用户行为对于电力系统来讲是随机的。</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2）电力系统是个整体，其电能质量状况是电网、用户、电厂共同作用的结果，相互影响。电能不易储存，其生产、输送、分配和转换直至消耗几乎是同时进行的。</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3）电能质量扰动具有潜在危害性与广泛传播性。危害性主要是针对用户侧来讲，电能质量问题会给用户带来经济上、身体上甚至政治上的危害。电网是一个整体，在一个点发生的电能质量问题会影响一个较大的范围，这就是电能质量的广泛传播性。</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4）有些情况下用户是保证电能质量的主体部分，特别是在现代工业条件下尤其明显，因为现代工业中大量采用直流负荷，这些负荷是非线性的，会往电网注入谐波、无功等，这就导致了一些电能质量问题。</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5）电能质量事件，尤其是电压暂升/降，电压短时中断，这些都有很大的随机性，而且是不可避免的，评估特定区域的电能质量情况其实是非常困难的。</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电能质量问题主要包含以下几种：无功补偿、谐波、电压偏差、三相不平衡及电压波动和闪变。</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电能质量标准是保证电网安全经济运行、保护电气环境、保障电力用户正常使用电能的基本技术规范，是实施电能质量监督管理，推广电能质量控制技术，维护供用电双方合法权益的法律依据。因此针对上述电能质量问题的几种类型，简述相关的解决措施。</w:t>
      </w:r>
    </w:p>
    <w:p>
      <w:pPr>
        <w:pStyle w:val="44"/>
        <w:pageBreakBefore w:val="0"/>
        <w:widowControl w:val="0"/>
        <w:kinsoku/>
        <w:wordWrap/>
        <w:overflowPunct/>
        <w:topLinePunct w:val="0"/>
        <w:autoSpaceDE/>
        <w:autoSpaceDN/>
        <w:bidi w:val="0"/>
        <w:adjustRightInd w:val="0"/>
        <w:snapToGrid w:val="0"/>
        <w:spacing w:before="0" w:after="0" w:line="579" w:lineRule="exact"/>
        <w:ind w:firstLine="640" w:firstLineChars="200"/>
        <w:textAlignment w:val="auto"/>
        <w:rPr>
          <w:rFonts w:hint="default" w:ascii="Times New Roman" w:hAnsi="Times New Roman" w:eastAsia="楷体" w:cs="Times New Roman"/>
          <w:b w:val="0"/>
        </w:rPr>
      </w:pPr>
      <w:bookmarkStart w:id="217" w:name="_Toc495561290"/>
      <w:bookmarkEnd w:id="217"/>
      <w:bookmarkStart w:id="218" w:name="_Toc494357599"/>
      <w:bookmarkEnd w:id="218"/>
      <w:bookmarkStart w:id="219" w:name="_Toc495542256"/>
      <w:bookmarkEnd w:id="219"/>
      <w:bookmarkStart w:id="220" w:name="_Toc495538519"/>
      <w:bookmarkEnd w:id="220"/>
      <w:bookmarkStart w:id="221" w:name="_Toc495540538"/>
      <w:bookmarkEnd w:id="221"/>
      <w:bookmarkStart w:id="222" w:name="_Toc495538129"/>
      <w:bookmarkEnd w:id="222"/>
      <w:bookmarkStart w:id="223" w:name="_Toc495537875"/>
      <w:bookmarkEnd w:id="223"/>
      <w:bookmarkStart w:id="224" w:name="_Toc495538389"/>
      <w:bookmarkEnd w:id="224"/>
      <w:bookmarkStart w:id="225" w:name="_Toc495537999"/>
      <w:bookmarkEnd w:id="225"/>
      <w:bookmarkStart w:id="226" w:name="_Toc495541204"/>
      <w:bookmarkEnd w:id="226"/>
      <w:bookmarkStart w:id="227" w:name="_Toc495542009"/>
      <w:bookmarkEnd w:id="227"/>
      <w:bookmarkStart w:id="228" w:name="_Toc495540671"/>
      <w:bookmarkEnd w:id="228"/>
      <w:bookmarkStart w:id="229" w:name="_Toc495541405"/>
      <w:bookmarkEnd w:id="229"/>
      <w:bookmarkStart w:id="230" w:name="_Toc495540805"/>
      <w:bookmarkEnd w:id="230"/>
      <w:bookmarkStart w:id="231" w:name="_Toc493630289"/>
      <w:bookmarkEnd w:id="231"/>
      <w:bookmarkStart w:id="232" w:name="_Toc493630162"/>
      <w:bookmarkEnd w:id="232"/>
      <w:bookmarkStart w:id="233" w:name="_Toc23253667"/>
      <w:r>
        <w:rPr>
          <w:rFonts w:hint="default" w:ascii="Times New Roman" w:hAnsi="Times New Roman" w:eastAsia="楷体" w:cs="Times New Roman"/>
          <w:b w:val="0"/>
        </w:rPr>
        <w:t>（二）无功补偿规划</w:t>
      </w:r>
      <w:bookmarkEnd w:id="233"/>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bookmarkStart w:id="234" w:name="_Toc464203903"/>
      <w:r>
        <w:rPr>
          <w:rFonts w:hint="default" w:ascii="Times New Roman" w:hAnsi="Times New Roman" w:cs="Times New Roman"/>
          <w:color w:val="000000"/>
          <w:kern w:val="0"/>
          <w:sz w:val="32"/>
          <w:szCs w:val="32"/>
        </w:rPr>
        <w:t>通过无功补偿提高电能质量的主要技术措施是采用无功补偿电容器，分为：</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1．低压分散补偿</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根据个别用电设备对无功的需要量将单台或多台低压电容器组分散地与用电设备并接，通过控制、保护装置与电机同时投切。</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2．低压集中补偿</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将低压电容器通过低压开关接在配电变压器低压母线侧，以无功补偿投切装置作为控制保护装置，根据低压母线上的无功负荷直接控制电容器的投切。</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3．20千伏线路单点集中补偿</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在负荷的集中点前端进行单点集中补偿，补偿的容量根据平时负荷进行计算，并在此基础上留有余量，补偿级数根据容量大小选择。</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“十四五”期间，对试点区域内新增配变同步加装低压无功补偿装置，无功自动补偿装置容量按照变压器容量20%～40%配置。</w:t>
      </w:r>
    </w:p>
    <w:bookmarkEnd w:id="234"/>
    <w:p>
      <w:pPr>
        <w:pStyle w:val="44"/>
        <w:pageBreakBefore w:val="0"/>
        <w:widowControl w:val="0"/>
        <w:kinsoku/>
        <w:wordWrap/>
        <w:overflowPunct/>
        <w:topLinePunct w:val="0"/>
        <w:autoSpaceDE/>
        <w:autoSpaceDN/>
        <w:bidi w:val="0"/>
        <w:adjustRightInd w:val="0"/>
        <w:snapToGrid w:val="0"/>
        <w:spacing w:before="0" w:after="0" w:line="579" w:lineRule="exact"/>
        <w:ind w:firstLine="640" w:firstLineChars="200"/>
        <w:textAlignment w:val="auto"/>
        <w:rPr>
          <w:rFonts w:hint="default" w:ascii="Times New Roman" w:hAnsi="Times New Roman" w:cs="Times New Roman"/>
        </w:rPr>
      </w:pPr>
      <w:bookmarkStart w:id="235" w:name="_Toc23253668"/>
      <w:r>
        <w:rPr>
          <w:rFonts w:hint="default" w:ascii="Times New Roman" w:hAnsi="Times New Roman" w:eastAsia="楷体" w:cs="Times New Roman"/>
          <w:b w:val="0"/>
        </w:rPr>
        <w:t>（三）谐波控制规划</w:t>
      </w:r>
      <w:bookmarkEnd w:id="235"/>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公用电网谐波电压（相电压）允许限值见表</w:t>
      </w:r>
      <w:r>
        <w:rPr>
          <w:rFonts w:hint="eastAsia" w:cs="Times New Roman"/>
          <w:color w:val="000000"/>
          <w:kern w:val="0"/>
          <w:sz w:val="32"/>
          <w:szCs w:val="32"/>
          <w:lang w:val="en-US" w:eastAsia="zh-CN"/>
        </w:rPr>
        <w:t>9</w:t>
      </w:r>
      <w:r>
        <w:rPr>
          <w:rFonts w:hint="default" w:ascii="Times New Roman" w:hAnsi="Times New Roman" w:cs="Times New Roman"/>
          <w:color w:val="000000"/>
          <w:kern w:val="0"/>
          <w:sz w:val="32"/>
          <w:szCs w:val="32"/>
        </w:rPr>
        <w:t>-1。</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p>
    <w:p>
      <w:pPr>
        <w:pStyle w:val="91"/>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仿宋" w:cs="Times New Roman"/>
          <w:szCs w:val="24"/>
          <w:lang w:eastAsia="zh-CN"/>
        </w:rPr>
      </w:pPr>
      <w:r>
        <w:rPr>
          <w:rFonts w:hint="default" w:ascii="Times New Roman" w:hAnsi="Times New Roman" w:eastAsia="宋体" w:cs="Times New Roman"/>
          <w:b w:val="0"/>
          <w:sz w:val="28"/>
          <w:szCs w:val="28"/>
          <w:lang w:eastAsia="zh-CN"/>
        </w:rPr>
        <w:t>表</w:t>
      </w:r>
      <w:r>
        <w:rPr>
          <w:rFonts w:hint="eastAsia" w:eastAsia="宋体" w:cs="Times New Roman"/>
          <w:b w:val="0"/>
          <w:sz w:val="28"/>
          <w:szCs w:val="28"/>
          <w:lang w:val="en-US" w:eastAsia="zh-CN"/>
        </w:rPr>
        <w:t>9</w:t>
      </w:r>
      <w:r>
        <w:rPr>
          <w:rFonts w:hint="default" w:ascii="Times New Roman" w:hAnsi="Times New Roman" w:eastAsia="宋体" w:cs="Times New Roman"/>
          <w:b w:val="0"/>
          <w:sz w:val="28"/>
          <w:szCs w:val="28"/>
          <w:lang w:eastAsia="zh-CN"/>
        </w:rPr>
        <w:t>-1  各电压等级电网谐波电压限值</w:t>
      </w:r>
    </w:p>
    <w:tbl>
      <w:tblPr>
        <w:tblStyle w:val="29"/>
        <w:tblW w:w="8798" w:type="dxa"/>
        <w:tblInd w:w="5"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2198"/>
        <w:gridCol w:w="2200"/>
        <w:gridCol w:w="2200"/>
        <w:gridCol w:w="220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tblHeader/>
        </w:trPr>
        <w:tc>
          <w:tcPr>
            <w:tcW w:w="2198"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电压（千伏）</w:t>
            </w:r>
          </w:p>
        </w:tc>
        <w:tc>
          <w:tcPr>
            <w:tcW w:w="2200"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总谐波畸变率（%）</w:t>
            </w:r>
          </w:p>
        </w:tc>
        <w:tc>
          <w:tcPr>
            <w:tcW w:w="2200"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奇次（%）</w:t>
            </w:r>
          </w:p>
        </w:tc>
        <w:tc>
          <w:tcPr>
            <w:tcW w:w="2200"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偶次（%）</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trPr>
        <w:tc>
          <w:tcPr>
            <w:tcW w:w="2198"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0.38</w:t>
            </w:r>
          </w:p>
        </w:tc>
        <w:tc>
          <w:tcPr>
            <w:tcW w:w="2200"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5.0</w:t>
            </w:r>
          </w:p>
        </w:tc>
        <w:tc>
          <w:tcPr>
            <w:tcW w:w="2200"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4.0</w:t>
            </w:r>
          </w:p>
        </w:tc>
        <w:tc>
          <w:tcPr>
            <w:tcW w:w="2200"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trPr>
        <w:tc>
          <w:tcPr>
            <w:tcW w:w="2198"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10(20)</w:t>
            </w:r>
          </w:p>
        </w:tc>
        <w:tc>
          <w:tcPr>
            <w:tcW w:w="2200"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4.0</w:t>
            </w:r>
          </w:p>
        </w:tc>
        <w:tc>
          <w:tcPr>
            <w:tcW w:w="2200"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3.2</w:t>
            </w:r>
          </w:p>
        </w:tc>
        <w:tc>
          <w:tcPr>
            <w:tcW w:w="2200"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1.6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trPr>
        <w:tc>
          <w:tcPr>
            <w:tcW w:w="2198"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35</w:t>
            </w:r>
          </w:p>
        </w:tc>
        <w:tc>
          <w:tcPr>
            <w:tcW w:w="2200"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3.0</w:t>
            </w:r>
          </w:p>
        </w:tc>
        <w:tc>
          <w:tcPr>
            <w:tcW w:w="2200"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2.4</w:t>
            </w:r>
          </w:p>
        </w:tc>
        <w:tc>
          <w:tcPr>
            <w:tcW w:w="2200"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1.2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trPr>
        <w:tc>
          <w:tcPr>
            <w:tcW w:w="2198"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110</w:t>
            </w:r>
          </w:p>
        </w:tc>
        <w:tc>
          <w:tcPr>
            <w:tcW w:w="2200"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2.0</w:t>
            </w:r>
          </w:p>
        </w:tc>
        <w:tc>
          <w:tcPr>
            <w:tcW w:w="2200"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1.6</w:t>
            </w:r>
          </w:p>
        </w:tc>
        <w:tc>
          <w:tcPr>
            <w:tcW w:w="2200"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0.8</w:t>
            </w:r>
          </w:p>
        </w:tc>
      </w:tr>
    </w:tbl>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在电力系统中谐波产生的根本原因是由于非线性负载所致，工业企业非线性设备较为普遍，尤其是电力电子类设备，由于其试点区主要用电构成以工业为主，并且大部分新能源制造等高精尖行业，电子设备应用广泛，需重点开展谐波治理，提升电网质量：</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1）建立完善谐波监督防范体系，实现谐波管理规范化；</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2）有针对、有重点开展谐波实测；</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3）促进老用户的谐波治理，新谐波源用户投产时，消谐滤波装置必须同步投运。</w:t>
      </w:r>
    </w:p>
    <w:p>
      <w:pPr>
        <w:pStyle w:val="44"/>
        <w:keepNext w:val="0"/>
        <w:keepLines w:val="0"/>
        <w:pageBreakBefore w:val="0"/>
        <w:widowControl w:val="0"/>
        <w:kinsoku/>
        <w:wordWrap/>
        <w:overflowPunct/>
        <w:topLinePunct w:val="0"/>
        <w:autoSpaceDE/>
        <w:autoSpaceDN/>
        <w:bidi w:val="0"/>
        <w:adjustRightInd w:val="0"/>
        <w:snapToGrid w:val="0"/>
        <w:spacing w:before="0" w:after="0" w:line="579" w:lineRule="exact"/>
        <w:ind w:firstLine="640" w:firstLineChars="200"/>
        <w:textAlignment w:val="auto"/>
        <w:rPr>
          <w:rFonts w:hint="default" w:ascii="Times New Roman" w:hAnsi="Times New Roman" w:cs="Times New Roman"/>
        </w:rPr>
      </w:pPr>
      <w:bookmarkStart w:id="236" w:name="_Toc23253669"/>
      <w:r>
        <w:rPr>
          <w:rFonts w:hint="default" w:ascii="Times New Roman" w:hAnsi="Times New Roman" w:eastAsia="楷体" w:cs="Times New Roman"/>
          <w:b w:val="0"/>
        </w:rPr>
        <w:t>（四）电压允许偏差值规划</w:t>
      </w:r>
      <w:bookmarkEnd w:id="236"/>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在电力系统正常状况下，用户受电端的供电电压允许偏差为：</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1）35千伏供电电压正负偏差的绝对值之和不超过额定电压的10%；</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2）20千伏及以下三相供电电压允许偏差为额定电压的±7%；</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3）220伏单相供电电压允许偏差为额定电压的+7％与-10%；</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4）对供电点短路容量较小、供电距离较长以及对供电电压偏差有特殊要求的用户，由供、用电双方协议确定。</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试点区内存在计算机或者电力电子类设备、照明设备、医疗设备及医疗制造设备等，这些设备对电压偏差要求各有不同。</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照明设备以钠灯为例，当电压幅值低于66%～84%，持续时间超过5～400毫秒的时候，钠灯就会熄灭，熄灭之后几十分钟甚至半个小时之内是无法启动的，这造成的影响就比较大，因为钠灯经常用于大型场馆、会议中心等地方，失去照明很有可能就会造成踩踏恐慌等事件；医疗设备，越高精尖的医疗设备对电能质量的要求越高。</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因此，试点区域内应加强各级电网的无功补偿的投切控制工作，安装电压监测装置，使各级电网三相供电电压偏差满足上述行业规范要求。</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试点区存在长距离送电的现象，现状试点区内线路末端电压控制情况良好，均能满足要求。线路送电距离长，为保证居民和用户用电满意度以及提供合格电能质量，对于今后运行中电能质量相对较差的线路或者出现电能质量不合格的线路，可以适时在线路末端加装SVR全自动调压器，从而达到有效调节和改善配变低压侧出口电压，满足居民及用户生产生活需求。</w:t>
      </w:r>
    </w:p>
    <w:p>
      <w:pPr>
        <w:pStyle w:val="44"/>
        <w:keepNext w:val="0"/>
        <w:keepLines w:val="0"/>
        <w:pageBreakBefore w:val="0"/>
        <w:widowControl w:val="0"/>
        <w:kinsoku/>
        <w:wordWrap/>
        <w:overflowPunct/>
        <w:topLinePunct w:val="0"/>
        <w:autoSpaceDE/>
        <w:autoSpaceDN/>
        <w:bidi w:val="0"/>
        <w:adjustRightInd w:val="0"/>
        <w:snapToGrid w:val="0"/>
        <w:spacing w:before="0" w:after="0" w:line="579" w:lineRule="exact"/>
        <w:ind w:firstLine="640" w:firstLineChars="200"/>
        <w:textAlignment w:val="auto"/>
        <w:rPr>
          <w:rFonts w:hint="default" w:ascii="Times New Roman" w:hAnsi="Times New Roman" w:eastAsia="楷体" w:cs="Times New Roman"/>
          <w:b w:val="0"/>
        </w:rPr>
      </w:pPr>
      <w:bookmarkStart w:id="237" w:name="_Toc23253670"/>
      <w:r>
        <w:rPr>
          <w:rFonts w:hint="default" w:ascii="Times New Roman" w:hAnsi="Times New Roman" w:eastAsia="楷体" w:cs="Times New Roman"/>
          <w:b w:val="0"/>
        </w:rPr>
        <w:t>（五）三相电压允许不平衡度规划</w:t>
      </w:r>
      <w:bookmarkEnd w:id="237"/>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三相电压不平衡度是电能质量的一个重要指标，其限值为：</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1）电力系统公共连接点电压不平衡度允许值为2%，短时不得超过4%。</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2）接于公共连接点的每个用户引起该点负序电压不平衡允许值一般为1.3%，短时不超过2.6%。</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通常电压不平衡的情况大多是因为三相元件、线路参数或负荷不对称。由于三相负荷的因素是不一定的，所以供电点的三相电压和电流极易出现不平衡的现象，损耗线路。</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试点区“十三五”期间控制三相电压允许不平衡度主要有以下措施：</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1）装设平衡装置</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通过装设平衡装置的方式来达到三相负荷的分配。</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2）定期开展对三相负荷的检测工作</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定期开展对三相负荷的检测工作，将检测的结果进行专业的记录和分析，对各相的负荷电流进行定期的检测，及时发现三相不平衡状况。</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3）由不对称负荷引起的电网三相电压不平衡可以将不对称负荷分散接在不同的供电点，以减少集中连接造成不平衡度严重超标的问题；或使用交叉换相等办法使不对称负荷合理分配到各相，尽量使其平衡化。</w:t>
      </w:r>
    </w:p>
    <w:p>
      <w:pPr>
        <w:pStyle w:val="44"/>
        <w:keepNext w:val="0"/>
        <w:keepLines w:val="0"/>
        <w:pageBreakBefore w:val="0"/>
        <w:widowControl w:val="0"/>
        <w:kinsoku/>
        <w:wordWrap/>
        <w:overflowPunct/>
        <w:topLinePunct w:val="0"/>
        <w:autoSpaceDE/>
        <w:autoSpaceDN/>
        <w:bidi w:val="0"/>
        <w:adjustRightInd w:val="0"/>
        <w:snapToGrid w:val="0"/>
        <w:spacing w:before="0" w:after="0" w:line="579" w:lineRule="exact"/>
        <w:ind w:firstLine="640" w:firstLineChars="200"/>
        <w:textAlignment w:val="auto"/>
        <w:rPr>
          <w:rFonts w:hint="default" w:ascii="Times New Roman" w:hAnsi="Times New Roman" w:cs="Times New Roman"/>
        </w:rPr>
      </w:pPr>
      <w:bookmarkStart w:id="238" w:name="_Toc23253671"/>
      <w:r>
        <w:rPr>
          <w:rFonts w:hint="default" w:ascii="Times New Roman" w:hAnsi="Times New Roman" w:eastAsia="楷体" w:cs="Times New Roman"/>
          <w:b w:val="0"/>
        </w:rPr>
        <w:t>（六）电压波动和闪变规划</w:t>
      </w:r>
      <w:bookmarkEnd w:id="238"/>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1．电压波动允许限值</w:t>
      </w:r>
    </w:p>
    <w:p>
      <w:pPr>
        <w:keepNext w:val="0"/>
        <w:keepLines w:val="0"/>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任何一个波动负荷用户在电力系统公共连接点产生的电压变动，其限值和电压变动频率、电压等级有关，标准见表</w:t>
      </w:r>
      <w:r>
        <w:rPr>
          <w:rFonts w:hint="eastAsia" w:cs="Times New Roman"/>
          <w:color w:val="000000"/>
          <w:kern w:val="0"/>
          <w:sz w:val="32"/>
          <w:szCs w:val="32"/>
          <w:lang w:val="en-US" w:eastAsia="zh-CN"/>
        </w:rPr>
        <w:t>9</w:t>
      </w:r>
      <w:r>
        <w:rPr>
          <w:rFonts w:hint="default" w:ascii="Times New Roman" w:hAnsi="Times New Roman" w:cs="Times New Roman"/>
          <w:color w:val="000000"/>
          <w:kern w:val="0"/>
          <w:sz w:val="32"/>
          <w:szCs w:val="32"/>
        </w:rPr>
        <w:t>-2。</w:t>
      </w:r>
    </w:p>
    <w:p>
      <w:pPr>
        <w:pStyle w:val="91"/>
        <w:keepNext w:val="0"/>
        <w:keepLines w:val="0"/>
        <w:pageBreakBefore w:val="0"/>
        <w:widowControl w:val="0"/>
        <w:kinsoku/>
        <w:wordWrap/>
        <w:overflowPunct/>
        <w:topLinePunct w:val="0"/>
        <w:autoSpaceDE/>
        <w:autoSpaceDN/>
        <w:bidi w:val="0"/>
        <w:adjustRightInd w:val="0"/>
        <w:snapToGrid w:val="0"/>
        <w:spacing w:line="579" w:lineRule="exact"/>
        <w:textAlignment w:val="auto"/>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w:t>
      </w:r>
      <w:r>
        <w:rPr>
          <w:rFonts w:hint="eastAsia" w:eastAsia="宋体" w:cs="Times New Roman"/>
          <w:b w:val="0"/>
          <w:sz w:val="28"/>
          <w:szCs w:val="28"/>
          <w:lang w:val="en-US" w:eastAsia="zh-CN"/>
        </w:rPr>
        <w:t>9</w:t>
      </w:r>
      <w:r>
        <w:rPr>
          <w:rFonts w:hint="default" w:ascii="Times New Roman" w:hAnsi="Times New Roman" w:eastAsia="宋体" w:cs="Times New Roman"/>
          <w:b w:val="0"/>
          <w:sz w:val="28"/>
          <w:szCs w:val="28"/>
          <w:lang w:eastAsia="zh-CN"/>
        </w:rPr>
        <w:t>-2  电压波动限值</w:t>
      </w:r>
    </w:p>
    <w:tbl>
      <w:tblPr>
        <w:tblStyle w:val="29"/>
        <w:tblW w:w="8798" w:type="dxa"/>
        <w:tblInd w:w="5"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3266"/>
        <w:gridCol w:w="2766"/>
        <w:gridCol w:w="276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tblHeader/>
        </w:trPr>
        <w:tc>
          <w:tcPr>
            <w:tcW w:w="3266" w:type="dxa"/>
            <w:vMerge w:val="restart"/>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r/（次/小时）</w:t>
            </w:r>
          </w:p>
        </w:tc>
        <w:tc>
          <w:tcPr>
            <w:tcW w:w="5532" w:type="dxa"/>
            <w:gridSpan w:val="2"/>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d/%</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tblHeader/>
        </w:trPr>
        <w:tc>
          <w:tcPr>
            <w:tcW w:w="3266" w:type="dxa"/>
            <w:vMerge w:val="continue"/>
            <w:vAlign w:val="center"/>
          </w:tcPr>
          <w:p>
            <w:pPr>
              <w:spacing w:line="240" w:lineRule="auto"/>
              <w:ind w:firstLine="0" w:firstLineChars="0"/>
              <w:jc w:val="center"/>
              <w:rPr>
                <w:rFonts w:hint="default" w:ascii="Times New Roman" w:hAnsi="Times New Roman" w:eastAsia="宋体" w:cs="Times New Roman"/>
                <w:sz w:val="21"/>
                <w:szCs w:val="21"/>
              </w:rPr>
            </w:pPr>
          </w:p>
        </w:tc>
        <w:tc>
          <w:tcPr>
            <w:tcW w:w="2766"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U</w:t>
            </w:r>
            <w:r>
              <w:rPr>
                <w:rFonts w:hint="default" w:ascii="Times New Roman" w:hAnsi="Times New Roman" w:eastAsia="宋体" w:cs="Times New Roman"/>
                <w:kern w:val="0"/>
                <w:sz w:val="21"/>
                <w:szCs w:val="21"/>
                <w:vertAlign w:val="subscript"/>
              </w:rPr>
              <w:t>N</w:t>
            </w:r>
            <w:r>
              <w:rPr>
                <w:rFonts w:hint="default" w:ascii="Times New Roman" w:hAnsi="Times New Roman" w:eastAsia="宋体" w:cs="Times New Roman"/>
                <w:kern w:val="0"/>
                <w:sz w:val="21"/>
                <w:szCs w:val="21"/>
              </w:rPr>
              <w:t>≤35千伏</w:t>
            </w:r>
          </w:p>
        </w:tc>
        <w:tc>
          <w:tcPr>
            <w:tcW w:w="2766"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35＜U</w:t>
            </w:r>
            <w:r>
              <w:rPr>
                <w:rFonts w:hint="default" w:ascii="Times New Roman" w:hAnsi="Times New Roman" w:eastAsia="宋体" w:cs="Times New Roman"/>
                <w:kern w:val="0"/>
                <w:sz w:val="21"/>
                <w:szCs w:val="21"/>
                <w:vertAlign w:val="subscript"/>
              </w:rPr>
              <w:t>N</w:t>
            </w:r>
            <w:r>
              <w:rPr>
                <w:rFonts w:hint="default" w:ascii="Times New Roman" w:hAnsi="Times New Roman" w:eastAsia="宋体" w:cs="Times New Roman"/>
                <w:kern w:val="0"/>
                <w:sz w:val="21"/>
                <w:szCs w:val="21"/>
              </w:rPr>
              <w:t>≤220千伏</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trPr>
        <w:tc>
          <w:tcPr>
            <w:tcW w:w="3266"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r≤1</w:t>
            </w:r>
          </w:p>
        </w:tc>
        <w:tc>
          <w:tcPr>
            <w:tcW w:w="2766"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4</w:t>
            </w:r>
          </w:p>
        </w:tc>
        <w:tc>
          <w:tcPr>
            <w:tcW w:w="2766"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trPr>
        <w:tc>
          <w:tcPr>
            <w:tcW w:w="3266"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1＜r≤10</w:t>
            </w:r>
          </w:p>
        </w:tc>
        <w:tc>
          <w:tcPr>
            <w:tcW w:w="2766"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3</w:t>
            </w:r>
          </w:p>
        </w:tc>
        <w:tc>
          <w:tcPr>
            <w:tcW w:w="2766"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2.5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trPr>
        <w:tc>
          <w:tcPr>
            <w:tcW w:w="3266"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10＜r≤100</w:t>
            </w:r>
          </w:p>
        </w:tc>
        <w:tc>
          <w:tcPr>
            <w:tcW w:w="2766"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2</w:t>
            </w:r>
          </w:p>
        </w:tc>
        <w:tc>
          <w:tcPr>
            <w:tcW w:w="2766"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trPr>
        <w:tc>
          <w:tcPr>
            <w:tcW w:w="3266"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100＜r≤1000</w:t>
            </w:r>
          </w:p>
        </w:tc>
        <w:tc>
          <w:tcPr>
            <w:tcW w:w="2766"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1.25</w:t>
            </w:r>
          </w:p>
        </w:tc>
        <w:tc>
          <w:tcPr>
            <w:tcW w:w="2766"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1</w:t>
            </w:r>
          </w:p>
        </w:tc>
      </w:tr>
    </w:tbl>
    <w:p>
      <w:pPr>
        <w:adjustRightInd w:val="0"/>
        <w:snapToGrid w:val="0"/>
        <w:spacing w:before="381" w:beforeLines="100"/>
        <w:ind w:firstLine="640"/>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电力系统公共连接点，在系统正常运行的较小方式下，以一周为测量周期，所有长时间闪变值Plt都应满足表10-3要求。</w:t>
      </w:r>
    </w:p>
    <w:p>
      <w:pPr>
        <w:pStyle w:val="91"/>
        <w:adjustRightInd w:val="0"/>
        <w:snapToGrid w:val="0"/>
        <w:spacing w:before="381" w:beforeLines="100" w:after="76" w:afterLines="20"/>
        <w:outlineLvl w:val="9"/>
        <w:rPr>
          <w:rFonts w:hint="default" w:ascii="Times New Roman" w:hAnsi="Times New Roman" w:eastAsia="宋体" w:cs="Times New Roman"/>
          <w:b w:val="0"/>
          <w:sz w:val="28"/>
          <w:szCs w:val="28"/>
          <w:lang w:eastAsia="zh-CN"/>
        </w:rPr>
      </w:pPr>
      <w:r>
        <w:rPr>
          <w:rFonts w:hint="default" w:ascii="Times New Roman" w:hAnsi="Times New Roman" w:eastAsia="宋体" w:cs="Times New Roman"/>
          <w:b w:val="0"/>
          <w:sz w:val="28"/>
          <w:szCs w:val="28"/>
          <w:lang w:eastAsia="zh-CN"/>
        </w:rPr>
        <w:t>表10-3  闪变限值</w:t>
      </w:r>
    </w:p>
    <w:tbl>
      <w:tblPr>
        <w:tblStyle w:val="29"/>
        <w:tblW w:w="8798" w:type="dxa"/>
        <w:tblInd w:w="5"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4763"/>
        <w:gridCol w:w="403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tblHeader/>
        </w:trPr>
        <w:tc>
          <w:tcPr>
            <w:tcW w:w="4763"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U</w:t>
            </w:r>
            <w:r>
              <w:rPr>
                <w:rFonts w:hint="default" w:ascii="Times New Roman" w:hAnsi="Times New Roman" w:eastAsia="宋体" w:cs="Times New Roman"/>
                <w:kern w:val="0"/>
                <w:sz w:val="21"/>
                <w:szCs w:val="21"/>
                <w:vertAlign w:val="subscript"/>
              </w:rPr>
              <w:t>N</w:t>
            </w:r>
            <w:r>
              <w:rPr>
                <w:rFonts w:hint="default" w:ascii="Times New Roman" w:hAnsi="Times New Roman" w:eastAsia="宋体" w:cs="Times New Roman"/>
                <w:kern w:val="0"/>
                <w:sz w:val="21"/>
                <w:szCs w:val="21"/>
              </w:rPr>
              <w:t>≤110千伏</w:t>
            </w:r>
          </w:p>
        </w:tc>
        <w:tc>
          <w:tcPr>
            <w:tcW w:w="4035"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U</w:t>
            </w:r>
            <w:r>
              <w:rPr>
                <w:rFonts w:hint="default" w:ascii="Times New Roman" w:hAnsi="Times New Roman" w:eastAsia="宋体" w:cs="Times New Roman"/>
                <w:kern w:val="0"/>
                <w:sz w:val="21"/>
                <w:szCs w:val="21"/>
                <w:vertAlign w:val="subscript"/>
              </w:rPr>
              <w:t>N</w:t>
            </w:r>
            <w:r>
              <w:rPr>
                <w:rFonts w:hint="default" w:ascii="Times New Roman" w:hAnsi="Times New Roman" w:eastAsia="宋体" w:cs="Times New Roman"/>
                <w:kern w:val="0"/>
                <w:sz w:val="21"/>
                <w:szCs w:val="21"/>
              </w:rPr>
              <w:t>＞110千伏</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283" w:hRule="atLeast"/>
        </w:trPr>
        <w:tc>
          <w:tcPr>
            <w:tcW w:w="4763"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1</w:t>
            </w:r>
          </w:p>
        </w:tc>
        <w:tc>
          <w:tcPr>
            <w:tcW w:w="4035" w:type="dxa"/>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0.8</w:t>
            </w:r>
          </w:p>
        </w:tc>
      </w:tr>
    </w:tbl>
    <w:p>
      <w:pPr>
        <w:adjustRightInd w:val="0"/>
        <w:snapToGrid w:val="0"/>
        <w:spacing w:before="381" w:beforeLines="100"/>
        <w:ind w:firstLine="640"/>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2．对电压波动和闪变应采取下列抑制措施</w:t>
      </w:r>
    </w:p>
    <w:p>
      <w:pPr>
        <w:adjustRightInd w:val="0"/>
        <w:snapToGrid w:val="0"/>
        <w:ind w:firstLine="640"/>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1）采用专线或专用变压器供电</w:t>
      </w:r>
    </w:p>
    <w:p>
      <w:pPr>
        <w:adjustRightInd w:val="0"/>
        <w:snapToGrid w:val="0"/>
        <w:ind w:firstLine="640"/>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对大容量的冲击性负荷，采用专线或专用变压器供电，是降低电压波动对其他设备运行影响的最简便有效的办法。</w:t>
      </w:r>
    </w:p>
    <w:p>
      <w:pPr>
        <w:adjustRightInd w:val="0"/>
        <w:snapToGrid w:val="0"/>
        <w:ind w:firstLine="640"/>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2）减小线路阻抗</w:t>
      </w:r>
    </w:p>
    <w:p>
      <w:pPr>
        <w:adjustRightInd w:val="0"/>
        <w:snapToGrid w:val="0"/>
        <w:ind w:firstLine="640"/>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当冲击性负荷与其他负荷共用供电线路时，设法减小线路阻抗，例如将单回路改为双回路，减小冲击性负荷引起的电压波动。</w:t>
      </w:r>
    </w:p>
    <w:p>
      <w:pPr>
        <w:adjustRightInd w:val="0"/>
        <w:snapToGrid w:val="0"/>
        <w:ind w:firstLine="640"/>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3）选用短路容量较大或电压等级较高的电网供电</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对大型电弧炉的炉用变压器应选用短路容量较大或电压等级较高的电网供电，能有效地减小冲击性负荷引起的电压波动。</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4）采用静止无功补偿器SVG装置，维持电网指标在允许的范围内。</w:t>
      </w:r>
    </w:p>
    <w:p>
      <w:pPr>
        <w:pageBreakBefore w:val="0"/>
        <w:widowControl w:val="0"/>
        <w:kinsoku/>
        <w:wordWrap/>
        <w:overflowPunct/>
        <w:topLinePunct w:val="0"/>
        <w:autoSpaceDE/>
        <w:autoSpaceDN/>
        <w:bidi w:val="0"/>
        <w:spacing w:line="579" w:lineRule="exact"/>
        <w:ind w:firstLine="560"/>
        <w:textAlignment w:val="auto"/>
        <w:rPr>
          <w:rFonts w:hint="default" w:ascii="Times New Roman" w:hAnsi="Times New Roman" w:eastAsia="仿宋" w:cs="Times New Roman"/>
        </w:rPr>
      </w:pPr>
    </w:p>
    <w:p>
      <w:pPr>
        <w:pStyle w:val="43"/>
        <w:pageBreakBefore w:val="0"/>
        <w:widowControl w:val="0"/>
        <w:numPr>
          <w:ilvl w:val="0"/>
          <w:numId w:val="0"/>
        </w:numPr>
        <w:kinsoku/>
        <w:wordWrap/>
        <w:overflowPunct/>
        <w:topLinePunct w:val="0"/>
        <w:autoSpaceDE/>
        <w:autoSpaceDN/>
        <w:bidi w:val="0"/>
        <w:adjustRightInd w:val="0"/>
        <w:snapToGrid w:val="0"/>
        <w:spacing w:before="0" w:line="579" w:lineRule="exact"/>
        <w:textAlignment w:val="auto"/>
        <w:rPr>
          <w:rFonts w:hint="default" w:ascii="Times New Roman" w:hAnsi="Times New Roman" w:cs="Times New Roman"/>
          <w:b w:val="0"/>
          <w:sz w:val="32"/>
          <w:szCs w:val="32"/>
        </w:rPr>
      </w:pPr>
      <w:bookmarkStart w:id="239" w:name="_Toc23253672"/>
      <w:bookmarkStart w:id="240" w:name="_Toc532474876"/>
      <w:r>
        <w:rPr>
          <w:rFonts w:hint="eastAsia" w:ascii="Times New Roman" w:hAnsi="Times New Roman" w:cs="Times New Roman"/>
          <w:b w:val="0"/>
          <w:sz w:val="32"/>
          <w:szCs w:val="32"/>
          <w:lang w:val="en-US" w:eastAsia="zh-CN"/>
        </w:rPr>
        <w:t xml:space="preserve">    十、</w:t>
      </w:r>
      <w:r>
        <w:rPr>
          <w:rFonts w:hint="default" w:ascii="Times New Roman" w:hAnsi="Times New Roman" w:cs="Times New Roman"/>
          <w:b w:val="0"/>
          <w:sz w:val="32"/>
          <w:szCs w:val="32"/>
        </w:rPr>
        <w:t>用户服务规划</w:t>
      </w:r>
      <w:bookmarkEnd w:id="239"/>
      <w:bookmarkEnd w:id="240"/>
    </w:p>
    <w:p>
      <w:pPr>
        <w:pStyle w:val="44"/>
        <w:pageBreakBefore w:val="0"/>
        <w:widowControl w:val="0"/>
        <w:kinsoku/>
        <w:wordWrap/>
        <w:overflowPunct/>
        <w:topLinePunct w:val="0"/>
        <w:autoSpaceDE/>
        <w:autoSpaceDN/>
        <w:bidi w:val="0"/>
        <w:adjustRightInd w:val="0"/>
        <w:snapToGrid w:val="0"/>
        <w:spacing w:before="0" w:line="579" w:lineRule="exact"/>
        <w:ind w:firstLine="640" w:firstLineChars="200"/>
        <w:textAlignment w:val="auto"/>
        <w:rPr>
          <w:rFonts w:hint="default" w:ascii="Times New Roman" w:hAnsi="Times New Roman" w:cs="Times New Roman"/>
          <w:lang w:eastAsia="zh-CN"/>
        </w:rPr>
      </w:pPr>
      <w:r>
        <w:rPr>
          <w:rFonts w:hint="default" w:ascii="Times New Roman" w:hAnsi="Times New Roman" w:eastAsia="楷体" w:cs="Times New Roman"/>
          <w:b w:val="0"/>
        </w:rPr>
        <w:t>（一）</w:t>
      </w:r>
      <w:r>
        <w:rPr>
          <w:rFonts w:hint="default" w:ascii="Times New Roman" w:hAnsi="Times New Roman" w:eastAsia="楷体" w:cs="Times New Roman"/>
          <w:b w:val="0"/>
          <w:lang w:eastAsia="zh-CN"/>
        </w:rPr>
        <w:t>常规用户服务</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随着社会经济的不断发展，社会各界和广大客户对电力供给、服务质量提出了更高的要求。应切实开展以下工作，提高对用户供电服务水平。</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规范办公营业场所。试点区内应建立固定的办公场所及营业网点，并有统一、明显的标志，营业场所应方便营业区用户业务办理。加强供电营业窗口规范化建设，优化服务流程，完善服务标准，规范服务行为。</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建立优质服务长效机制。坚强有力、调度灵活的网架结构，是满足客户需求、供电优质服务的硬件基础。从管理上要向需求侧倾斜，开展以客户为单位的安全生产、供电可靠性、电压质量等指标的管理，促进供电服务水平的提高。</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3）加强队伍建设，提高从业员工素质。不断强化从业员工的服务意识和服务水平；加强营销人员的管理，使营销人员明确自身工作的目标和标准，做到岗位责任明确，服务到位；强化职业道德，高度重视对员工职业道德的培养，同时制订不同岗位的职业道德规范和相应的考核体系。</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4）严格执行价格主管部门制定的电价和收费政策，及时在供电营业场所和网站公开电价、收费标准和服务程序。</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5）供电方案答复期限：居民客户不超过3个工作日，低压电力客户不超过7个工作日，高压单电源客户不超过15个工作日，高压双电源客户不超过30个工作日。</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6）装表接电期限：受电工程检验合格并办结相关手续后，居民客户3个工作日内送电，非居民客户5个工作日内送电。</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7）受理客户计费电能表校验申请后，5个工作日内出具检测结果。客户提出抄表数据异常后，7个工作日内核实并答复。</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8）当电力供应不足,不能保证连续供电时,严格按照政府批准的有序用电方案实施错避峰、停限电。</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9）受理客户投诉后，1个工作日内联系客户，7个工作日内答复处理意见。</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10）提供24小时电力故障报修服务，供电抢修人员到达现场的时间不超过45分钟，其他地区供不超过90分钟。</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11）供电设施计划检修停电，提前7天向社会公告；供电设施临时检修停电的，提前24小时公告。对欠费客户依法采取停电措施，提前7天送达停电通知书，费用结清后24小时内恢复供电。</w:t>
      </w:r>
    </w:p>
    <w:p>
      <w:pPr>
        <w:pStyle w:val="44"/>
        <w:pageBreakBefore w:val="0"/>
        <w:widowControl w:val="0"/>
        <w:kinsoku/>
        <w:wordWrap/>
        <w:overflowPunct/>
        <w:topLinePunct w:val="0"/>
        <w:autoSpaceDE/>
        <w:autoSpaceDN/>
        <w:bidi w:val="0"/>
        <w:adjustRightInd w:val="0"/>
        <w:snapToGrid w:val="0"/>
        <w:spacing w:before="0" w:line="579" w:lineRule="exact"/>
        <w:ind w:firstLine="640" w:firstLineChars="200"/>
        <w:textAlignment w:val="auto"/>
        <w:rPr>
          <w:rFonts w:hint="default" w:ascii="Times New Roman" w:hAnsi="Times New Roman" w:cs="Times New Roman"/>
        </w:rPr>
      </w:pPr>
      <w:r>
        <w:rPr>
          <w:rFonts w:hint="default" w:ascii="Times New Roman" w:hAnsi="Times New Roman" w:eastAsia="楷体" w:cs="Times New Roman"/>
          <w:b w:val="0"/>
        </w:rPr>
        <w:t>（</w:t>
      </w:r>
      <w:r>
        <w:rPr>
          <w:rFonts w:hint="default" w:ascii="Times New Roman" w:hAnsi="Times New Roman" w:eastAsia="楷体" w:cs="Times New Roman"/>
          <w:b w:val="0"/>
          <w:lang w:eastAsia="zh-CN"/>
        </w:rPr>
        <w:t>二</w:t>
      </w:r>
      <w:r>
        <w:rPr>
          <w:rFonts w:hint="default" w:ascii="Times New Roman" w:hAnsi="Times New Roman" w:eastAsia="楷体" w:cs="Times New Roman"/>
          <w:b w:val="0"/>
        </w:rPr>
        <w:t>）</w:t>
      </w:r>
      <w:r>
        <w:rPr>
          <w:rFonts w:hint="default" w:ascii="Times New Roman" w:hAnsi="Times New Roman" w:eastAsia="楷体" w:cs="Times New Roman"/>
          <w:b w:val="0"/>
          <w:lang w:eastAsia="zh-CN"/>
        </w:rPr>
        <w:t>保底供电服务</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增量配电网目前主要面向大工业及商业用电客户；对于居民、农业、重要公用事业、公益性服务等用电性质，则继续按照所在省（市、区）的目录销售电价执行。对于不参加电力市场交易的用户（包含具备市场交易资格而选择不参与市场交易的电力用户），增量配电网有义务向其提供保底供电服务。这将向电力用户提供更为廉价的电力能源和更加丰富和优质的供配电及其他增值服务。</w:t>
      </w:r>
    </w:p>
    <w:p>
      <w:pPr>
        <w:pStyle w:val="44"/>
        <w:pageBreakBefore w:val="0"/>
        <w:widowControl w:val="0"/>
        <w:kinsoku/>
        <w:wordWrap/>
        <w:overflowPunct/>
        <w:topLinePunct w:val="0"/>
        <w:autoSpaceDE/>
        <w:autoSpaceDN/>
        <w:bidi w:val="0"/>
        <w:adjustRightInd w:val="0"/>
        <w:snapToGrid w:val="0"/>
        <w:spacing w:before="0" w:line="579" w:lineRule="exact"/>
        <w:ind w:firstLine="640" w:firstLineChars="200"/>
        <w:textAlignment w:val="auto"/>
        <w:rPr>
          <w:rFonts w:hint="default" w:ascii="Times New Roman" w:hAnsi="Times New Roman" w:cs="Times New Roman"/>
        </w:rPr>
      </w:pPr>
      <w:r>
        <w:rPr>
          <w:rFonts w:hint="default" w:ascii="Times New Roman" w:hAnsi="Times New Roman" w:eastAsia="楷体" w:cs="Times New Roman"/>
          <w:b w:val="0"/>
        </w:rPr>
        <w:t>（</w:t>
      </w:r>
      <w:r>
        <w:rPr>
          <w:rFonts w:hint="default" w:ascii="Times New Roman" w:hAnsi="Times New Roman" w:eastAsia="楷体" w:cs="Times New Roman"/>
          <w:b w:val="0"/>
          <w:lang w:eastAsia="zh-CN"/>
        </w:rPr>
        <w:t>三</w:t>
      </w:r>
      <w:r>
        <w:rPr>
          <w:rFonts w:hint="default" w:ascii="Times New Roman" w:hAnsi="Times New Roman" w:eastAsia="楷体" w:cs="Times New Roman"/>
          <w:b w:val="0"/>
        </w:rPr>
        <w:t>）</w:t>
      </w:r>
      <w:r>
        <w:rPr>
          <w:rFonts w:hint="default" w:ascii="Times New Roman" w:hAnsi="Times New Roman" w:eastAsia="楷体" w:cs="Times New Roman"/>
          <w:b w:val="0"/>
          <w:lang w:eastAsia="zh-CN"/>
        </w:rPr>
        <w:t>增值服务</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增量配电网业主可以有偿为各类用户提供增值服务，其内容包括但不限于为用户提供用电规划、智能用电、节能增效、用电设备运维、综合能源服务等。通过不断创新和丰富增值服务内容，一方面使电力用户得到越来越个性化、优质的电力服务，另一方面对于运营商来说也可以获得更多盈利增长点，以此通过良性循环激活市场，发挥市场的价值发现作用，推动产业内涵的不断进步和发展。</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综合能源服务。综合能源服务是一种新型的为满足终端客户多元化能源生产与消费的能源服务方式，涵盖能源规划设计、工程投资建设、多能源运营服务以及投融资服务等方面。简单来说，就是不单销售能源商品，还销售能源服务，当然这种服务主要是附着于能源商品之上的。对于增量配网业主来说，就是由单一售电模式转为电、气、冷、热等的多元化能源供应和多样化增值服务模式。</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用户节能减排服务。增量配网业主提供节能减排方案，建立准确测量的系统，精确的统计电能消耗，通过精准的测量和对细节的掌握，精准的分析企业的用能情况，如是否存在直接浪费、配电容量是否合理以及设备的能效是否低下等等，进而从管理和技术改造两个方面提出改善意见，协助用户真正将节能减排落实到实处。</w:t>
      </w:r>
    </w:p>
    <w:p>
      <w:pPr>
        <w:pStyle w:val="43"/>
        <w:pageBreakBefore w:val="0"/>
        <w:widowControl w:val="0"/>
        <w:numPr>
          <w:ilvl w:val="0"/>
          <w:numId w:val="0"/>
        </w:numPr>
        <w:kinsoku/>
        <w:wordWrap/>
        <w:overflowPunct/>
        <w:topLinePunct w:val="0"/>
        <w:autoSpaceDE/>
        <w:autoSpaceDN/>
        <w:bidi w:val="0"/>
        <w:adjustRightInd w:val="0"/>
        <w:snapToGrid w:val="0"/>
        <w:spacing w:before="0" w:line="579" w:lineRule="exact"/>
        <w:textAlignment w:val="auto"/>
        <w:rPr>
          <w:rFonts w:hint="default" w:ascii="Times New Roman" w:hAnsi="Times New Roman" w:cs="Times New Roman"/>
          <w:b w:val="0"/>
          <w:sz w:val="32"/>
          <w:szCs w:val="32"/>
        </w:rPr>
      </w:pPr>
      <w:bookmarkStart w:id="241" w:name="_Toc23253673"/>
      <w:bookmarkStart w:id="242" w:name="_Toc532474877"/>
      <w:r>
        <w:rPr>
          <w:rFonts w:hint="eastAsia" w:ascii="Times New Roman" w:hAnsi="Times New Roman" w:cs="Times New Roman"/>
          <w:b w:val="0"/>
          <w:sz w:val="32"/>
          <w:szCs w:val="32"/>
          <w:lang w:val="en-US" w:eastAsia="zh-CN"/>
        </w:rPr>
        <w:t xml:space="preserve">    十一、</w:t>
      </w:r>
      <w:r>
        <w:rPr>
          <w:rFonts w:hint="default" w:ascii="Times New Roman" w:hAnsi="Times New Roman" w:cs="Times New Roman"/>
          <w:b w:val="0"/>
          <w:sz w:val="32"/>
          <w:szCs w:val="32"/>
        </w:rPr>
        <w:t>节能与环境保护</w:t>
      </w:r>
      <w:bookmarkEnd w:id="241"/>
      <w:bookmarkEnd w:id="242"/>
    </w:p>
    <w:p>
      <w:pPr>
        <w:pStyle w:val="44"/>
        <w:pageBreakBefore w:val="0"/>
        <w:widowControl w:val="0"/>
        <w:kinsoku/>
        <w:wordWrap/>
        <w:overflowPunct/>
        <w:topLinePunct w:val="0"/>
        <w:autoSpaceDE/>
        <w:autoSpaceDN/>
        <w:bidi w:val="0"/>
        <w:adjustRightInd w:val="0"/>
        <w:snapToGrid w:val="0"/>
        <w:spacing w:before="0" w:line="579" w:lineRule="exact"/>
        <w:ind w:firstLine="640" w:firstLineChars="200"/>
        <w:textAlignment w:val="auto"/>
        <w:rPr>
          <w:rFonts w:hint="default" w:ascii="Times New Roman" w:hAnsi="Times New Roman" w:eastAsia="楷体" w:cs="Times New Roman"/>
          <w:b w:val="0"/>
        </w:rPr>
      </w:pPr>
      <w:bookmarkStart w:id="243" w:name="_Toc23253674"/>
      <w:bookmarkStart w:id="244" w:name="_Toc532474878"/>
      <w:r>
        <w:rPr>
          <w:rFonts w:hint="default" w:ascii="Times New Roman" w:hAnsi="Times New Roman" w:eastAsia="楷体" w:cs="Times New Roman"/>
          <w:b w:val="0"/>
        </w:rPr>
        <w:t>（一）节能降耗</w:t>
      </w:r>
      <w:bookmarkEnd w:id="243"/>
      <w:bookmarkEnd w:id="244"/>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电能损耗是评价供电系统的规划、输变电技术以及电力运行效率的重要指标。因此，必须重视技术层面和管理层面的节能降耗工作，在保障电能正常供给和电力企业经济效益的基础上，找出节能降耗最有效的解决措施，走可持续发展之路，最终达到电力资源最优化利用的目标。</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应采取以下主要措施进行电力节能降耗：</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1）采用无功补偿等手段，控制网损。</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2）加强主变配变的运行监测，保持变压器处在经济运行区间。</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3）做好电网系统规划。合理经济的供电网络能够有效降低线路供电损耗。</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4）推广使用高效低耗的设备，选择合适的配电变压器类型。</w:t>
      </w:r>
    </w:p>
    <w:p>
      <w:pPr>
        <w:pStyle w:val="44"/>
        <w:pageBreakBefore w:val="0"/>
        <w:widowControl w:val="0"/>
        <w:kinsoku/>
        <w:wordWrap/>
        <w:overflowPunct/>
        <w:topLinePunct w:val="0"/>
        <w:autoSpaceDE/>
        <w:autoSpaceDN/>
        <w:bidi w:val="0"/>
        <w:adjustRightInd w:val="0"/>
        <w:snapToGrid w:val="0"/>
        <w:spacing w:before="0" w:line="579" w:lineRule="exact"/>
        <w:ind w:firstLine="640" w:firstLineChars="200"/>
        <w:textAlignment w:val="auto"/>
        <w:rPr>
          <w:rFonts w:hint="default" w:ascii="Times New Roman" w:hAnsi="Times New Roman" w:eastAsia="楷体" w:cs="Times New Roman"/>
          <w:b w:val="0"/>
        </w:rPr>
      </w:pPr>
      <w:bookmarkStart w:id="245" w:name="_Toc532474879"/>
      <w:bookmarkStart w:id="246" w:name="_Toc23253675"/>
      <w:r>
        <w:rPr>
          <w:rFonts w:hint="default" w:ascii="Times New Roman" w:hAnsi="Times New Roman" w:eastAsia="楷体" w:cs="Times New Roman"/>
          <w:b w:val="0"/>
        </w:rPr>
        <w:t>（二）环境保护</w:t>
      </w:r>
      <w:bookmarkEnd w:id="245"/>
      <w:bookmarkEnd w:id="246"/>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1．变电站噪音</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变压器运行会产生噪音，配变安装位置尽可能远离居住区，在无法满足距离要求时，可通过安装振动阻尼器、采用配电房或配变周围植树等方式，减少部分噪声。</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户内变电站主变压器（电抗器）的外形结构、冷却方式和散热器的安装位置，应充分考虑到通风散热措施，优先考虑自然通风。主变压器应选用节能型。220千伏及以下主变压器（电抗器）的本体与散热器宜分开布置（散热器采用自冷方式，户外布置）。</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2．线路</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应与环境协调，不影响周围环境的美观，应尽可能远离或绕开居民区、环境敏感目标及各类保护目标；线路与公路、通讯线、电力线、河流交叉跨越时，严格按照规范要求留有足够净空距离，确保供电安全；选用大截面导线，在保障供电能力的同时，减少对通道资源的占用。</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3．电磁场</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变配电站、箱变、杆变、架空（电缆）线路的电磁辐射应符合国家标准《电磁环境控制限值》（GB 8702-2014）和国家环境保护行业标准《电磁辐射环境影响评价方法与标准》（HJ/T1.0-1996）的要求。</w:t>
      </w:r>
    </w:p>
    <w:p>
      <w:pPr>
        <w:pageBreakBefore w:val="0"/>
        <w:widowControl w:val="0"/>
        <w:kinsoku/>
        <w:wordWrap/>
        <w:overflowPunct/>
        <w:topLinePunct w:val="0"/>
        <w:autoSpaceDE/>
        <w:autoSpaceDN/>
        <w:bidi w:val="0"/>
        <w:adjustRightInd w:val="0"/>
        <w:snapToGrid w:val="0"/>
        <w:spacing w:line="579" w:lineRule="exact"/>
        <w:ind w:firstLine="640"/>
        <w:textAlignment w:val="auto"/>
        <w:rPr>
          <w:rFonts w:hint="default" w:ascii="Times New Roman" w:hAnsi="Times New Roman" w:cs="Times New Roman"/>
          <w:color w:val="000000"/>
          <w:kern w:val="0"/>
          <w:sz w:val="32"/>
          <w:szCs w:val="32"/>
        </w:rPr>
      </w:pPr>
      <w:r>
        <w:rPr>
          <w:rFonts w:hint="default" w:ascii="Times New Roman" w:hAnsi="Times New Roman" w:cs="Times New Roman"/>
          <w:color w:val="000000"/>
          <w:kern w:val="0"/>
          <w:sz w:val="32"/>
          <w:szCs w:val="32"/>
        </w:rPr>
        <w:t>高频电磁辐射（0.1～500兆赫兹）增强限值&lt;5千伏/米，工频电磁辐射（50赫兹）增强限值&lt;4千伏/米，磁场感应强度&lt;0.1毫特斯拉。</w:t>
      </w:r>
    </w:p>
    <w:p>
      <w:pPr>
        <w:ind w:firstLine="560"/>
        <w:rPr>
          <w:rFonts w:hint="default" w:ascii="Times New Roman" w:hAnsi="Times New Roman" w:eastAsia="仿宋" w:cs="Times New Roman"/>
        </w:rPr>
      </w:pPr>
    </w:p>
    <w:p>
      <w:pPr>
        <w:ind w:firstLine="560"/>
        <w:rPr>
          <w:rFonts w:hint="default" w:ascii="Times New Roman" w:hAnsi="Times New Roman" w:eastAsia="仿宋" w:cs="Times New Roman"/>
        </w:rPr>
        <w:sectPr>
          <w:pgSz w:w="11907" w:h="16840"/>
          <w:pgMar w:top="1418" w:right="1418" w:bottom="1418" w:left="1701" w:header="964" w:footer="680" w:gutter="0"/>
          <w:cols w:space="720" w:num="1"/>
          <w:docGrid w:type="lines" w:linePitch="381" w:charSpace="0"/>
        </w:sectPr>
      </w:pPr>
    </w:p>
    <w:p>
      <w:pPr>
        <w:pStyle w:val="43"/>
        <w:numPr>
          <w:ilvl w:val="0"/>
          <w:numId w:val="0"/>
        </w:numPr>
        <w:adjustRightInd w:val="0"/>
        <w:snapToGrid w:val="0"/>
        <w:spacing w:before="381" w:beforeLines="100" w:line="360" w:lineRule="auto"/>
        <w:ind w:firstLine="640" w:firstLineChars="200"/>
        <w:rPr>
          <w:rFonts w:hint="default" w:ascii="Times New Roman" w:hAnsi="Times New Roman" w:cs="Times New Roman"/>
          <w:b w:val="0"/>
          <w:sz w:val="32"/>
          <w:szCs w:val="32"/>
        </w:rPr>
      </w:pPr>
      <w:bookmarkStart w:id="247" w:name="_Toc493630298"/>
      <w:bookmarkEnd w:id="247"/>
      <w:bookmarkStart w:id="248" w:name="_Toc495537884"/>
      <w:bookmarkEnd w:id="248"/>
      <w:bookmarkStart w:id="249" w:name="_Toc495541213"/>
      <w:bookmarkEnd w:id="249"/>
      <w:bookmarkStart w:id="250" w:name="_Toc495538008"/>
      <w:bookmarkEnd w:id="250"/>
      <w:bookmarkStart w:id="251" w:name="_Toc493630171"/>
      <w:bookmarkEnd w:id="251"/>
      <w:bookmarkStart w:id="252" w:name="_Toc495540680"/>
      <w:bookmarkEnd w:id="252"/>
      <w:bookmarkStart w:id="253" w:name="_Toc494357608"/>
      <w:bookmarkEnd w:id="253"/>
      <w:bookmarkStart w:id="254" w:name="_Toc495541414"/>
      <w:bookmarkEnd w:id="254"/>
      <w:bookmarkStart w:id="255" w:name="_Toc495540814"/>
      <w:bookmarkEnd w:id="255"/>
      <w:bookmarkStart w:id="256" w:name="_Toc495538528"/>
      <w:bookmarkEnd w:id="256"/>
      <w:bookmarkStart w:id="257" w:name="_Toc495540547"/>
      <w:bookmarkEnd w:id="257"/>
      <w:bookmarkStart w:id="258" w:name="_Toc495538138"/>
      <w:bookmarkEnd w:id="258"/>
      <w:bookmarkStart w:id="259" w:name="_Toc495538398"/>
      <w:bookmarkEnd w:id="259"/>
      <w:bookmarkStart w:id="260" w:name="_Toc495542018"/>
      <w:bookmarkEnd w:id="260"/>
      <w:bookmarkStart w:id="261" w:name="_Toc495561299"/>
      <w:bookmarkEnd w:id="261"/>
      <w:bookmarkStart w:id="262" w:name="_Toc495542265"/>
      <w:bookmarkEnd w:id="262"/>
      <w:bookmarkStart w:id="263" w:name="_Toc23253676"/>
      <w:r>
        <w:rPr>
          <w:rFonts w:hint="default" w:ascii="Times New Roman" w:hAnsi="Times New Roman" w:cs="Times New Roman"/>
          <w:b w:val="0"/>
          <w:sz w:val="32"/>
          <w:szCs w:val="32"/>
        </w:rPr>
        <w:t>附 表</w:t>
      </w:r>
      <w:bookmarkEnd w:id="263"/>
    </w:p>
    <w:p>
      <w:pPr>
        <w:pStyle w:val="3"/>
        <w:adjustRightInd w:val="0"/>
        <w:snapToGrid w:val="0"/>
        <w:spacing w:before="0" w:after="0"/>
        <w:ind w:firstLine="560" w:firstLineChars="200"/>
        <w:jc w:val="center"/>
        <w:rPr>
          <w:rFonts w:hint="default" w:ascii="Times New Roman" w:hAnsi="Times New Roman" w:eastAsia="宋体" w:cs="Times New Roman"/>
          <w:b w:val="0"/>
          <w:kern w:val="2"/>
          <w:sz w:val="28"/>
          <w:szCs w:val="28"/>
          <w:lang w:val="en-US" w:eastAsia="zh-CN"/>
        </w:rPr>
      </w:pPr>
      <w:bookmarkStart w:id="264" w:name="_Toc23253677"/>
      <w:r>
        <w:rPr>
          <w:rFonts w:hint="default" w:ascii="Times New Roman" w:hAnsi="Times New Roman" w:eastAsia="宋体" w:cs="Times New Roman"/>
          <w:b w:val="0"/>
          <w:kern w:val="2"/>
          <w:sz w:val="28"/>
          <w:szCs w:val="28"/>
          <w:lang w:val="en-US" w:eastAsia="zh-CN"/>
        </w:rPr>
        <w:t>附表1 试点区域2019-2025年配电网项目建设明细表</w:t>
      </w:r>
      <w:bookmarkEnd w:id="264"/>
    </w:p>
    <w:tbl>
      <w:tblPr>
        <w:tblStyle w:val="29"/>
        <w:tblW w:w="14220"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322"/>
        <w:gridCol w:w="1649"/>
        <w:gridCol w:w="4658"/>
        <w:gridCol w:w="1134"/>
        <w:gridCol w:w="1134"/>
        <w:gridCol w:w="850"/>
        <w:gridCol w:w="851"/>
        <w:gridCol w:w="850"/>
        <w:gridCol w:w="993"/>
        <w:gridCol w:w="992"/>
        <w:gridCol w:w="78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52" w:hRule="atLeast"/>
          <w:tblHeader/>
          <w:jc w:val="center"/>
        </w:trPr>
        <w:tc>
          <w:tcPr>
            <w:tcW w:w="322"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bookmarkStart w:id="265" w:name="_Hlk23175403"/>
            <w:r>
              <w:rPr>
                <w:rFonts w:hint="default" w:ascii="Times New Roman" w:hAnsi="Times New Roman" w:eastAsia="宋体" w:cs="Times New Roman"/>
                <w:bCs/>
                <w:color w:val="000000"/>
                <w:kern w:val="0"/>
                <w:sz w:val="21"/>
                <w:szCs w:val="21"/>
              </w:rPr>
              <w:t>序号</w:t>
            </w:r>
          </w:p>
        </w:tc>
        <w:tc>
          <w:tcPr>
            <w:tcW w:w="1649"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项目名称</w:t>
            </w:r>
          </w:p>
        </w:tc>
        <w:tc>
          <w:tcPr>
            <w:tcW w:w="465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建设规模</w:t>
            </w:r>
          </w:p>
        </w:tc>
        <w:tc>
          <w:tcPr>
            <w:tcW w:w="1134"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20（10）千伏架空线路（公里）</w:t>
            </w:r>
          </w:p>
        </w:tc>
        <w:tc>
          <w:tcPr>
            <w:tcW w:w="1134"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20（10）千伏电缆线路（公里）</w:t>
            </w:r>
          </w:p>
        </w:tc>
        <w:tc>
          <w:tcPr>
            <w:tcW w:w="850"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柱上开关（台）</w:t>
            </w:r>
          </w:p>
        </w:tc>
        <w:tc>
          <w:tcPr>
            <w:tcW w:w="851"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FTU（台）</w:t>
            </w:r>
          </w:p>
        </w:tc>
        <w:tc>
          <w:tcPr>
            <w:tcW w:w="850"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变压器台数（台）</w:t>
            </w:r>
          </w:p>
        </w:tc>
        <w:tc>
          <w:tcPr>
            <w:tcW w:w="993"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变压器容量（千伏安）</w:t>
            </w:r>
          </w:p>
        </w:tc>
        <w:tc>
          <w:tcPr>
            <w:tcW w:w="992"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项目投资（万元）</w:t>
            </w:r>
          </w:p>
        </w:tc>
        <w:tc>
          <w:tcPr>
            <w:tcW w:w="78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投运年限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88" w:hRule="atLeast"/>
          <w:jc w:val="center"/>
        </w:trPr>
        <w:tc>
          <w:tcPr>
            <w:tcW w:w="322"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w:t>
            </w:r>
          </w:p>
        </w:tc>
        <w:tc>
          <w:tcPr>
            <w:tcW w:w="1649"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浙江嘉兴海盐20千伏隔离变新建工程</w:t>
            </w:r>
          </w:p>
        </w:tc>
        <w:tc>
          <w:tcPr>
            <w:tcW w:w="465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新建5台20/10千伏隔离变，断开10千伏太平Y274线镀锌厂支线16#-17#、城塘184线66#-67#，分别接入1#隔离变和2#隔离变，2台容量各为3000千伏安和3500千伏安，隔离变与20千伏秦工线连接；2）将金城二路盐中Y289线金城支线7家、金城二路至金城三路城塘184线2家通过接入一台容量为3000千伏安隔离变3#与夏家D151线金城2路支线连接。3）将金城三路10千伏城塘184线7家工业用户通过接入一台容量为2500千伏安隔离变4#与夏家D151线金城二路支线连接；4）北星支线接入容量为2000千伏安隔离变5#，断开北星支线11#-12#杆，将前段负荷接入改造后的20千伏建丰D143线。</w:t>
            </w:r>
          </w:p>
        </w:tc>
        <w:tc>
          <w:tcPr>
            <w:tcW w:w="1134"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1.28</w:t>
            </w:r>
          </w:p>
        </w:tc>
        <w:tc>
          <w:tcPr>
            <w:tcW w:w="1134"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1.75</w:t>
            </w:r>
          </w:p>
        </w:tc>
        <w:tc>
          <w:tcPr>
            <w:tcW w:w="850"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0</w:t>
            </w:r>
          </w:p>
        </w:tc>
        <w:tc>
          <w:tcPr>
            <w:tcW w:w="851"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0</w:t>
            </w:r>
          </w:p>
        </w:tc>
        <w:tc>
          <w:tcPr>
            <w:tcW w:w="850"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w:t>
            </w:r>
          </w:p>
        </w:tc>
        <w:tc>
          <w:tcPr>
            <w:tcW w:w="993"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14000</w:t>
            </w:r>
          </w:p>
        </w:tc>
        <w:tc>
          <w:tcPr>
            <w:tcW w:w="992"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350</w:t>
            </w:r>
          </w:p>
        </w:tc>
        <w:tc>
          <w:tcPr>
            <w:tcW w:w="78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2020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88" w:hRule="atLeast"/>
          <w:jc w:val="center"/>
        </w:trPr>
        <w:tc>
          <w:tcPr>
            <w:tcW w:w="322"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w:t>
            </w:r>
          </w:p>
        </w:tc>
        <w:tc>
          <w:tcPr>
            <w:tcW w:w="1649"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浙江嘉兴海盐110千伏万兴变20千伏建丰D143线改造工程</w:t>
            </w:r>
          </w:p>
        </w:tc>
        <w:tc>
          <w:tcPr>
            <w:tcW w:w="465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将20千伏建丰D143线在变电站出口处更改路径，沿联星Y134线路径向北延伸至核电大道，再沿太平274线路径向西延伸至原建丰D143线，拆除沿路的10千伏线路。</w:t>
            </w:r>
          </w:p>
        </w:tc>
        <w:tc>
          <w:tcPr>
            <w:tcW w:w="1134"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3.38</w:t>
            </w:r>
          </w:p>
        </w:tc>
        <w:tc>
          <w:tcPr>
            <w:tcW w:w="1134"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0</w:t>
            </w:r>
          </w:p>
        </w:tc>
        <w:tc>
          <w:tcPr>
            <w:tcW w:w="850"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w:t>
            </w:r>
          </w:p>
        </w:tc>
        <w:tc>
          <w:tcPr>
            <w:tcW w:w="851"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w:t>
            </w:r>
          </w:p>
        </w:tc>
        <w:tc>
          <w:tcPr>
            <w:tcW w:w="850"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0</w:t>
            </w:r>
          </w:p>
        </w:tc>
        <w:tc>
          <w:tcPr>
            <w:tcW w:w="993"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0</w:t>
            </w:r>
          </w:p>
        </w:tc>
        <w:tc>
          <w:tcPr>
            <w:tcW w:w="992"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190</w:t>
            </w:r>
          </w:p>
        </w:tc>
        <w:tc>
          <w:tcPr>
            <w:tcW w:w="78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2020-2021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88" w:hRule="atLeast"/>
          <w:jc w:val="center"/>
        </w:trPr>
        <w:tc>
          <w:tcPr>
            <w:tcW w:w="322"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w:t>
            </w:r>
          </w:p>
        </w:tc>
        <w:tc>
          <w:tcPr>
            <w:tcW w:w="1649"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浙江嘉兴海盐110千伏万兴变10千伏万兴4线、5线新建工程</w:t>
            </w:r>
          </w:p>
        </w:tc>
        <w:tc>
          <w:tcPr>
            <w:tcW w:w="465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从110千伏万兴变新出2回20千伏线路，新出20千伏来自不同主变的母线，在万兴变站前新建20/10千伏隔离变2座，容量采用20000千伏安，之后由2座隔离变各新出1条10千伏线路至金城三路，并形成联络，为工业园区负荷供电。</w:t>
            </w:r>
          </w:p>
        </w:tc>
        <w:tc>
          <w:tcPr>
            <w:tcW w:w="1134"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3.84</w:t>
            </w:r>
          </w:p>
        </w:tc>
        <w:tc>
          <w:tcPr>
            <w:tcW w:w="1134"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3.21</w:t>
            </w:r>
          </w:p>
        </w:tc>
        <w:tc>
          <w:tcPr>
            <w:tcW w:w="850"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8</w:t>
            </w:r>
          </w:p>
        </w:tc>
        <w:tc>
          <w:tcPr>
            <w:tcW w:w="851"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8</w:t>
            </w:r>
          </w:p>
        </w:tc>
        <w:tc>
          <w:tcPr>
            <w:tcW w:w="850"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w:t>
            </w:r>
          </w:p>
        </w:tc>
        <w:tc>
          <w:tcPr>
            <w:tcW w:w="993"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40000</w:t>
            </w:r>
          </w:p>
        </w:tc>
        <w:tc>
          <w:tcPr>
            <w:tcW w:w="992"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520</w:t>
            </w:r>
          </w:p>
        </w:tc>
        <w:tc>
          <w:tcPr>
            <w:tcW w:w="78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2021-2023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88" w:hRule="atLeast"/>
          <w:jc w:val="center"/>
        </w:trPr>
        <w:tc>
          <w:tcPr>
            <w:tcW w:w="322"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w:t>
            </w:r>
          </w:p>
        </w:tc>
        <w:tc>
          <w:tcPr>
            <w:tcW w:w="1649"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浙江嘉兴海盐增量试点区域增容布点和低压改造工程</w:t>
            </w:r>
          </w:p>
        </w:tc>
        <w:tc>
          <w:tcPr>
            <w:tcW w:w="4658"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新建、增容8台20千伏配变及配套中低压线路，以满足居民及周边工商业用户供电需求。</w:t>
            </w:r>
          </w:p>
        </w:tc>
        <w:tc>
          <w:tcPr>
            <w:tcW w:w="1134"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0</w:t>
            </w:r>
          </w:p>
        </w:tc>
        <w:tc>
          <w:tcPr>
            <w:tcW w:w="1134"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0</w:t>
            </w:r>
          </w:p>
        </w:tc>
        <w:tc>
          <w:tcPr>
            <w:tcW w:w="850"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0</w:t>
            </w:r>
          </w:p>
        </w:tc>
        <w:tc>
          <w:tcPr>
            <w:tcW w:w="851"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0</w:t>
            </w:r>
          </w:p>
        </w:tc>
        <w:tc>
          <w:tcPr>
            <w:tcW w:w="850"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8</w:t>
            </w:r>
          </w:p>
        </w:tc>
        <w:tc>
          <w:tcPr>
            <w:tcW w:w="993"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5040</w:t>
            </w:r>
          </w:p>
        </w:tc>
        <w:tc>
          <w:tcPr>
            <w:tcW w:w="992"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200</w:t>
            </w:r>
          </w:p>
        </w:tc>
        <w:tc>
          <w:tcPr>
            <w:tcW w:w="78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2021-2025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88" w:hRule="atLeast"/>
          <w:jc w:val="center"/>
        </w:trPr>
        <w:tc>
          <w:tcPr>
            <w:tcW w:w="6629" w:type="dxa"/>
            <w:gridSpan w:val="3"/>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合计</w:t>
            </w:r>
          </w:p>
        </w:tc>
        <w:tc>
          <w:tcPr>
            <w:tcW w:w="1134"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fldChar w:fldCharType="begin"/>
            </w:r>
            <w:r>
              <w:rPr>
                <w:rFonts w:hint="default" w:ascii="Times New Roman" w:hAnsi="Times New Roman" w:eastAsia="宋体" w:cs="Times New Roman"/>
                <w:color w:val="000000"/>
                <w:kern w:val="0"/>
                <w:sz w:val="21"/>
                <w:szCs w:val="21"/>
              </w:rPr>
              <w:instrText xml:space="preserve"> =SUM(ABOVE) </w:instrText>
            </w:r>
            <w:r>
              <w:rPr>
                <w:rFonts w:hint="default" w:ascii="Times New Roman" w:hAnsi="Times New Roman" w:eastAsia="宋体" w:cs="Times New Roman"/>
                <w:color w:val="000000"/>
                <w:kern w:val="0"/>
                <w:sz w:val="21"/>
                <w:szCs w:val="21"/>
              </w:rPr>
              <w:fldChar w:fldCharType="separate"/>
            </w:r>
            <w:r>
              <w:rPr>
                <w:rFonts w:hint="default" w:ascii="Times New Roman" w:hAnsi="Times New Roman" w:eastAsia="宋体" w:cs="Times New Roman"/>
                <w:color w:val="000000"/>
                <w:kern w:val="0"/>
                <w:sz w:val="21"/>
                <w:szCs w:val="21"/>
              </w:rPr>
              <w:t>8.5</w:t>
            </w:r>
            <w:r>
              <w:rPr>
                <w:rFonts w:hint="default" w:ascii="Times New Roman" w:hAnsi="Times New Roman" w:eastAsia="宋体" w:cs="Times New Roman"/>
                <w:color w:val="000000"/>
                <w:kern w:val="0"/>
                <w:sz w:val="21"/>
                <w:szCs w:val="21"/>
              </w:rPr>
              <w:fldChar w:fldCharType="end"/>
            </w:r>
          </w:p>
        </w:tc>
        <w:tc>
          <w:tcPr>
            <w:tcW w:w="1134"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fldChar w:fldCharType="begin"/>
            </w:r>
            <w:r>
              <w:rPr>
                <w:rFonts w:hint="default" w:ascii="Times New Roman" w:hAnsi="Times New Roman" w:eastAsia="宋体" w:cs="Times New Roman"/>
                <w:color w:val="000000"/>
                <w:kern w:val="0"/>
                <w:sz w:val="21"/>
                <w:szCs w:val="21"/>
              </w:rPr>
              <w:instrText xml:space="preserve"> =SUM(ABOVE) </w:instrText>
            </w:r>
            <w:r>
              <w:rPr>
                <w:rFonts w:hint="default" w:ascii="Times New Roman" w:hAnsi="Times New Roman" w:eastAsia="宋体" w:cs="Times New Roman"/>
                <w:color w:val="000000"/>
                <w:kern w:val="0"/>
                <w:sz w:val="21"/>
                <w:szCs w:val="21"/>
              </w:rPr>
              <w:fldChar w:fldCharType="separate"/>
            </w:r>
            <w:r>
              <w:rPr>
                <w:rFonts w:hint="default" w:ascii="Times New Roman" w:hAnsi="Times New Roman" w:eastAsia="宋体" w:cs="Times New Roman"/>
                <w:color w:val="000000"/>
                <w:kern w:val="0"/>
                <w:sz w:val="21"/>
                <w:szCs w:val="21"/>
              </w:rPr>
              <w:t>4.96</w:t>
            </w:r>
            <w:r>
              <w:rPr>
                <w:rFonts w:hint="default" w:ascii="Times New Roman" w:hAnsi="Times New Roman" w:eastAsia="宋体" w:cs="Times New Roman"/>
                <w:color w:val="000000"/>
                <w:kern w:val="0"/>
                <w:sz w:val="21"/>
                <w:szCs w:val="21"/>
              </w:rPr>
              <w:fldChar w:fldCharType="end"/>
            </w:r>
          </w:p>
        </w:tc>
        <w:tc>
          <w:tcPr>
            <w:tcW w:w="850"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11</w:t>
            </w:r>
          </w:p>
        </w:tc>
        <w:tc>
          <w:tcPr>
            <w:tcW w:w="851"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fldChar w:fldCharType="begin"/>
            </w:r>
            <w:r>
              <w:rPr>
                <w:rFonts w:hint="default" w:ascii="Times New Roman" w:hAnsi="Times New Roman" w:eastAsia="宋体" w:cs="Times New Roman"/>
                <w:color w:val="000000"/>
                <w:kern w:val="0"/>
                <w:sz w:val="21"/>
                <w:szCs w:val="21"/>
              </w:rPr>
              <w:instrText xml:space="preserve"> =SUM(ABOVE) </w:instrText>
            </w:r>
            <w:r>
              <w:rPr>
                <w:rFonts w:hint="default" w:ascii="Times New Roman" w:hAnsi="Times New Roman" w:eastAsia="宋体" w:cs="Times New Roman"/>
                <w:color w:val="000000"/>
                <w:kern w:val="0"/>
                <w:sz w:val="21"/>
                <w:szCs w:val="21"/>
              </w:rPr>
              <w:fldChar w:fldCharType="separate"/>
            </w:r>
            <w:r>
              <w:rPr>
                <w:rFonts w:hint="default" w:ascii="Times New Roman" w:hAnsi="Times New Roman" w:eastAsia="宋体" w:cs="Times New Roman"/>
                <w:color w:val="000000"/>
                <w:kern w:val="0"/>
                <w:sz w:val="21"/>
                <w:szCs w:val="21"/>
              </w:rPr>
              <w:t>11</w:t>
            </w:r>
            <w:r>
              <w:rPr>
                <w:rFonts w:hint="default" w:ascii="Times New Roman" w:hAnsi="Times New Roman" w:eastAsia="宋体" w:cs="Times New Roman"/>
                <w:color w:val="000000"/>
                <w:kern w:val="0"/>
                <w:sz w:val="21"/>
                <w:szCs w:val="21"/>
              </w:rPr>
              <w:fldChar w:fldCharType="end"/>
            </w:r>
          </w:p>
        </w:tc>
        <w:tc>
          <w:tcPr>
            <w:tcW w:w="850"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fldChar w:fldCharType="begin"/>
            </w:r>
            <w:r>
              <w:rPr>
                <w:rFonts w:hint="default" w:ascii="Times New Roman" w:hAnsi="Times New Roman" w:eastAsia="宋体" w:cs="Times New Roman"/>
                <w:color w:val="000000"/>
                <w:kern w:val="0"/>
                <w:sz w:val="21"/>
                <w:szCs w:val="21"/>
              </w:rPr>
              <w:instrText xml:space="preserve"> =SUM(ABOVE) </w:instrText>
            </w:r>
            <w:r>
              <w:rPr>
                <w:rFonts w:hint="default" w:ascii="Times New Roman" w:hAnsi="Times New Roman" w:eastAsia="宋体" w:cs="Times New Roman"/>
                <w:color w:val="000000"/>
                <w:kern w:val="0"/>
                <w:sz w:val="21"/>
                <w:szCs w:val="21"/>
              </w:rPr>
              <w:fldChar w:fldCharType="separate"/>
            </w:r>
            <w:r>
              <w:rPr>
                <w:rFonts w:hint="default" w:ascii="Times New Roman" w:hAnsi="Times New Roman" w:eastAsia="宋体" w:cs="Times New Roman"/>
                <w:color w:val="000000"/>
                <w:kern w:val="0"/>
                <w:sz w:val="21"/>
                <w:szCs w:val="21"/>
              </w:rPr>
              <w:t>15</w:t>
            </w:r>
            <w:r>
              <w:rPr>
                <w:rFonts w:hint="default" w:ascii="Times New Roman" w:hAnsi="Times New Roman" w:eastAsia="宋体" w:cs="Times New Roman"/>
                <w:color w:val="000000"/>
                <w:kern w:val="0"/>
                <w:sz w:val="21"/>
                <w:szCs w:val="21"/>
              </w:rPr>
              <w:fldChar w:fldCharType="end"/>
            </w:r>
          </w:p>
        </w:tc>
        <w:tc>
          <w:tcPr>
            <w:tcW w:w="993"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fldChar w:fldCharType="begin"/>
            </w:r>
            <w:r>
              <w:rPr>
                <w:rFonts w:hint="default" w:ascii="Times New Roman" w:hAnsi="Times New Roman" w:eastAsia="宋体" w:cs="Times New Roman"/>
                <w:color w:val="000000"/>
                <w:kern w:val="0"/>
                <w:sz w:val="21"/>
                <w:szCs w:val="21"/>
              </w:rPr>
              <w:instrText xml:space="preserve"> =SUM(ABOVE) </w:instrText>
            </w:r>
            <w:r>
              <w:rPr>
                <w:rFonts w:hint="default" w:ascii="Times New Roman" w:hAnsi="Times New Roman" w:eastAsia="宋体" w:cs="Times New Roman"/>
                <w:color w:val="000000"/>
                <w:kern w:val="0"/>
                <w:sz w:val="21"/>
                <w:szCs w:val="21"/>
              </w:rPr>
              <w:fldChar w:fldCharType="separate"/>
            </w:r>
            <w:r>
              <w:rPr>
                <w:rFonts w:hint="default" w:ascii="Times New Roman" w:hAnsi="Times New Roman" w:eastAsia="宋体" w:cs="Times New Roman"/>
                <w:color w:val="000000"/>
                <w:kern w:val="0"/>
                <w:sz w:val="21"/>
                <w:szCs w:val="21"/>
              </w:rPr>
              <w:t>59040</w:t>
            </w:r>
            <w:r>
              <w:rPr>
                <w:rFonts w:hint="default" w:ascii="Times New Roman" w:hAnsi="Times New Roman" w:eastAsia="宋体" w:cs="Times New Roman"/>
                <w:color w:val="000000"/>
                <w:kern w:val="0"/>
                <w:sz w:val="21"/>
                <w:szCs w:val="21"/>
              </w:rPr>
              <w:fldChar w:fldCharType="end"/>
            </w:r>
          </w:p>
        </w:tc>
        <w:tc>
          <w:tcPr>
            <w:tcW w:w="992"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fldChar w:fldCharType="begin"/>
            </w:r>
            <w:r>
              <w:rPr>
                <w:rFonts w:hint="default" w:ascii="Times New Roman" w:hAnsi="Times New Roman" w:eastAsia="宋体" w:cs="Times New Roman"/>
                <w:color w:val="000000"/>
                <w:kern w:val="0"/>
                <w:sz w:val="21"/>
                <w:szCs w:val="21"/>
              </w:rPr>
              <w:instrText xml:space="preserve"> =SUM(ABOVE) </w:instrText>
            </w:r>
            <w:r>
              <w:rPr>
                <w:rFonts w:hint="default" w:ascii="Times New Roman" w:hAnsi="Times New Roman" w:eastAsia="宋体" w:cs="Times New Roman"/>
                <w:color w:val="000000"/>
                <w:kern w:val="0"/>
                <w:sz w:val="21"/>
                <w:szCs w:val="21"/>
              </w:rPr>
              <w:fldChar w:fldCharType="separate"/>
            </w:r>
            <w:r>
              <w:rPr>
                <w:rFonts w:hint="default" w:ascii="Times New Roman" w:hAnsi="Times New Roman" w:eastAsia="宋体" w:cs="Times New Roman"/>
                <w:color w:val="000000"/>
                <w:kern w:val="0"/>
                <w:sz w:val="21"/>
                <w:szCs w:val="21"/>
              </w:rPr>
              <w:t>1260</w:t>
            </w:r>
            <w:r>
              <w:rPr>
                <w:rFonts w:hint="default" w:ascii="Times New Roman" w:hAnsi="Times New Roman" w:eastAsia="宋体" w:cs="Times New Roman"/>
                <w:color w:val="000000"/>
                <w:kern w:val="0"/>
                <w:sz w:val="21"/>
                <w:szCs w:val="21"/>
              </w:rPr>
              <w:fldChar w:fldCharType="end"/>
            </w:r>
          </w:p>
        </w:tc>
        <w:tc>
          <w:tcPr>
            <w:tcW w:w="787" w:type="dxa"/>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w:t>
            </w:r>
          </w:p>
        </w:tc>
      </w:tr>
      <w:bookmarkEnd w:id="265"/>
    </w:tbl>
    <w:p>
      <w:pPr>
        <w:ind w:firstLine="0" w:firstLineChars="0"/>
        <w:jc w:val="center"/>
        <w:rPr>
          <w:rFonts w:hint="default" w:ascii="Times New Roman" w:hAnsi="Times New Roman" w:eastAsia="仿宋" w:cs="Times New Roman"/>
        </w:rPr>
      </w:pPr>
    </w:p>
    <w:sectPr>
      <w:headerReference r:id="rId8" w:type="default"/>
      <w:pgSz w:w="16838" w:h="11906" w:orient="landscape"/>
      <w:pgMar w:top="1985" w:right="1440" w:bottom="1800" w:left="1440"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Cambria">
    <w:panose1 w:val="02040503050406030204"/>
    <w:charset w:val="00"/>
    <w:family w:val="roman"/>
    <w:pitch w:val="default"/>
    <w:sig w:usb0="E00002FF" w:usb1="400004FF" w:usb2="00000000" w:usb3="00000000" w:csb0="2000019F" w:csb1="00000000"/>
  </w:font>
  <w:font w:name="华文细黑">
    <w:panose1 w:val="02010600040101010101"/>
    <w:charset w:val="86"/>
    <w:family w:val="auto"/>
    <w:pitch w:val="default"/>
    <w:sig w:usb0="00000287" w:usb1="080F0000" w:usb2="00000000" w:usb3="00000000" w:csb0="0004009F" w:csb1="DFD70000"/>
  </w:font>
  <w:font w:name="方正小标宋简体">
    <w:panose1 w:val="02010601030101010101"/>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5476033"/>
      <w:showingPlcHdr/>
    </w:sdtPr>
    <w:sdtContent>
      <w:p>
        <w:pPr>
          <w:pStyle w:val="20"/>
          <w:jc w:val="center"/>
        </w:pPr>
        <w:r>
          <w:t xml:space="preserve">     </w:t>
        </w:r>
      </w:p>
    </w:sdtContent>
  </w:sdt>
  <w:p>
    <w:pPr>
      <w:pStyle w:val="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firstLine="420"/>
      <w:rPr>
        <w:sz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spacing w:line="240" w:lineRule="auto"/>
      <w:jc w:val="both"/>
      <w:rPr>
        <w:rFonts w:ascii="仿宋" w:hAnsi="仿宋" w:eastAsia="仿宋"/>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3"/>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lvl w:ilvl="0" w:tentative="0">
      <w:start w:val="1"/>
      <w:numFmt w:val="chineseCountingThousand"/>
      <w:pStyle w:val="43"/>
      <w:suff w:val="nothing"/>
      <w:lvlText w:val="%1、"/>
      <w:lvlJc w:val="left"/>
      <w:rPr>
        <w:rFonts w:hint="eastAsia"/>
      </w:rPr>
    </w:lvl>
    <w:lvl w:ilvl="1" w:tentative="0">
      <w:start w:val="1"/>
      <w:numFmt w:val="chineseCountingThousand"/>
      <w:suff w:val="nothing"/>
      <w:lvlText w:val="（%2）"/>
      <w:lvlJc w:val="left"/>
      <w:rPr>
        <w:rFonts w:hint="eastAsia"/>
        <w:b w:val="0"/>
        <w:i w:val="0"/>
        <w:caps w:val="0"/>
        <w:smallCaps w:val="0"/>
        <w:strike w:val="0"/>
        <w:dstrike w:val="0"/>
        <w:outline w:val="0"/>
        <w:shadow w:val="0"/>
        <w:emboss w:val="0"/>
        <w:imprint w:val="0"/>
        <w:vanish w:val="0"/>
        <w:spacing w:val="0"/>
        <w:position w:val="0"/>
        <w:u w:val="none"/>
        <w:vertAlign w:val="baseline"/>
      </w:rPr>
    </w:lvl>
    <w:lvl w:ilvl="2" w:tentative="0">
      <w:start w:val="1"/>
      <w:numFmt w:val="decimal"/>
      <w:pStyle w:val="45"/>
      <w:suff w:val="nothing"/>
      <w:lvlText w:val="%3、"/>
      <w:lvlJc w:val="left"/>
      <w:pPr>
        <w:ind w:left="1135"/>
      </w:pPr>
      <w:rPr>
        <w:rFonts w:hint="eastAsia"/>
      </w:rPr>
    </w:lvl>
    <w:lvl w:ilvl="3" w:tentative="0">
      <w:start w:val="1"/>
      <w:numFmt w:val="decimal"/>
      <w:lvlText w:val="%1.%2.%3.%4"/>
      <w:lvlJc w:val="left"/>
      <w:rPr>
        <w:rFonts w:hint="eastAsia"/>
      </w:rPr>
    </w:lvl>
    <w:lvl w:ilvl="4" w:tentative="0">
      <w:start w:val="1"/>
      <w:numFmt w:val="decimal"/>
      <w:lvlText w:val="%1.%2.%3.%4.%5"/>
      <w:lvlJc w:val="left"/>
      <w:rPr>
        <w:rFonts w:hint="eastAsia"/>
      </w:rPr>
    </w:lvl>
    <w:lvl w:ilvl="5" w:tentative="0">
      <w:start w:val="1"/>
      <w:numFmt w:val="decimal"/>
      <w:pStyle w:val="76"/>
      <w:isLgl/>
      <w:suff w:val="space"/>
      <w:lvlText w:val="表%1-%6"/>
      <w:lvlJc w:val="left"/>
      <w:rPr>
        <w:rFonts w:hint="eastAsia"/>
        <w:lang w:val="en-US"/>
      </w:rPr>
    </w:lvl>
    <w:lvl w:ilvl="6" w:tentative="0">
      <w:start w:val="1"/>
      <w:numFmt w:val="decimal"/>
      <w:pStyle w:val="59"/>
      <w:isLgl/>
      <w:suff w:val="space"/>
      <w:lvlText w:val="图%1-%7"/>
      <w:lvlJc w:val="left"/>
      <w:rPr>
        <w:rFonts w:hint="eastAsia"/>
      </w:rPr>
    </w:lvl>
    <w:lvl w:ilvl="7" w:tentative="0">
      <w:start w:val="1"/>
      <w:numFmt w:val="decimal"/>
      <w:lvlText w:val="%1.%2.%3.%4.%5.%6.%7.%8"/>
      <w:lvlJc w:val="left"/>
      <w:rPr>
        <w:rFonts w:hint="eastAsia"/>
      </w:rPr>
    </w:lvl>
    <w:lvl w:ilvl="8" w:tentative="0">
      <w:start w:val="1"/>
      <w:numFmt w:val="decimal"/>
      <w:lvlText w:val="%1.%2.%3.%4.%5.%6.%7.%8.%9"/>
      <w:lvlJc w:val="left"/>
      <w:rPr>
        <w:rFonts w:hint="eastAsia"/>
      </w:rPr>
    </w:lvl>
  </w:abstractNum>
  <w:abstractNum w:abstractNumId="1">
    <w:nsid w:val="42B85B0F"/>
    <w:multiLevelType w:val="multilevel"/>
    <w:tmpl w:val="42B85B0F"/>
    <w:lvl w:ilvl="0" w:tentative="0">
      <w:start w:val="1"/>
      <w:numFmt w:val="decimal"/>
      <w:pStyle w:val="101"/>
      <w:lvlText w:val="%1"/>
      <w:lvlJc w:val="left"/>
      <w:pPr>
        <w:ind w:left="420" w:hanging="420"/>
      </w:pPr>
      <w:rPr>
        <w:rFonts w:ascii="Times New Roman" w:hAnsi="Times New Roman" w:eastAsia="宋体" w:cs="Times New Roman"/>
        <w:sz w:val="44"/>
        <w:szCs w:val="44"/>
      </w:rPr>
    </w:lvl>
    <w:lvl w:ilvl="1" w:tentative="0">
      <w:start w:val="1"/>
      <w:numFmt w:val="decimal"/>
      <w:pStyle w:val="102"/>
      <w:isLgl/>
      <w:lvlText w:val="%1.%2"/>
      <w:lvlJc w:val="left"/>
      <w:pPr>
        <w:ind w:left="845" w:hanging="420"/>
      </w:pPr>
    </w:lvl>
    <w:lvl w:ilvl="2" w:tentative="0">
      <w:start w:val="1"/>
      <w:numFmt w:val="decimal"/>
      <w:lvlText w:val="%1.%2.%3"/>
      <w:lvlJc w:val="left"/>
      <w:pPr>
        <w:ind w:left="0" w:firstLine="0"/>
      </w:pPr>
      <w:rPr>
        <w:rFonts w:hint="default" w:ascii="Times New Roman" w:hAnsi="Times New Roman" w:cs="Times New Roman"/>
      </w:rPr>
    </w:lvl>
    <w:lvl w:ilvl="3" w:tentative="0">
      <w:start w:val="1"/>
      <w:numFmt w:val="decimal"/>
      <w:lvlRestart w:val="1"/>
      <w:pStyle w:val="100"/>
      <w:isLgl/>
      <w:lvlText w:val="图%1-%4"/>
      <w:lvlJc w:val="left"/>
      <w:pPr>
        <w:ind w:left="3823" w:hanging="420"/>
      </w:pPr>
      <w:rPr>
        <w:lang w:val="en-US"/>
      </w:rPr>
    </w:lvl>
    <w:lvl w:ilvl="4" w:tentative="0">
      <w:start w:val="1"/>
      <w:numFmt w:val="decimal"/>
      <w:lvlRestart w:val="1"/>
      <w:pStyle w:val="103"/>
      <w:lvlText w:val="表%1-%5"/>
      <w:lvlJc w:val="left"/>
      <w:pPr>
        <w:tabs>
          <w:tab w:val="left" w:pos="1109"/>
        </w:tabs>
        <w:snapToGrid w:val="0"/>
        <w:ind w:left="709" w:firstLine="0"/>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rPr>
    </w:lvl>
    <w:lvl w:ilvl="5" w:tentative="0">
      <w:start w:val="1"/>
      <w:numFmt w:val="decimal"/>
      <w:lvlRestart w:val="3"/>
      <w:pStyle w:val="99"/>
      <w:lvlText w:val="%1.%2.%6"/>
      <w:lvlJc w:val="right"/>
      <w:pPr>
        <w:ind w:left="1129" w:hanging="420"/>
      </w:pPr>
      <w:rPr>
        <w:rFonts w:ascii="Times New Roman" w:hAnsi="Times New Roman" w:cs="Times New Roman"/>
        <w:bCs w:val="0"/>
        <w:i w:val="0"/>
        <w:iCs w:val="0"/>
        <w:caps w:val="0"/>
        <w:smallCaps w:val="0"/>
        <w:strike w:val="0"/>
        <w:dstrike w:val="0"/>
        <w:outline w:val="0"/>
        <w:shadow w:val="0"/>
        <w:emboss w:val="0"/>
        <w:imprint w:val="0"/>
        <w:vanish w:val="0"/>
        <w:spacing w:val="0"/>
        <w:position w:val="0"/>
        <w:u w:val="none"/>
        <w:vertAlign w:val="baseline"/>
      </w:r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40"/>
  <w:drawingGridVerticalSpacing w:val="381"/>
  <w:displayHorizontalDrawingGridEvery w:val="0"/>
  <w:displayVerticalDrawingGridEvery w:val="0"/>
  <w:doNotShadeFormData w:val="1"/>
  <w:characterSpacingControl w:val="compressPunctuation"/>
  <w:doNotValidateAgainstSchema/>
  <w:doNotDemarcateInvalidXml/>
  <w:compat>
    <w:spaceForUL/>
    <w:balanceSingleByteDoubleByteWidth/>
    <w:doNotLeaveBackslashAlon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C64"/>
    <w:rsid w:val="00007635"/>
    <w:rsid w:val="00007C56"/>
    <w:rsid w:val="00010B66"/>
    <w:rsid w:val="000111CC"/>
    <w:rsid w:val="00011F04"/>
    <w:rsid w:val="0001676B"/>
    <w:rsid w:val="000169C7"/>
    <w:rsid w:val="000219BC"/>
    <w:rsid w:val="00021B05"/>
    <w:rsid w:val="0002401A"/>
    <w:rsid w:val="0002416D"/>
    <w:rsid w:val="000252C8"/>
    <w:rsid w:val="0002541B"/>
    <w:rsid w:val="0003002B"/>
    <w:rsid w:val="00030085"/>
    <w:rsid w:val="000300B6"/>
    <w:rsid w:val="0003261A"/>
    <w:rsid w:val="0003383E"/>
    <w:rsid w:val="000339C8"/>
    <w:rsid w:val="00035445"/>
    <w:rsid w:val="00036592"/>
    <w:rsid w:val="000369B0"/>
    <w:rsid w:val="0004133B"/>
    <w:rsid w:val="000428BB"/>
    <w:rsid w:val="00043C52"/>
    <w:rsid w:val="00045DE7"/>
    <w:rsid w:val="00047030"/>
    <w:rsid w:val="0004724C"/>
    <w:rsid w:val="000501BF"/>
    <w:rsid w:val="00050DF7"/>
    <w:rsid w:val="00050FE5"/>
    <w:rsid w:val="000547C6"/>
    <w:rsid w:val="00055A01"/>
    <w:rsid w:val="00056FEA"/>
    <w:rsid w:val="000601F6"/>
    <w:rsid w:val="00061950"/>
    <w:rsid w:val="00064F68"/>
    <w:rsid w:val="00064FB0"/>
    <w:rsid w:val="00065772"/>
    <w:rsid w:val="000658B3"/>
    <w:rsid w:val="00067990"/>
    <w:rsid w:val="0007029B"/>
    <w:rsid w:val="00072238"/>
    <w:rsid w:val="000737EF"/>
    <w:rsid w:val="000806D3"/>
    <w:rsid w:val="000819DE"/>
    <w:rsid w:val="00083BD0"/>
    <w:rsid w:val="000841B9"/>
    <w:rsid w:val="000877D3"/>
    <w:rsid w:val="000907E9"/>
    <w:rsid w:val="0009100C"/>
    <w:rsid w:val="0009142A"/>
    <w:rsid w:val="00094273"/>
    <w:rsid w:val="00096339"/>
    <w:rsid w:val="000975AB"/>
    <w:rsid w:val="00097BF0"/>
    <w:rsid w:val="000A01E6"/>
    <w:rsid w:val="000A0377"/>
    <w:rsid w:val="000A212F"/>
    <w:rsid w:val="000A30C8"/>
    <w:rsid w:val="000A31BA"/>
    <w:rsid w:val="000A406D"/>
    <w:rsid w:val="000A5466"/>
    <w:rsid w:val="000A58BD"/>
    <w:rsid w:val="000A5C75"/>
    <w:rsid w:val="000A7FD5"/>
    <w:rsid w:val="000B1290"/>
    <w:rsid w:val="000B224F"/>
    <w:rsid w:val="000B4786"/>
    <w:rsid w:val="000B5D19"/>
    <w:rsid w:val="000C09EB"/>
    <w:rsid w:val="000C280B"/>
    <w:rsid w:val="000C4E6B"/>
    <w:rsid w:val="000D005D"/>
    <w:rsid w:val="000D1308"/>
    <w:rsid w:val="000D157A"/>
    <w:rsid w:val="000D23D9"/>
    <w:rsid w:val="000D338C"/>
    <w:rsid w:val="000D373C"/>
    <w:rsid w:val="000D42F7"/>
    <w:rsid w:val="000D4CC4"/>
    <w:rsid w:val="000D589C"/>
    <w:rsid w:val="000D599A"/>
    <w:rsid w:val="000D5C5E"/>
    <w:rsid w:val="000D762A"/>
    <w:rsid w:val="000D7B74"/>
    <w:rsid w:val="000E18B6"/>
    <w:rsid w:val="000E5702"/>
    <w:rsid w:val="000E5933"/>
    <w:rsid w:val="000E6EBC"/>
    <w:rsid w:val="000E6F45"/>
    <w:rsid w:val="000F327C"/>
    <w:rsid w:val="000F4F4B"/>
    <w:rsid w:val="000F5A2D"/>
    <w:rsid w:val="000F5F83"/>
    <w:rsid w:val="000F6700"/>
    <w:rsid w:val="000F6AF5"/>
    <w:rsid w:val="00103146"/>
    <w:rsid w:val="001034EE"/>
    <w:rsid w:val="0010390D"/>
    <w:rsid w:val="00106721"/>
    <w:rsid w:val="00107016"/>
    <w:rsid w:val="00112B20"/>
    <w:rsid w:val="0011355A"/>
    <w:rsid w:val="001142D0"/>
    <w:rsid w:val="00115DA3"/>
    <w:rsid w:val="001162D6"/>
    <w:rsid w:val="00116375"/>
    <w:rsid w:val="00116388"/>
    <w:rsid w:val="00116CCB"/>
    <w:rsid w:val="001171E0"/>
    <w:rsid w:val="0011798C"/>
    <w:rsid w:val="0012023C"/>
    <w:rsid w:val="00120E37"/>
    <w:rsid w:val="00120F14"/>
    <w:rsid w:val="00121416"/>
    <w:rsid w:val="0012197E"/>
    <w:rsid w:val="00121AB0"/>
    <w:rsid w:val="00121D2F"/>
    <w:rsid w:val="0012388B"/>
    <w:rsid w:val="00125C20"/>
    <w:rsid w:val="0012688C"/>
    <w:rsid w:val="001269F2"/>
    <w:rsid w:val="00126A4A"/>
    <w:rsid w:val="0012746A"/>
    <w:rsid w:val="00127674"/>
    <w:rsid w:val="00127D91"/>
    <w:rsid w:val="00127FF2"/>
    <w:rsid w:val="00130C80"/>
    <w:rsid w:val="00132037"/>
    <w:rsid w:val="0013597E"/>
    <w:rsid w:val="00136970"/>
    <w:rsid w:val="00137221"/>
    <w:rsid w:val="0014173A"/>
    <w:rsid w:val="00141B44"/>
    <w:rsid w:val="00142CF8"/>
    <w:rsid w:val="00143AAF"/>
    <w:rsid w:val="00144C25"/>
    <w:rsid w:val="00145445"/>
    <w:rsid w:val="00151410"/>
    <w:rsid w:val="001523C9"/>
    <w:rsid w:val="00153D75"/>
    <w:rsid w:val="00155A6C"/>
    <w:rsid w:val="00155AED"/>
    <w:rsid w:val="00157DEC"/>
    <w:rsid w:val="00160BDE"/>
    <w:rsid w:val="00163903"/>
    <w:rsid w:val="0016454A"/>
    <w:rsid w:val="001659B4"/>
    <w:rsid w:val="00165EEF"/>
    <w:rsid w:val="00171059"/>
    <w:rsid w:val="00172A27"/>
    <w:rsid w:val="00173B7E"/>
    <w:rsid w:val="00173E64"/>
    <w:rsid w:val="00175004"/>
    <w:rsid w:val="0017502F"/>
    <w:rsid w:val="00175483"/>
    <w:rsid w:val="001774C7"/>
    <w:rsid w:val="001778AF"/>
    <w:rsid w:val="0018077F"/>
    <w:rsid w:val="00181FDD"/>
    <w:rsid w:val="00185832"/>
    <w:rsid w:val="00186988"/>
    <w:rsid w:val="001876D5"/>
    <w:rsid w:val="00194337"/>
    <w:rsid w:val="0019647B"/>
    <w:rsid w:val="0019652B"/>
    <w:rsid w:val="0019678E"/>
    <w:rsid w:val="00196A35"/>
    <w:rsid w:val="00196D9A"/>
    <w:rsid w:val="001971CC"/>
    <w:rsid w:val="00197C77"/>
    <w:rsid w:val="001A19E9"/>
    <w:rsid w:val="001A2AC6"/>
    <w:rsid w:val="001A3193"/>
    <w:rsid w:val="001A4A65"/>
    <w:rsid w:val="001A4C22"/>
    <w:rsid w:val="001A547F"/>
    <w:rsid w:val="001A706F"/>
    <w:rsid w:val="001B0D3F"/>
    <w:rsid w:val="001B0EA7"/>
    <w:rsid w:val="001B7722"/>
    <w:rsid w:val="001B7A9B"/>
    <w:rsid w:val="001C1068"/>
    <w:rsid w:val="001C1EF7"/>
    <w:rsid w:val="001C2772"/>
    <w:rsid w:val="001C2B52"/>
    <w:rsid w:val="001C2B75"/>
    <w:rsid w:val="001C4483"/>
    <w:rsid w:val="001C4726"/>
    <w:rsid w:val="001C5264"/>
    <w:rsid w:val="001C5CE1"/>
    <w:rsid w:val="001C7B26"/>
    <w:rsid w:val="001C7ECA"/>
    <w:rsid w:val="001D0CFA"/>
    <w:rsid w:val="001D7BED"/>
    <w:rsid w:val="001E20A2"/>
    <w:rsid w:val="001E3238"/>
    <w:rsid w:val="001E67B8"/>
    <w:rsid w:val="001E752F"/>
    <w:rsid w:val="001F10CB"/>
    <w:rsid w:val="001F1CDF"/>
    <w:rsid w:val="001F3B9C"/>
    <w:rsid w:val="001F4009"/>
    <w:rsid w:val="001F537D"/>
    <w:rsid w:val="001F7E6F"/>
    <w:rsid w:val="0020158C"/>
    <w:rsid w:val="00203435"/>
    <w:rsid w:val="002040D0"/>
    <w:rsid w:val="0020416A"/>
    <w:rsid w:val="00204B38"/>
    <w:rsid w:val="00205DEB"/>
    <w:rsid w:val="00206358"/>
    <w:rsid w:val="0021378D"/>
    <w:rsid w:val="00214AFE"/>
    <w:rsid w:val="002168AC"/>
    <w:rsid w:val="0022208A"/>
    <w:rsid w:val="00223CE1"/>
    <w:rsid w:val="002253E2"/>
    <w:rsid w:val="00226368"/>
    <w:rsid w:val="00226D88"/>
    <w:rsid w:val="00226EDB"/>
    <w:rsid w:val="002314CC"/>
    <w:rsid w:val="002318F0"/>
    <w:rsid w:val="00232DB6"/>
    <w:rsid w:val="00234CB3"/>
    <w:rsid w:val="00234E47"/>
    <w:rsid w:val="002355F5"/>
    <w:rsid w:val="00241406"/>
    <w:rsid w:val="0024447C"/>
    <w:rsid w:val="002446D0"/>
    <w:rsid w:val="00245B23"/>
    <w:rsid w:val="00246C44"/>
    <w:rsid w:val="002504E0"/>
    <w:rsid w:val="00250BCD"/>
    <w:rsid w:val="00251A91"/>
    <w:rsid w:val="00252D0A"/>
    <w:rsid w:val="002545F6"/>
    <w:rsid w:val="00256727"/>
    <w:rsid w:val="00257274"/>
    <w:rsid w:val="0026005C"/>
    <w:rsid w:val="0026116C"/>
    <w:rsid w:val="00261595"/>
    <w:rsid w:val="00261E06"/>
    <w:rsid w:val="00261FC6"/>
    <w:rsid w:val="00262B0A"/>
    <w:rsid w:val="00262FE1"/>
    <w:rsid w:val="0027097F"/>
    <w:rsid w:val="00271B56"/>
    <w:rsid w:val="00273190"/>
    <w:rsid w:val="00273EA6"/>
    <w:rsid w:val="00275160"/>
    <w:rsid w:val="0028013E"/>
    <w:rsid w:val="00280D45"/>
    <w:rsid w:val="002815C6"/>
    <w:rsid w:val="00282213"/>
    <w:rsid w:val="0028253E"/>
    <w:rsid w:val="00284CCA"/>
    <w:rsid w:val="00284ECF"/>
    <w:rsid w:val="00285C72"/>
    <w:rsid w:val="00292238"/>
    <w:rsid w:val="002926D6"/>
    <w:rsid w:val="002941A6"/>
    <w:rsid w:val="002944D8"/>
    <w:rsid w:val="00294ABB"/>
    <w:rsid w:val="00294CA6"/>
    <w:rsid w:val="00294F1B"/>
    <w:rsid w:val="002974A1"/>
    <w:rsid w:val="002A2ACC"/>
    <w:rsid w:val="002A2EBD"/>
    <w:rsid w:val="002A30ED"/>
    <w:rsid w:val="002A53E7"/>
    <w:rsid w:val="002A77C6"/>
    <w:rsid w:val="002B0B11"/>
    <w:rsid w:val="002B0D5E"/>
    <w:rsid w:val="002B261F"/>
    <w:rsid w:val="002B319D"/>
    <w:rsid w:val="002B369A"/>
    <w:rsid w:val="002B3A98"/>
    <w:rsid w:val="002B5014"/>
    <w:rsid w:val="002B5DDE"/>
    <w:rsid w:val="002B5F39"/>
    <w:rsid w:val="002B7CC1"/>
    <w:rsid w:val="002B7EC6"/>
    <w:rsid w:val="002C0F36"/>
    <w:rsid w:val="002C132A"/>
    <w:rsid w:val="002C28A0"/>
    <w:rsid w:val="002C3C70"/>
    <w:rsid w:val="002C543A"/>
    <w:rsid w:val="002C5ADB"/>
    <w:rsid w:val="002C6E11"/>
    <w:rsid w:val="002C76F9"/>
    <w:rsid w:val="002D34E0"/>
    <w:rsid w:val="002D35B3"/>
    <w:rsid w:val="002E0EC9"/>
    <w:rsid w:val="002E5AAF"/>
    <w:rsid w:val="002E6D98"/>
    <w:rsid w:val="002F0029"/>
    <w:rsid w:val="002F12B2"/>
    <w:rsid w:val="002F23B8"/>
    <w:rsid w:val="002F275F"/>
    <w:rsid w:val="002F2B85"/>
    <w:rsid w:val="002F2F7B"/>
    <w:rsid w:val="002F5057"/>
    <w:rsid w:val="002F6074"/>
    <w:rsid w:val="0030022B"/>
    <w:rsid w:val="0030049F"/>
    <w:rsid w:val="003018AA"/>
    <w:rsid w:val="00301B11"/>
    <w:rsid w:val="0030497C"/>
    <w:rsid w:val="00305189"/>
    <w:rsid w:val="003125FC"/>
    <w:rsid w:val="00312BC1"/>
    <w:rsid w:val="003133A1"/>
    <w:rsid w:val="00314014"/>
    <w:rsid w:val="0031755E"/>
    <w:rsid w:val="003211BC"/>
    <w:rsid w:val="003214FB"/>
    <w:rsid w:val="003217C6"/>
    <w:rsid w:val="003228B3"/>
    <w:rsid w:val="0032487C"/>
    <w:rsid w:val="0032497C"/>
    <w:rsid w:val="00326F01"/>
    <w:rsid w:val="003271B7"/>
    <w:rsid w:val="00330E8D"/>
    <w:rsid w:val="0033385C"/>
    <w:rsid w:val="00342C67"/>
    <w:rsid w:val="00342EB6"/>
    <w:rsid w:val="00346F64"/>
    <w:rsid w:val="003500F9"/>
    <w:rsid w:val="0035290D"/>
    <w:rsid w:val="00352DFB"/>
    <w:rsid w:val="003543E1"/>
    <w:rsid w:val="00354C5E"/>
    <w:rsid w:val="00355105"/>
    <w:rsid w:val="003576AB"/>
    <w:rsid w:val="00362DB1"/>
    <w:rsid w:val="003631FB"/>
    <w:rsid w:val="00363836"/>
    <w:rsid w:val="003660C5"/>
    <w:rsid w:val="00366427"/>
    <w:rsid w:val="00366492"/>
    <w:rsid w:val="0036659A"/>
    <w:rsid w:val="003675D3"/>
    <w:rsid w:val="00367E4F"/>
    <w:rsid w:val="0037074E"/>
    <w:rsid w:val="00370CCD"/>
    <w:rsid w:val="00370D38"/>
    <w:rsid w:val="00374D16"/>
    <w:rsid w:val="00374F82"/>
    <w:rsid w:val="00380356"/>
    <w:rsid w:val="00384A54"/>
    <w:rsid w:val="00385AB7"/>
    <w:rsid w:val="00390B64"/>
    <w:rsid w:val="003919F7"/>
    <w:rsid w:val="00392E01"/>
    <w:rsid w:val="00396B91"/>
    <w:rsid w:val="00397402"/>
    <w:rsid w:val="003975F9"/>
    <w:rsid w:val="003A299B"/>
    <w:rsid w:val="003A3596"/>
    <w:rsid w:val="003A4ACB"/>
    <w:rsid w:val="003A5B50"/>
    <w:rsid w:val="003A661F"/>
    <w:rsid w:val="003A7043"/>
    <w:rsid w:val="003B4319"/>
    <w:rsid w:val="003B48E0"/>
    <w:rsid w:val="003C15B9"/>
    <w:rsid w:val="003C5E33"/>
    <w:rsid w:val="003C6821"/>
    <w:rsid w:val="003C736C"/>
    <w:rsid w:val="003C7580"/>
    <w:rsid w:val="003D08F4"/>
    <w:rsid w:val="003D0CF5"/>
    <w:rsid w:val="003D0F7D"/>
    <w:rsid w:val="003D262A"/>
    <w:rsid w:val="003D289E"/>
    <w:rsid w:val="003D50D7"/>
    <w:rsid w:val="003D5B46"/>
    <w:rsid w:val="003E0B65"/>
    <w:rsid w:val="003E19CC"/>
    <w:rsid w:val="003E4526"/>
    <w:rsid w:val="003E5088"/>
    <w:rsid w:val="003E6B45"/>
    <w:rsid w:val="003E7702"/>
    <w:rsid w:val="003F16FD"/>
    <w:rsid w:val="003F3243"/>
    <w:rsid w:val="003F3DEF"/>
    <w:rsid w:val="003F78A9"/>
    <w:rsid w:val="00400C3C"/>
    <w:rsid w:val="004011AB"/>
    <w:rsid w:val="004016F7"/>
    <w:rsid w:val="00402940"/>
    <w:rsid w:val="00403155"/>
    <w:rsid w:val="004031C2"/>
    <w:rsid w:val="00405441"/>
    <w:rsid w:val="0040778B"/>
    <w:rsid w:val="0041343F"/>
    <w:rsid w:val="00413991"/>
    <w:rsid w:val="004144FE"/>
    <w:rsid w:val="00414EF6"/>
    <w:rsid w:val="004154C5"/>
    <w:rsid w:val="00417141"/>
    <w:rsid w:val="004215A7"/>
    <w:rsid w:val="00422241"/>
    <w:rsid w:val="00422C2E"/>
    <w:rsid w:val="004231EB"/>
    <w:rsid w:val="004247CE"/>
    <w:rsid w:val="00424F6C"/>
    <w:rsid w:val="00425E84"/>
    <w:rsid w:val="00426275"/>
    <w:rsid w:val="00426B70"/>
    <w:rsid w:val="004272B3"/>
    <w:rsid w:val="00431DE5"/>
    <w:rsid w:val="00431FDC"/>
    <w:rsid w:val="0043288C"/>
    <w:rsid w:val="0043332D"/>
    <w:rsid w:val="00434EE7"/>
    <w:rsid w:val="004407BA"/>
    <w:rsid w:val="0044327A"/>
    <w:rsid w:val="00444062"/>
    <w:rsid w:val="004440B4"/>
    <w:rsid w:val="00444F89"/>
    <w:rsid w:val="004463BF"/>
    <w:rsid w:val="004513BC"/>
    <w:rsid w:val="0045187D"/>
    <w:rsid w:val="004520FD"/>
    <w:rsid w:val="004539E0"/>
    <w:rsid w:val="00454163"/>
    <w:rsid w:val="0045522B"/>
    <w:rsid w:val="0045528B"/>
    <w:rsid w:val="004555E9"/>
    <w:rsid w:val="00456E94"/>
    <w:rsid w:val="00457AF8"/>
    <w:rsid w:val="00461DA1"/>
    <w:rsid w:val="00463500"/>
    <w:rsid w:val="0046351E"/>
    <w:rsid w:val="00463ABF"/>
    <w:rsid w:val="004645B6"/>
    <w:rsid w:val="00467445"/>
    <w:rsid w:val="00467A08"/>
    <w:rsid w:val="00467ADD"/>
    <w:rsid w:val="004709FA"/>
    <w:rsid w:val="00470A72"/>
    <w:rsid w:val="0047338E"/>
    <w:rsid w:val="00473D5D"/>
    <w:rsid w:val="004740F3"/>
    <w:rsid w:val="00477CB2"/>
    <w:rsid w:val="00483651"/>
    <w:rsid w:val="0048411A"/>
    <w:rsid w:val="00486758"/>
    <w:rsid w:val="00486A5A"/>
    <w:rsid w:val="0048708B"/>
    <w:rsid w:val="00487D0C"/>
    <w:rsid w:val="00490878"/>
    <w:rsid w:val="00491D4E"/>
    <w:rsid w:val="00494578"/>
    <w:rsid w:val="00495B8A"/>
    <w:rsid w:val="00496E75"/>
    <w:rsid w:val="0049708D"/>
    <w:rsid w:val="004974C8"/>
    <w:rsid w:val="004A41DC"/>
    <w:rsid w:val="004A54AD"/>
    <w:rsid w:val="004A7E59"/>
    <w:rsid w:val="004B2224"/>
    <w:rsid w:val="004B637E"/>
    <w:rsid w:val="004B66B9"/>
    <w:rsid w:val="004B6947"/>
    <w:rsid w:val="004B7C20"/>
    <w:rsid w:val="004B7EAF"/>
    <w:rsid w:val="004C051F"/>
    <w:rsid w:val="004C177C"/>
    <w:rsid w:val="004C1CA4"/>
    <w:rsid w:val="004C5C77"/>
    <w:rsid w:val="004C6546"/>
    <w:rsid w:val="004D141D"/>
    <w:rsid w:val="004D40EA"/>
    <w:rsid w:val="004D4264"/>
    <w:rsid w:val="004D5DCA"/>
    <w:rsid w:val="004E06D7"/>
    <w:rsid w:val="004E3D83"/>
    <w:rsid w:val="004E4265"/>
    <w:rsid w:val="004E4609"/>
    <w:rsid w:val="004E47BD"/>
    <w:rsid w:val="004E4DF0"/>
    <w:rsid w:val="004E51AF"/>
    <w:rsid w:val="004E6440"/>
    <w:rsid w:val="004F0D24"/>
    <w:rsid w:val="004F32F3"/>
    <w:rsid w:val="004F35B3"/>
    <w:rsid w:val="004F5E15"/>
    <w:rsid w:val="00501714"/>
    <w:rsid w:val="00502610"/>
    <w:rsid w:val="005035B1"/>
    <w:rsid w:val="005043C7"/>
    <w:rsid w:val="00504508"/>
    <w:rsid w:val="00504B07"/>
    <w:rsid w:val="00504B85"/>
    <w:rsid w:val="005067ED"/>
    <w:rsid w:val="00510596"/>
    <w:rsid w:val="00511173"/>
    <w:rsid w:val="0051175A"/>
    <w:rsid w:val="00513744"/>
    <w:rsid w:val="00513A11"/>
    <w:rsid w:val="00520C1B"/>
    <w:rsid w:val="0052118E"/>
    <w:rsid w:val="00523C4C"/>
    <w:rsid w:val="00527311"/>
    <w:rsid w:val="00532343"/>
    <w:rsid w:val="005416D0"/>
    <w:rsid w:val="00542C54"/>
    <w:rsid w:val="0054315E"/>
    <w:rsid w:val="00543A1D"/>
    <w:rsid w:val="00547752"/>
    <w:rsid w:val="00551107"/>
    <w:rsid w:val="00551811"/>
    <w:rsid w:val="0055240E"/>
    <w:rsid w:val="00554648"/>
    <w:rsid w:val="00555040"/>
    <w:rsid w:val="0055508A"/>
    <w:rsid w:val="00556895"/>
    <w:rsid w:val="005577E3"/>
    <w:rsid w:val="005605F6"/>
    <w:rsid w:val="005615DB"/>
    <w:rsid w:val="005621E0"/>
    <w:rsid w:val="005632E9"/>
    <w:rsid w:val="00564A77"/>
    <w:rsid w:val="005658E7"/>
    <w:rsid w:val="00566F4B"/>
    <w:rsid w:val="0056769A"/>
    <w:rsid w:val="005750EC"/>
    <w:rsid w:val="00576055"/>
    <w:rsid w:val="0058014C"/>
    <w:rsid w:val="0058341C"/>
    <w:rsid w:val="00584888"/>
    <w:rsid w:val="00586F68"/>
    <w:rsid w:val="00593187"/>
    <w:rsid w:val="005935AA"/>
    <w:rsid w:val="005936D5"/>
    <w:rsid w:val="005A3799"/>
    <w:rsid w:val="005A412E"/>
    <w:rsid w:val="005A545D"/>
    <w:rsid w:val="005A5F16"/>
    <w:rsid w:val="005B0626"/>
    <w:rsid w:val="005B11AD"/>
    <w:rsid w:val="005B68C7"/>
    <w:rsid w:val="005B7D51"/>
    <w:rsid w:val="005C090B"/>
    <w:rsid w:val="005C597F"/>
    <w:rsid w:val="005C5B41"/>
    <w:rsid w:val="005D1BE1"/>
    <w:rsid w:val="005D42E1"/>
    <w:rsid w:val="005D5442"/>
    <w:rsid w:val="005D6539"/>
    <w:rsid w:val="005D75D4"/>
    <w:rsid w:val="005E0280"/>
    <w:rsid w:val="005E075F"/>
    <w:rsid w:val="005E07D4"/>
    <w:rsid w:val="005E53A5"/>
    <w:rsid w:val="005F01A7"/>
    <w:rsid w:val="005F046A"/>
    <w:rsid w:val="005F1326"/>
    <w:rsid w:val="005F14D8"/>
    <w:rsid w:val="005F1E25"/>
    <w:rsid w:val="005F2442"/>
    <w:rsid w:val="005F3200"/>
    <w:rsid w:val="005F4E71"/>
    <w:rsid w:val="005F5D35"/>
    <w:rsid w:val="005F689E"/>
    <w:rsid w:val="005F6D06"/>
    <w:rsid w:val="00604CDA"/>
    <w:rsid w:val="00612C79"/>
    <w:rsid w:val="00612EA7"/>
    <w:rsid w:val="00616538"/>
    <w:rsid w:val="00616DF9"/>
    <w:rsid w:val="0061764C"/>
    <w:rsid w:val="00621A9B"/>
    <w:rsid w:val="00623FCA"/>
    <w:rsid w:val="00625131"/>
    <w:rsid w:val="00627DB8"/>
    <w:rsid w:val="00632E31"/>
    <w:rsid w:val="006330ED"/>
    <w:rsid w:val="00634288"/>
    <w:rsid w:val="00634CDE"/>
    <w:rsid w:val="006365A5"/>
    <w:rsid w:val="006372EC"/>
    <w:rsid w:val="00637F32"/>
    <w:rsid w:val="00641672"/>
    <w:rsid w:val="00641D2C"/>
    <w:rsid w:val="0064470D"/>
    <w:rsid w:val="0064577B"/>
    <w:rsid w:val="006460DC"/>
    <w:rsid w:val="0065037E"/>
    <w:rsid w:val="006507CF"/>
    <w:rsid w:val="00651EFC"/>
    <w:rsid w:val="006526E3"/>
    <w:rsid w:val="0065315C"/>
    <w:rsid w:val="00653F1D"/>
    <w:rsid w:val="00655EB8"/>
    <w:rsid w:val="00656F13"/>
    <w:rsid w:val="006606B7"/>
    <w:rsid w:val="00661B99"/>
    <w:rsid w:val="006625CA"/>
    <w:rsid w:val="00666722"/>
    <w:rsid w:val="00666DC4"/>
    <w:rsid w:val="0066705E"/>
    <w:rsid w:val="006674F6"/>
    <w:rsid w:val="00667D2A"/>
    <w:rsid w:val="0067004E"/>
    <w:rsid w:val="006708C2"/>
    <w:rsid w:val="00671A70"/>
    <w:rsid w:val="00676F86"/>
    <w:rsid w:val="006810A1"/>
    <w:rsid w:val="00682E0C"/>
    <w:rsid w:val="0068606E"/>
    <w:rsid w:val="00686E0D"/>
    <w:rsid w:val="00687161"/>
    <w:rsid w:val="00687EC2"/>
    <w:rsid w:val="00693006"/>
    <w:rsid w:val="006931B5"/>
    <w:rsid w:val="00695D2F"/>
    <w:rsid w:val="0069649B"/>
    <w:rsid w:val="00696ECB"/>
    <w:rsid w:val="006A6055"/>
    <w:rsid w:val="006B011F"/>
    <w:rsid w:val="006B69E8"/>
    <w:rsid w:val="006C07AB"/>
    <w:rsid w:val="006C0845"/>
    <w:rsid w:val="006C216E"/>
    <w:rsid w:val="006C29D8"/>
    <w:rsid w:val="006C31D6"/>
    <w:rsid w:val="006C3C53"/>
    <w:rsid w:val="006C4D21"/>
    <w:rsid w:val="006C56A4"/>
    <w:rsid w:val="006C5914"/>
    <w:rsid w:val="006C6B71"/>
    <w:rsid w:val="006C7451"/>
    <w:rsid w:val="006D1049"/>
    <w:rsid w:val="006D220D"/>
    <w:rsid w:val="006D50A5"/>
    <w:rsid w:val="006D578F"/>
    <w:rsid w:val="006D6124"/>
    <w:rsid w:val="006D6A9C"/>
    <w:rsid w:val="006D7E9E"/>
    <w:rsid w:val="006E0C47"/>
    <w:rsid w:val="006E4403"/>
    <w:rsid w:val="006E4DE9"/>
    <w:rsid w:val="006E562E"/>
    <w:rsid w:val="006F133A"/>
    <w:rsid w:val="006F1ADE"/>
    <w:rsid w:val="006F2B33"/>
    <w:rsid w:val="006F4488"/>
    <w:rsid w:val="006F6120"/>
    <w:rsid w:val="00700934"/>
    <w:rsid w:val="00702336"/>
    <w:rsid w:val="0070428F"/>
    <w:rsid w:val="00705A85"/>
    <w:rsid w:val="00710C2C"/>
    <w:rsid w:val="00710C77"/>
    <w:rsid w:val="0071271C"/>
    <w:rsid w:val="0071440D"/>
    <w:rsid w:val="00715D6A"/>
    <w:rsid w:val="007177AB"/>
    <w:rsid w:val="00717C96"/>
    <w:rsid w:val="00720B39"/>
    <w:rsid w:val="00720D62"/>
    <w:rsid w:val="0072252B"/>
    <w:rsid w:val="0072478B"/>
    <w:rsid w:val="007304D8"/>
    <w:rsid w:val="00732053"/>
    <w:rsid w:val="00732BF0"/>
    <w:rsid w:val="00733274"/>
    <w:rsid w:val="00735FD9"/>
    <w:rsid w:val="007369DC"/>
    <w:rsid w:val="007400C5"/>
    <w:rsid w:val="00741CB3"/>
    <w:rsid w:val="007479CF"/>
    <w:rsid w:val="00747ACF"/>
    <w:rsid w:val="0075089A"/>
    <w:rsid w:val="00751853"/>
    <w:rsid w:val="00751C2B"/>
    <w:rsid w:val="0075596C"/>
    <w:rsid w:val="00766797"/>
    <w:rsid w:val="00766AF1"/>
    <w:rsid w:val="0076756B"/>
    <w:rsid w:val="00767D14"/>
    <w:rsid w:val="0077363F"/>
    <w:rsid w:val="00773C9A"/>
    <w:rsid w:val="00773D88"/>
    <w:rsid w:val="007742D0"/>
    <w:rsid w:val="00780163"/>
    <w:rsid w:val="00786778"/>
    <w:rsid w:val="00786BD1"/>
    <w:rsid w:val="00787455"/>
    <w:rsid w:val="00793007"/>
    <w:rsid w:val="00793D2F"/>
    <w:rsid w:val="007942B4"/>
    <w:rsid w:val="00794457"/>
    <w:rsid w:val="00796ED5"/>
    <w:rsid w:val="007A0BE3"/>
    <w:rsid w:val="007A1922"/>
    <w:rsid w:val="007A7E1F"/>
    <w:rsid w:val="007B34F7"/>
    <w:rsid w:val="007B715B"/>
    <w:rsid w:val="007C081D"/>
    <w:rsid w:val="007C119A"/>
    <w:rsid w:val="007C1671"/>
    <w:rsid w:val="007D3A93"/>
    <w:rsid w:val="007D5A64"/>
    <w:rsid w:val="007E0F8A"/>
    <w:rsid w:val="007E100D"/>
    <w:rsid w:val="007E2A5B"/>
    <w:rsid w:val="007E32A7"/>
    <w:rsid w:val="007E5337"/>
    <w:rsid w:val="007E5FE6"/>
    <w:rsid w:val="007E7F96"/>
    <w:rsid w:val="007F2680"/>
    <w:rsid w:val="007F46D5"/>
    <w:rsid w:val="007F506A"/>
    <w:rsid w:val="007F7526"/>
    <w:rsid w:val="00802F45"/>
    <w:rsid w:val="0080332E"/>
    <w:rsid w:val="00804801"/>
    <w:rsid w:val="00804E8F"/>
    <w:rsid w:val="00811AF5"/>
    <w:rsid w:val="00812664"/>
    <w:rsid w:val="00814125"/>
    <w:rsid w:val="008167C9"/>
    <w:rsid w:val="008168A1"/>
    <w:rsid w:val="00816A91"/>
    <w:rsid w:val="00817EFE"/>
    <w:rsid w:val="00823529"/>
    <w:rsid w:val="00824A75"/>
    <w:rsid w:val="00830E6B"/>
    <w:rsid w:val="00831280"/>
    <w:rsid w:val="00832CD2"/>
    <w:rsid w:val="008342F9"/>
    <w:rsid w:val="00835683"/>
    <w:rsid w:val="00837135"/>
    <w:rsid w:val="008401F1"/>
    <w:rsid w:val="0084038D"/>
    <w:rsid w:val="00842253"/>
    <w:rsid w:val="0084309B"/>
    <w:rsid w:val="008506AC"/>
    <w:rsid w:val="00851A8F"/>
    <w:rsid w:val="00852785"/>
    <w:rsid w:val="00853FB2"/>
    <w:rsid w:val="00854386"/>
    <w:rsid w:val="008560C6"/>
    <w:rsid w:val="00860505"/>
    <w:rsid w:val="008615B4"/>
    <w:rsid w:val="008647BA"/>
    <w:rsid w:val="00867D1E"/>
    <w:rsid w:val="00871A14"/>
    <w:rsid w:val="00872613"/>
    <w:rsid w:val="00873BEA"/>
    <w:rsid w:val="00873DCE"/>
    <w:rsid w:val="00873F85"/>
    <w:rsid w:val="0087454B"/>
    <w:rsid w:val="00876D12"/>
    <w:rsid w:val="008779DE"/>
    <w:rsid w:val="0088488C"/>
    <w:rsid w:val="00884DDE"/>
    <w:rsid w:val="0088676F"/>
    <w:rsid w:val="008867F6"/>
    <w:rsid w:val="008878BA"/>
    <w:rsid w:val="00887F3E"/>
    <w:rsid w:val="00891089"/>
    <w:rsid w:val="00891D6B"/>
    <w:rsid w:val="0089232C"/>
    <w:rsid w:val="00892930"/>
    <w:rsid w:val="008935C4"/>
    <w:rsid w:val="00895BEE"/>
    <w:rsid w:val="00896C11"/>
    <w:rsid w:val="008A1268"/>
    <w:rsid w:val="008A164B"/>
    <w:rsid w:val="008A4B6D"/>
    <w:rsid w:val="008A52A6"/>
    <w:rsid w:val="008A62AD"/>
    <w:rsid w:val="008A6417"/>
    <w:rsid w:val="008B0F02"/>
    <w:rsid w:val="008B1A80"/>
    <w:rsid w:val="008B2019"/>
    <w:rsid w:val="008B242C"/>
    <w:rsid w:val="008B5A8F"/>
    <w:rsid w:val="008C00E7"/>
    <w:rsid w:val="008C0984"/>
    <w:rsid w:val="008C2241"/>
    <w:rsid w:val="008C30C1"/>
    <w:rsid w:val="008C45A9"/>
    <w:rsid w:val="008C5290"/>
    <w:rsid w:val="008C63F1"/>
    <w:rsid w:val="008D1D9F"/>
    <w:rsid w:val="008D2BD5"/>
    <w:rsid w:val="008D7758"/>
    <w:rsid w:val="008D7E36"/>
    <w:rsid w:val="008E0328"/>
    <w:rsid w:val="008E0B87"/>
    <w:rsid w:val="008E1D2B"/>
    <w:rsid w:val="008E3676"/>
    <w:rsid w:val="008E41B9"/>
    <w:rsid w:val="008E4603"/>
    <w:rsid w:val="008E5AD3"/>
    <w:rsid w:val="008E62B8"/>
    <w:rsid w:val="008E68B7"/>
    <w:rsid w:val="008E749D"/>
    <w:rsid w:val="008F1941"/>
    <w:rsid w:val="008F6EAA"/>
    <w:rsid w:val="0090179F"/>
    <w:rsid w:val="00901830"/>
    <w:rsid w:val="009055AE"/>
    <w:rsid w:val="009057EE"/>
    <w:rsid w:val="009065C1"/>
    <w:rsid w:val="009104D5"/>
    <w:rsid w:val="00911B2C"/>
    <w:rsid w:val="00912E0E"/>
    <w:rsid w:val="00917997"/>
    <w:rsid w:val="00920C33"/>
    <w:rsid w:val="00921052"/>
    <w:rsid w:val="00922535"/>
    <w:rsid w:val="00925B31"/>
    <w:rsid w:val="00925B8D"/>
    <w:rsid w:val="00925D45"/>
    <w:rsid w:val="00926C92"/>
    <w:rsid w:val="0093073B"/>
    <w:rsid w:val="00933DEC"/>
    <w:rsid w:val="00937966"/>
    <w:rsid w:val="00943567"/>
    <w:rsid w:val="00951441"/>
    <w:rsid w:val="00952F2F"/>
    <w:rsid w:val="00955B89"/>
    <w:rsid w:val="00955BCB"/>
    <w:rsid w:val="00955E8A"/>
    <w:rsid w:val="00960E56"/>
    <w:rsid w:val="009664EB"/>
    <w:rsid w:val="009703C3"/>
    <w:rsid w:val="00970A13"/>
    <w:rsid w:val="00971746"/>
    <w:rsid w:val="0097332A"/>
    <w:rsid w:val="00974144"/>
    <w:rsid w:val="00975E3C"/>
    <w:rsid w:val="00977B1E"/>
    <w:rsid w:val="009806E7"/>
    <w:rsid w:val="00981FD8"/>
    <w:rsid w:val="00987E44"/>
    <w:rsid w:val="00990E6A"/>
    <w:rsid w:val="0099187F"/>
    <w:rsid w:val="00996376"/>
    <w:rsid w:val="00996F54"/>
    <w:rsid w:val="009A2E33"/>
    <w:rsid w:val="009A49D4"/>
    <w:rsid w:val="009A568E"/>
    <w:rsid w:val="009A573C"/>
    <w:rsid w:val="009B29A8"/>
    <w:rsid w:val="009B2FF0"/>
    <w:rsid w:val="009B441E"/>
    <w:rsid w:val="009B62CF"/>
    <w:rsid w:val="009B7701"/>
    <w:rsid w:val="009B7916"/>
    <w:rsid w:val="009B7B5C"/>
    <w:rsid w:val="009B7B8F"/>
    <w:rsid w:val="009C00A2"/>
    <w:rsid w:val="009C68E9"/>
    <w:rsid w:val="009C70C8"/>
    <w:rsid w:val="009C7204"/>
    <w:rsid w:val="009C7670"/>
    <w:rsid w:val="009D020D"/>
    <w:rsid w:val="009D0751"/>
    <w:rsid w:val="009D0AA1"/>
    <w:rsid w:val="009D34EB"/>
    <w:rsid w:val="009E4C49"/>
    <w:rsid w:val="009E7448"/>
    <w:rsid w:val="009F308D"/>
    <w:rsid w:val="009F3BF2"/>
    <w:rsid w:val="009F4EE6"/>
    <w:rsid w:val="009F5D76"/>
    <w:rsid w:val="00A007A0"/>
    <w:rsid w:val="00A0282C"/>
    <w:rsid w:val="00A045C9"/>
    <w:rsid w:val="00A05E67"/>
    <w:rsid w:val="00A06C3E"/>
    <w:rsid w:val="00A07A91"/>
    <w:rsid w:val="00A22822"/>
    <w:rsid w:val="00A228C6"/>
    <w:rsid w:val="00A24005"/>
    <w:rsid w:val="00A26661"/>
    <w:rsid w:val="00A301D1"/>
    <w:rsid w:val="00A30F1E"/>
    <w:rsid w:val="00A315AD"/>
    <w:rsid w:val="00A32418"/>
    <w:rsid w:val="00A32FC7"/>
    <w:rsid w:val="00A342D8"/>
    <w:rsid w:val="00A34948"/>
    <w:rsid w:val="00A34A09"/>
    <w:rsid w:val="00A34FC7"/>
    <w:rsid w:val="00A35DCA"/>
    <w:rsid w:val="00A3662E"/>
    <w:rsid w:val="00A405F7"/>
    <w:rsid w:val="00A428AC"/>
    <w:rsid w:val="00A428F4"/>
    <w:rsid w:val="00A43DC4"/>
    <w:rsid w:val="00A470B5"/>
    <w:rsid w:val="00A50CB2"/>
    <w:rsid w:val="00A525B0"/>
    <w:rsid w:val="00A55CC9"/>
    <w:rsid w:val="00A562DD"/>
    <w:rsid w:val="00A5745C"/>
    <w:rsid w:val="00A6559E"/>
    <w:rsid w:val="00A663AB"/>
    <w:rsid w:val="00A666EE"/>
    <w:rsid w:val="00A705FA"/>
    <w:rsid w:val="00A720BA"/>
    <w:rsid w:val="00A732C1"/>
    <w:rsid w:val="00A8164A"/>
    <w:rsid w:val="00A82B82"/>
    <w:rsid w:val="00A82C33"/>
    <w:rsid w:val="00A86781"/>
    <w:rsid w:val="00A86924"/>
    <w:rsid w:val="00A87A04"/>
    <w:rsid w:val="00A87C0A"/>
    <w:rsid w:val="00A929FB"/>
    <w:rsid w:val="00A95411"/>
    <w:rsid w:val="00AA01EB"/>
    <w:rsid w:val="00AA0CF6"/>
    <w:rsid w:val="00AA1106"/>
    <w:rsid w:val="00AA3673"/>
    <w:rsid w:val="00AA69C7"/>
    <w:rsid w:val="00AA7437"/>
    <w:rsid w:val="00AB0BAF"/>
    <w:rsid w:val="00AB0E64"/>
    <w:rsid w:val="00AB1791"/>
    <w:rsid w:val="00AB354C"/>
    <w:rsid w:val="00AB4896"/>
    <w:rsid w:val="00AB6C44"/>
    <w:rsid w:val="00AC026F"/>
    <w:rsid w:val="00AC2110"/>
    <w:rsid w:val="00AC2113"/>
    <w:rsid w:val="00AC3447"/>
    <w:rsid w:val="00AC69C9"/>
    <w:rsid w:val="00AC7614"/>
    <w:rsid w:val="00AC7938"/>
    <w:rsid w:val="00AD25DD"/>
    <w:rsid w:val="00AD3B8B"/>
    <w:rsid w:val="00AD74B7"/>
    <w:rsid w:val="00AE09F7"/>
    <w:rsid w:val="00AE2A7C"/>
    <w:rsid w:val="00AE5EBF"/>
    <w:rsid w:val="00AE7976"/>
    <w:rsid w:val="00AF1610"/>
    <w:rsid w:val="00AF16CC"/>
    <w:rsid w:val="00AF1B0E"/>
    <w:rsid w:val="00AF290E"/>
    <w:rsid w:val="00AF33A1"/>
    <w:rsid w:val="00AF79E2"/>
    <w:rsid w:val="00AF7F08"/>
    <w:rsid w:val="00B03E15"/>
    <w:rsid w:val="00B04ED5"/>
    <w:rsid w:val="00B0781B"/>
    <w:rsid w:val="00B07C6E"/>
    <w:rsid w:val="00B125ED"/>
    <w:rsid w:val="00B12996"/>
    <w:rsid w:val="00B12DEC"/>
    <w:rsid w:val="00B1522A"/>
    <w:rsid w:val="00B15EF5"/>
    <w:rsid w:val="00B16144"/>
    <w:rsid w:val="00B16FCE"/>
    <w:rsid w:val="00B24AED"/>
    <w:rsid w:val="00B26D32"/>
    <w:rsid w:val="00B26F92"/>
    <w:rsid w:val="00B27A2C"/>
    <w:rsid w:val="00B31B87"/>
    <w:rsid w:val="00B3212F"/>
    <w:rsid w:val="00B32387"/>
    <w:rsid w:val="00B348A4"/>
    <w:rsid w:val="00B34F78"/>
    <w:rsid w:val="00B35B9B"/>
    <w:rsid w:val="00B362CB"/>
    <w:rsid w:val="00B37124"/>
    <w:rsid w:val="00B37E84"/>
    <w:rsid w:val="00B40AC9"/>
    <w:rsid w:val="00B40D70"/>
    <w:rsid w:val="00B41CD3"/>
    <w:rsid w:val="00B42E10"/>
    <w:rsid w:val="00B4713F"/>
    <w:rsid w:val="00B47390"/>
    <w:rsid w:val="00B525CA"/>
    <w:rsid w:val="00B52DDF"/>
    <w:rsid w:val="00B6198B"/>
    <w:rsid w:val="00B6402D"/>
    <w:rsid w:val="00B678BC"/>
    <w:rsid w:val="00B70268"/>
    <w:rsid w:val="00B71F53"/>
    <w:rsid w:val="00B731CB"/>
    <w:rsid w:val="00B73EEC"/>
    <w:rsid w:val="00B74782"/>
    <w:rsid w:val="00B749FF"/>
    <w:rsid w:val="00B81501"/>
    <w:rsid w:val="00B86666"/>
    <w:rsid w:val="00B86B01"/>
    <w:rsid w:val="00B92D55"/>
    <w:rsid w:val="00B92F9C"/>
    <w:rsid w:val="00B9335C"/>
    <w:rsid w:val="00B962C9"/>
    <w:rsid w:val="00BA131F"/>
    <w:rsid w:val="00BA1365"/>
    <w:rsid w:val="00BA4270"/>
    <w:rsid w:val="00BA5334"/>
    <w:rsid w:val="00BA5363"/>
    <w:rsid w:val="00BA5F02"/>
    <w:rsid w:val="00BA67F1"/>
    <w:rsid w:val="00BA6F1C"/>
    <w:rsid w:val="00BA7A01"/>
    <w:rsid w:val="00BA7CAE"/>
    <w:rsid w:val="00BB1C3F"/>
    <w:rsid w:val="00BB2CE3"/>
    <w:rsid w:val="00BB3410"/>
    <w:rsid w:val="00BB3484"/>
    <w:rsid w:val="00BB3B7C"/>
    <w:rsid w:val="00BB4393"/>
    <w:rsid w:val="00BB461F"/>
    <w:rsid w:val="00BC0946"/>
    <w:rsid w:val="00BC2544"/>
    <w:rsid w:val="00BC2959"/>
    <w:rsid w:val="00BC4287"/>
    <w:rsid w:val="00BC42BF"/>
    <w:rsid w:val="00BC4626"/>
    <w:rsid w:val="00BC4CAE"/>
    <w:rsid w:val="00BC5A89"/>
    <w:rsid w:val="00BC6976"/>
    <w:rsid w:val="00BC76B8"/>
    <w:rsid w:val="00BD017E"/>
    <w:rsid w:val="00BD0494"/>
    <w:rsid w:val="00BD0534"/>
    <w:rsid w:val="00BD05C4"/>
    <w:rsid w:val="00BD083D"/>
    <w:rsid w:val="00BD1477"/>
    <w:rsid w:val="00BD34DE"/>
    <w:rsid w:val="00BD66D5"/>
    <w:rsid w:val="00BE247C"/>
    <w:rsid w:val="00BE64BD"/>
    <w:rsid w:val="00BF0117"/>
    <w:rsid w:val="00BF0302"/>
    <w:rsid w:val="00BF0C8A"/>
    <w:rsid w:val="00BF0EFE"/>
    <w:rsid w:val="00BF2917"/>
    <w:rsid w:val="00BF35D5"/>
    <w:rsid w:val="00BF3957"/>
    <w:rsid w:val="00BF3C2D"/>
    <w:rsid w:val="00C05EE6"/>
    <w:rsid w:val="00C10938"/>
    <w:rsid w:val="00C12880"/>
    <w:rsid w:val="00C14351"/>
    <w:rsid w:val="00C205DF"/>
    <w:rsid w:val="00C2139F"/>
    <w:rsid w:val="00C227E8"/>
    <w:rsid w:val="00C23472"/>
    <w:rsid w:val="00C23BF8"/>
    <w:rsid w:val="00C240D6"/>
    <w:rsid w:val="00C26AFE"/>
    <w:rsid w:val="00C309AD"/>
    <w:rsid w:val="00C30D7B"/>
    <w:rsid w:val="00C314B2"/>
    <w:rsid w:val="00C32143"/>
    <w:rsid w:val="00C33723"/>
    <w:rsid w:val="00C33DA6"/>
    <w:rsid w:val="00C340C5"/>
    <w:rsid w:val="00C35627"/>
    <w:rsid w:val="00C36B43"/>
    <w:rsid w:val="00C36F13"/>
    <w:rsid w:val="00C4029B"/>
    <w:rsid w:val="00C4031F"/>
    <w:rsid w:val="00C41A1E"/>
    <w:rsid w:val="00C46908"/>
    <w:rsid w:val="00C46C44"/>
    <w:rsid w:val="00C46FB1"/>
    <w:rsid w:val="00C501DE"/>
    <w:rsid w:val="00C575C9"/>
    <w:rsid w:val="00C60D30"/>
    <w:rsid w:val="00C630C5"/>
    <w:rsid w:val="00C63D58"/>
    <w:rsid w:val="00C65F38"/>
    <w:rsid w:val="00C662B7"/>
    <w:rsid w:val="00C713A2"/>
    <w:rsid w:val="00C72E57"/>
    <w:rsid w:val="00C74B2A"/>
    <w:rsid w:val="00C753A6"/>
    <w:rsid w:val="00C76A12"/>
    <w:rsid w:val="00C77257"/>
    <w:rsid w:val="00C77E9E"/>
    <w:rsid w:val="00C8187A"/>
    <w:rsid w:val="00C82DF7"/>
    <w:rsid w:val="00C83375"/>
    <w:rsid w:val="00C854E7"/>
    <w:rsid w:val="00C864A1"/>
    <w:rsid w:val="00C86549"/>
    <w:rsid w:val="00C871A5"/>
    <w:rsid w:val="00C919B3"/>
    <w:rsid w:val="00C92B57"/>
    <w:rsid w:val="00C936B8"/>
    <w:rsid w:val="00C94FAB"/>
    <w:rsid w:val="00C9583C"/>
    <w:rsid w:val="00C95E3D"/>
    <w:rsid w:val="00C96B01"/>
    <w:rsid w:val="00C97183"/>
    <w:rsid w:val="00CA0925"/>
    <w:rsid w:val="00CA0F02"/>
    <w:rsid w:val="00CA11F2"/>
    <w:rsid w:val="00CA22C8"/>
    <w:rsid w:val="00CA51B9"/>
    <w:rsid w:val="00CA679A"/>
    <w:rsid w:val="00CA700A"/>
    <w:rsid w:val="00CB0F0E"/>
    <w:rsid w:val="00CB4065"/>
    <w:rsid w:val="00CB40DC"/>
    <w:rsid w:val="00CC09B2"/>
    <w:rsid w:val="00CC32F2"/>
    <w:rsid w:val="00CC5CA9"/>
    <w:rsid w:val="00CD0C49"/>
    <w:rsid w:val="00CD2B27"/>
    <w:rsid w:val="00CD2DFD"/>
    <w:rsid w:val="00CD314A"/>
    <w:rsid w:val="00CD4295"/>
    <w:rsid w:val="00CD4D4C"/>
    <w:rsid w:val="00CD5A3C"/>
    <w:rsid w:val="00CD5F96"/>
    <w:rsid w:val="00CD7DD0"/>
    <w:rsid w:val="00CE03C4"/>
    <w:rsid w:val="00CE0FAD"/>
    <w:rsid w:val="00CE1F3B"/>
    <w:rsid w:val="00CE205F"/>
    <w:rsid w:val="00CE338D"/>
    <w:rsid w:val="00CE68D8"/>
    <w:rsid w:val="00CF091C"/>
    <w:rsid w:val="00CF19AC"/>
    <w:rsid w:val="00CF1FCD"/>
    <w:rsid w:val="00CF2CCE"/>
    <w:rsid w:val="00CF5AD7"/>
    <w:rsid w:val="00CF72F8"/>
    <w:rsid w:val="00CF7472"/>
    <w:rsid w:val="00D014F8"/>
    <w:rsid w:val="00D02DA0"/>
    <w:rsid w:val="00D0490F"/>
    <w:rsid w:val="00D06F8C"/>
    <w:rsid w:val="00D07C67"/>
    <w:rsid w:val="00D10296"/>
    <w:rsid w:val="00D1257F"/>
    <w:rsid w:val="00D129A1"/>
    <w:rsid w:val="00D1347B"/>
    <w:rsid w:val="00D2066E"/>
    <w:rsid w:val="00D207CE"/>
    <w:rsid w:val="00D22A0B"/>
    <w:rsid w:val="00D26463"/>
    <w:rsid w:val="00D3223E"/>
    <w:rsid w:val="00D32DF0"/>
    <w:rsid w:val="00D366D8"/>
    <w:rsid w:val="00D400B2"/>
    <w:rsid w:val="00D40305"/>
    <w:rsid w:val="00D40E4E"/>
    <w:rsid w:val="00D4131C"/>
    <w:rsid w:val="00D426C8"/>
    <w:rsid w:val="00D42B31"/>
    <w:rsid w:val="00D43CAB"/>
    <w:rsid w:val="00D46655"/>
    <w:rsid w:val="00D46925"/>
    <w:rsid w:val="00D501A9"/>
    <w:rsid w:val="00D50A6B"/>
    <w:rsid w:val="00D54963"/>
    <w:rsid w:val="00D54ED0"/>
    <w:rsid w:val="00D57133"/>
    <w:rsid w:val="00D5734B"/>
    <w:rsid w:val="00D63F53"/>
    <w:rsid w:val="00D648B9"/>
    <w:rsid w:val="00D65AC4"/>
    <w:rsid w:val="00D763C6"/>
    <w:rsid w:val="00D83FE8"/>
    <w:rsid w:val="00D850F7"/>
    <w:rsid w:val="00D857B1"/>
    <w:rsid w:val="00D86CDF"/>
    <w:rsid w:val="00D8797B"/>
    <w:rsid w:val="00D935F3"/>
    <w:rsid w:val="00D938B7"/>
    <w:rsid w:val="00D94606"/>
    <w:rsid w:val="00D947F1"/>
    <w:rsid w:val="00D94D40"/>
    <w:rsid w:val="00D96D68"/>
    <w:rsid w:val="00DA2362"/>
    <w:rsid w:val="00DA2771"/>
    <w:rsid w:val="00DA3088"/>
    <w:rsid w:val="00DA32E8"/>
    <w:rsid w:val="00DA3B5C"/>
    <w:rsid w:val="00DA49FB"/>
    <w:rsid w:val="00DA504B"/>
    <w:rsid w:val="00DA53AC"/>
    <w:rsid w:val="00DB1C07"/>
    <w:rsid w:val="00DB2478"/>
    <w:rsid w:val="00DB5331"/>
    <w:rsid w:val="00DB54D8"/>
    <w:rsid w:val="00DC3733"/>
    <w:rsid w:val="00DC48C7"/>
    <w:rsid w:val="00DC5AEE"/>
    <w:rsid w:val="00DC6D53"/>
    <w:rsid w:val="00DC7A65"/>
    <w:rsid w:val="00DC7B0D"/>
    <w:rsid w:val="00DD1B5C"/>
    <w:rsid w:val="00DD20AE"/>
    <w:rsid w:val="00DD2A46"/>
    <w:rsid w:val="00DD59FF"/>
    <w:rsid w:val="00DD7E2F"/>
    <w:rsid w:val="00DE0CC0"/>
    <w:rsid w:val="00DE0F9C"/>
    <w:rsid w:val="00DE1FC9"/>
    <w:rsid w:val="00DE25A5"/>
    <w:rsid w:val="00DE6AB0"/>
    <w:rsid w:val="00DE7159"/>
    <w:rsid w:val="00DE72F9"/>
    <w:rsid w:val="00DF085C"/>
    <w:rsid w:val="00DF1032"/>
    <w:rsid w:val="00DF1CC0"/>
    <w:rsid w:val="00DF38FB"/>
    <w:rsid w:val="00DF4B6C"/>
    <w:rsid w:val="00DF5255"/>
    <w:rsid w:val="00DF5ADD"/>
    <w:rsid w:val="00E00BF9"/>
    <w:rsid w:val="00E035F1"/>
    <w:rsid w:val="00E0580C"/>
    <w:rsid w:val="00E07E58"/>
    <w:rsid w:val="00E10CBC"/>
    <w:rsid w:val="00E12267"/>
    <w:rsid w:val="00E13242"/>
    <w:rsid w:val="00E13CAD"/>
    <w:rsid w:val="00E14B3C"/>
    <w:rsid w:val="00E1556F"/>
    <w:rsid w:val="00E172CF"/>
    <w:rsid w:val="00E17DC4"/>
    <w:rsid w:val="00E20D54"/>
    <w:rsid w:val="00E253D6"/>
    <w:rsid w:val="00E2634D"/>
    <w:rsid w:val="00E265E9"/>
    <w:rsid w:val="00E2717B"/>
    <w:rsid w:val="00E343EA"/>
    <w:rsid w:val="00E34F00"/>
    <w:rsid w:val="00E40F6F"/>
    <w:rsid w:val="00E41085"/>
    <w:rsid w:val="00E41FFB"/>
    <w:rsid w:val="00E423D6"/>
    <w:rsid w:val="00E431A6"/>
    <w:rsid w:val="00E4522F"/>
    <w:rsid w:val="00E46949"/>
    <w:rsid w:val="00E46CF3"/>
    <w:rsid w:val="00E50D2D"/>
    <w:rsid w:val="00E55B7D"/>
    <w:rsid w:val="00E562AE"/>
    <w:rsid w:val="00E6043C"/>
    <w:rsid w:val="00E6085F"/>
    <w:rsid w:val="00E61BC0"/>
    <w:rsid w:val="00E62E3B"/>
    <w:rsid w:val="00E66147"/>
    <w:rsid w:val="00E705FF"/>
    <w:rsid w:val="00E71547"/>
    <w:rsid w:val="00E71F9F"/>
    <w:rsid w:val="00E722B0"/>
    <w:rsid w:val="00E73BB1"/>
    <w:rsid w:val="00E7621E"/>
    <w:rsid w:val="00E80D9E"/>
    <w:rsid w:val="00E821AA"/>
    <w:rsid w:val="00E83E17"/>
    <w:rsid w:val="00E84237"/>
    <w:rsid w:val="00E8459C"/>
    <w:rsid w:val="00E84A5E"/>
    <w:rsid w:val="00E87455"/>
    <w:rsid w:val="00E8759D"/>
    <w:rsid w:val="00E87EC8"/>
    <w:rsid w:val="00E9089D"/>
    <w:rsid w:val="00E91DDB"/>
    <w:rsid w:val="00E945A2"/>
    <w:rsid w:val="00EA1125"/>
    <w:rsid w:val="00EA2F6F"/>
    <w:rsid w:val="00EA4F03"/>
    <w:rsid w:val="00EA7E08"/>
    <w:rsid w:val="00EB1685"/>
    <w:rsid w:val="00EB1E8B"/>
    <w:rsid w:val="00EB2009"/>
    <w:rsid w:val="00EB2999"/>
    <w:rsid w:val="00EB5515"/>
    <w:rsid w:val="00EB7CD0"/>
    <w:rsid w:val="00EC0C6A"/>
    <w:rsid w:val="00EC3FEA"/>
    <w:rsid w:val="00EC659D"/>
    <w:rsid w:val="00EC7C1B"/>
    <w:rsid w:val="00EC7CF8"/>
    <w:rsid w:val="00ED4DE5"/>
    <w:rsid w:val="00EE057F"/>
    <w:rsid w:val="00EE0E10"/>
    <w:rsid w:val="00EE1B81"/>
    <w:rsid w:val="00EE1C17"/>
    <w:rsid w:val="00EE3DEF"/>
    <w:rsid w:val="00EE4F39"/>
    <w:rsid w:val="00EF3258"/>
    <w:rsid w:val="00EF4D3D"/>
    <w:rsid w:val="00EF661F"/>
    <w:rsid w:val="00EF70AC"/>
    <w:rsid w:val="00F011A0"/>
    <w:rsid w:val="00F020F1"/>
    <w:rsid w:val="00F02618"/>
    <w:rsid w:val="00F03292"/>
    <w:rsid w:val="00F036CF"/>
    <w:rsid w:val="00F0389C"/>
    <w:rsid w:val="00F0595D"/>
    <w:rsid w:val="00F07D56"/>
    <w:rsid w:val="00F1024F"/>
    <w:rsid w:val="00F12921"/>
    <w:rsid w:val="00F14BB3"/>
    <w:rsid w:val="00F169EF"/>
    <w:rsid w:val="00F171C0"/>
    <w:rsid w:val="00F24355"/>
    <w:rsid w:val="00F24AD4"/>
    <w:rsid w:val="00F25AC1"/>
    <w:rsid w:val="00F25B1A"/>
    <w:rsid w:val="00F26A2A"/>
    <w:rsid w:val="00F32297"/>
    <w:rsid w:val="00F328A2"/>
    <w:rsid w:val="00F336B6"/>
    <w:rsid w:val="00F35A31"/>
    <w:rsid w:val="00F36797"/>
    <w:rsid w:val="00F415A1"/>
    <w:rsid w:val="00F43715"/>
    <w:rsid w:val="00F44FC7"/>
    <w:rsid w:val="00F45FE7"/>
    <w:rsid w:val="00F467F7"/>
    <w:rsid w:val="00F52B16"/>
    <w:rsid w:val="00F53E7D"/>
    <w:rsid w:val="00F57557"/>
    <w:rsid w:val="00F6032F"/>
    <w:rsid w:val="00F60738"/>
    <w:rsid w:val="00F61E33"/>
    <w:rsid w:val="00F639D3"/>
    <w:rsid w:val="00F64B56"/>
    <w:rsid w:val="00F65F2A"/>
    <w:rsid w:val="00F672CE"/>
    <w:rsid w:val="00F71309"/>
    <w:rsid w:val="00F741DB"/>
    <w:rsid w:val="00F74230"/>
    <w:rsid w:val="00F80DEB"/>
    <w:rsid w:val="00F819EB"/>
    <w:rsid w:val="00F85258"/>
    <w:rsid w:val="00F86ED1"/>
    <w:rsid w:val="00F86FB5"/>
    <w:rsid w:val="00F90528"/>
    <w:rsid w:val="00F907C1"/>
    <w:rsid w:val="00F920E7"/>
    <w:rsid w:val="00F94C1B"/>
    <w:rsid w:val="00F95533"/>
    <w:rsid w:val="00F957BD"/>
    <w:rsid w:val="00F95E03"/>
    <w:rsid w:val="00F96B48"/>
    <w:rsid w:val="00F975B4"/>
    <w:rsid w:val="00FA0084"/>
    <w:rsid w:val="00FA1160"/>
    <w:rsid w:val="00FA1B43"/>
    <w:rsid w:val="00FA2806"/>
    <w:rsid w:val="00FA311B"/>
    <w:rsid w:val="00FA4621"/>
    <w:rsid w:val="00FA5406"/>
    <w:rsid w:val="00FA5B63"/>
    <w:rsid w:val="00FA5FB6"/>
    <w:rsid w:val="00FB0C22"/>
    <w:rsid w:val="00FB19AD"/>
    <w:rsid w:val="00FB23DD"/>
    <w:rsid w:val="00FB3628"/>
    <w:rsid w:val="00FB785A"/>
    <w:rsid w:val="00FC09D5"/>
    <w:rsid w:val="00FC13E5"/>
    <w:rsid w:val="00FC1A45"/>
    <w:rsid w:val="00FC1FA8"/>
    <w:rsid w:val="00FC31BF"/>
    <w:rsid w:val="00FC4AB3"/>
    <w:rsid w:val="00FD137B"/>
    <w:rsid w:val="00FD54FF"/>
    <w:rsid w:val="00FF0B46"/>
    <w:rsid w:val="00FF0EBC"/>
    <w:rsid w:val="00FF10BD"/>
    <w:rsid w:val="00FF11D3"/>
    <w:rsid w:val="00FF2AA2"/>
    <w:rsid w:val="00FF36B5"/>
    <w:rsid w:val="00FF6152"/>
    <w:rsid w:val="00FF652B"/>
    <w:rsid w:val="00FF6D1A"/>
    <w:rsid w:val="00FF7E51"/>
    <w:rsid w:val="06C82428"/>
    <w:rsid w:val="3A527176"/>
    <w:rsid w:val="3C430E58"/>
    <w:rsid w:val="400F61A9"/>
    <w:rsid w:val="41B347D6"/>
    <w:rsid w:val="46336C3C"/>
    <w:rsid w:val="4636663F"/>
    <w:rsid w:val="47F3019E"/>
    <w:rsid w:val="7FA058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Times New Roman" w:hAnsi="Times New Roman" w:eastAsia="仿宋_GB2312" w:cs="Times New Roman"/>
      <w:kern w:val="2"/>
      <w:sz w:val="28"/>
      <w:lang w:val="en-US" w:eastAsia="zh-CN" w:bidi="ar-SA"/>
    </w:rPr>
  </w:style>
  <w:style w:type="paragraph" w:styleId="2">
    <w:name w:val="heading 1"/>
    <w:basedOn w:val="1"/>
    <w:next w:val="1"/>
    <w:link w:val="74"/>
    <w:qFormat/>
    <w:uiPriority w:val="0"/>
    <w:pPr>
      <w:keepNext/>
      <w:keepLines/>
      <w:spacing w:before="120" w:after="120"/>
      <w:ind w:firstLine="0" w:firstLineChars="0"/>
      <w:jc w:val="center"/>
      <w:outlineLvl w:val="0"/>
    </w:pPr>
    <w:rPr>
      <w:rFonts w:eastAsia="黑体"/>
      <w:b/>
      <w:kern w:val="44"/>
      <w:sz w:val="44"/>
      <w:lang w:val="zh-CN" w:eastAsia="zh-CN"/>
    </w:rPr>
  </w:style>
  <w:style w:type="paragraph" w:styleId="3">
    <w:name w:val="heading 2"/>
    <w:basedOn w:val="1"/>
    <w:next w:val="1"/>
    <w:link w:val="36"/>
    <w:qFormat/>
    <w:uiPriority w:val="9"/>
    <w:pPr>
      <w:spacing w:before="120" w:after="120"/>
      <w:ind w:firstLine="0" w:firstLineChars="0"/>
      <w:jc w:val="left"/>
      <w:outlineLvl w:val="1"/>
    </w:pPr>
    <w:rPr>
      <w:rFonts w:eastAsia="黑体"/>
      <w:b/>
      <w:kern w:val="0"/>
      <w:sz w:val="32"/>
      <w:lang w:val="zh-CN" w:eastAsia="zh-CN"/>
    </w:rPr>
  </w:style>
  <w:style w:type="paragraph" w:styleId="4">
    <w:name w:val="heading 3"/>
    <w:basedOn w:val="1"/>
    <w:next w:val="1"/>
    <w:link w:val="37"/>
    <w:qFormat/>
    <w:uiPriority w:val="0"/>
    <w:pPr>
      <w:ind w:firstLine="0" w:firstLineChars="0"/>
      <w:outlineLvl w:val="2"/>
    </w:pPr>
    <w:rPr>
      <w:rFonts w:eastAsia="黑体"/>
      <w:b/>
      <w:kern w:val="0"/>
      <w:sz w:val="32"/>
      <w:lang w:val="zh-CN" w:eastAsia="zh-CN"/>
    </w:rPr>
  </w:style>
  <w:style w:type="paragraph" w:styleId="5">
    <w:name w:val="heading 4"/>
    <w:basedOn w:val="1"/>
    <w:next w:val="1"/>
    <w:link w:val="68"/>
    <w:qFormat/>
    <w:uiPriority w:val="0"/>
    <w:pPr>
      <w:ind w:firstLine="420"/>
      <w:jc w:val="left"/>
      <w:outlineLvl w:val="3"/>
    </w:pPr>
    <w:rPr>
      <w:kern w:val="0"/>
      <w:lang w:val="zh-CN" w:eastAsia="zh-CN"/>
    </w:rPr>
  </w:style>
  <w:style w:type="paragraph" w:styleId="6">
    <w:name w:val="heading 5"/>
    <w:basedOn w:val="1"/>
    <w:next w:val="1"/>
    <w:link w:val="50"/>
    <w:qFormat/>
    <w:uiPriority w:val="0"/>
    <w:pPr>
      <w:keepNext/>
      <w:keepLines/>
      <w:ind w:firstLine="0" w:firstLineChars="0"/>
      <w:outlineLvl w:val="4"/>
    </w:pPr>
    <w:rPr>
      <w:rFonts w:eastAsia="宋体"/>
      <w:b/>
      <w:kern w:val="0"/>
      <w:lang w:val="zh-CN" w:eastAsia="zh-CN"/>
    </w:rPr>
  </w:style>
  <w:style w:type="paragraph" w:styleId="7">
    <w:name w:val="heading 6"/>
    <w:basedOn w:val="1"/>
    <w:next w:val="1"/>
    <w:link w:val="109"/>
    <w:qFormat/>
    <w:uiPriority w:val="0"/>
    <w:pPr>
      <w:keepNext/>
      <w:keepLines/>
      <w:widowControl/>
      <w:tabs>
        <w:tab w:val="left" w:pos="-1908"/>
      </w:tabs>
      <w:spacing w:before="240" w:after="64" w:line="320" w:lineRule="auto"/>
      <w:ind w:left="-1908" w:hanging="1152" w:firstLineChars="0"/>
      <w:jc w:val="left"/>
      <w:outlineLvl w:val="5"/>
    </w:pPr>
    <w:rPr>
      <w:rFonts w:ascii="Arial" w:hAnsi="Arial" w:eastAsia="黑体"/>
      <w:b/>
      <w:bCs/>
      <w:kern w:val="0"/>
      <w:sz w:val="24"/>
      <w:szCs w:val="24"/>
      <w:lang w:val="zh-CN" w:eastAsia="zh-CN"/>
    </w:rPr>
  </w:style>
  <w:style w:type="paragraph" w:styleId="8">
    <w:name w:val="heading 7"/>
    <w:basedOn w:val="1"/>
    <w:next w:val="1"/>
    <w:link w:val="110"/>
    <w:qFormat/>
    <w:uiPriority w:val="0"/>
    <w:pPr>
      <w:keepNext/>
      <w:keepLines/>
      <w:widowControl/>
      <w:tabs>
        <w:tab w:val="left" w:pos="-1764"/>
      </w:tabs>
      <w:spacing w:before="240" w:after="64" w:line="320" w:lineRule="auto"/>
      <w:ind w:left="-1764" w:hanging="1296" w:firstLineChars="0"/>
      <w:jc w:val="left"/>
      <w:outlineLvl w:val="6"/>
    </w:pPr>
    <w:rPr>
      <w:rFonts w:eastAsia="仿宋"/>
      <w:b/>
      <w:bCs/>
      <w:kern w:val="0"/>
      <w:sz w:val="24"/>
      <w:szCs w:val="24"/>
      <w:lang w:val="zh-CN" w:eastAsia="zh-CN"/>
    </w:rPr>
  </w:style>
  <w:style w:type="paragraph" w:styleId="9">
    <w:name w:val="heading 8"/>
    <w:basedOn w:val="1"/>
    <w:next w:val="1"/>
    <w:link w:val="111"/>
    <w:qFormat/>
    <w:uiPriority w:val="0"/>
    <w:pPr>
      <w:keepNext/>
      <w:keepLines/>
      <w:widowControl/>
      <w:tabs>
        <w:tab w:val="left" w:pos="-1620"/>
      </w:tabs>
      <w:spacing w:before="240" w:after="64" w:line="320" w:lineRule="auto"/>
      <w:ind w:left="-1620" w:hanging="1440" w:firstLineChars="0"/>
      <w:jc w:val="left"/>
      <w:outlineLvl w:val="7"/>
    </w:pPr>
    <w:rPr>
      <w:rFonts w:ascii="Arial" w:hAnsi="Arial" w:eastAsia="黑体"/>
      <w:kern w:val="0"/>
      <w:sz w:val="24"/>
      <w:szCs w:val="24"/>
      <w:lang w:val="zh-CN" w:eastAsia="zh-CN"/>
    </w:rPr>
  </w:style>
  <w:style w:type="paragraph" w:styleId="10">
    <w:name w:val="heading 9"/>
    <w:basedOn w:val="1"/>
    <w:next w:val="1"/>
    <w:link w:val="112"/>
    <w:qFormat/>
    <w:uiPriority w:val="0"/>
    <w:pPr>
      <w:keepNext/>
      <w:keepLines/>
      <w:widowControl/>
      <w:tabs>
        <w:tab w:val="left" w:pos="-1476"/>
      </w:tabs>
      <w:spacing w:before="240" w:after="64" w:line="320" w:lineRule="auto"/>
      <w:ind w:left="-1476" w:hanging="1584" w:firstLineChars="0"/>
      <w:jc w:val="left"/>
      <w:outlineLvl w:val="8"/>
    </w:pPr>
    <w:rPr>
      <w:rFonts w:ascii="Arial" w:hAnsi="Arial" w:eastAsia="黑体"/>
      <w:kern w:val="0"/>
      <w:sz w:val="24"/>
      <w:szCs w:val="21"/>
      <w:lang w:val="zh-CN" w:eastAsia="zh-CN"/>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Layout w:type="fixed"/>
      <w:tblCellMar>
        <w:top w:w="0" w:type="dxa"/>
        <w:left w:w="108" w:type="dxa"/>
        <w:bottom w:w="0" w:type="dxa"/>
        <w:right w:w="108" w:type="dxa"/>
      </w:tblCellMar>
    </w:tblPr>
  </w:style>
  <w:style w:type="paragraph" w:styleId="11">
    <w:name w:val="toc 7"/>
    <w:basedOn w:val="1"/>
    <w:next w:val="1"/>
    <w:qFormat/>
    <w:uiPriority w:val="0"/>
    <w:pPr>
      <w:spacing w:line="240" w:lineRule="auto"/>
      <w:ind w:left="2520" w:leftChars="1200" w:firstLine="0" w:firstLineChars="0"/>
    </w:pPr>
    <w:rPr>
      <w:rFonts w:ascii="Calibri" w:hAnsi="Calibri" w:eastAsia="宋体"/>
      <w:sz w:val="21"/>
    </w:rPr>
  </w:style>
  <w:style w:type="paragraph" w:styleId="12">
    <w:name w:val="caption"/>
    <w:basedOn w:val="1"/>
    <w:next w:val="1"/>
    <w:link w:val="35"/>
    <w:qFormat/>
    <w:uiPriority w:val="0"/>
    <w:pPr>
      <w:spacing w:line="240" w:lineRule="auto"/>
      <w:ind w:firstLine="0" w:firstLineChars="0"/>
      <w:jc w:val="center"/>
    </w:pPr>
    <w:rPr>
      <w:rFonts w:ascii="仿宋" w:hAnsi="仿宋" w:eastAsia="仿宋"/>
      <w:b/>
      <w:kern w:val="0"/>
      <w:sz w:val="20"/>
      <w:lang w:val="zh-CN" w:eastAsia="zh-CN"/>
    </w:rPr>
  </w:style>
  <w:style w:type="paragraph" w:styleId="13">
    <w:name w:val="Document Map"/>
    <w:basedOn w:val="1"/>
    <w:link w:val="86"/>
    <w:semiHidden/>
    <w:unhideWhenUsed/>
    <w:qFormat/>
    <w:uiPriority w:val="99"/>
    <w:rPr>
      <w:rFonts w:ascii="宋体" w:eastAsia="宋体"/>
      <w:sz w:val="18"/>
      <w:szCs w:val="18"/>
      <w:lang w:val="zh-CN" w:eastAsia="zh-CN"/>
    </w:rPr>
  </w:style>
  <w:style w:type="paragraph" w:styleId="14">
    <w:name w:val="annotation text"/>
    <w:basedOn w:val="1"/>
    <w:link w:val="88"/>
    <w:semiHidden/>
    <w:unhideWhenUsed/>
    <w:qFormat/>
    <w:uiPriority w:val="99"/>
    <w:pPr>
      <w:jc w:val="left"/>
    </w:pPr>
    <w:rPr>
      <w:lang w:val="zh-CN" w:eastAsia="zh-CN"/>
    </w:rPr>
  </w:style>
  <w:style w:type="paragraph" w:styleId="15">
    <w:name w:val="Body Text"/>
    <w:basedOn w:val="1"/>
    <w:qFormat/>
    <w:uiPriority w:val="0"/>
    <w:pPr>
      <w:spacing w:after="120"/>
      <w:ind w:firstLine="200" w:firstLineChars="200"/>
    </w:pPr>
    <w:rPr>
      <w:rFonts w:eastAsia="楷体_GB2312" w:cs="Arial"/>
      <w:color w:val="000000"/>
      <w:szCs w:val="72"/>
    </w:rPr>
  </w:style>
  <w:style w:type="paragraph" w:styleId="16">
    <w:name w:val="toc 5"/>
    <w:basedOn w:val="1"/>
    <w:next w:val="1"/>
    <w:qFormat/>
    <w:uiPriority w:val="0"/>
    <w:pPr>
      <w:spacing w:line="240" w:lineRule="auto"/>
      <w:ind w:left="1680" w:leftChars="800" w:firstLine="0" w:firstLineChars="0"/>
    </w:pPr>
    <w:rPr>
      <w:rFonts w:ascii="Calibri" w:hAnsi="Calibri" w:eastAsia="宋体"/>
      <w:sz w:val="21"/>
    </w:rPr>
  </w:style>
  <w:style w:type="paragraph" w:styleId="17">
    <w:name w:val="toc 3"/>
    <w:basedOn w:val="1"/>
    <w:next w:val="1"/>
    <w:qFormat/>
    <w:uiPriority w:val="0"/>
    <w:pPr>
      <w:spacing w:line="240" w:lineRule="auto"/>
      <w:ind w:firstLine="350" w:firstLineChars="350"/>
      <w:jc w:val="left"/>
    </w:pPr>
  </w:style>
  <w:style w:type="paragraph" w:styleId="18">
    <w:name w:val="toc 8"/>
    <w:basedOn w:val="1"/>
    <w:next w:val="1"/>
    <w:qFormat/>
    <w:uiPriority w:val="0"/>
    <w:pPr>
      <w:spacing w:line="240" w:lineRule="auto"/>
      <w:ind w:left="2940" w:leftChars="1400" w:firstLine="0" w:firstLineChars="0"/>
    </w:pPr>
    <w:rPr>
      <w:rFonts w:ascii="Calibri" w:hAnsi="Calibri" w:eastAsia="宋体"/>
      <w:sz w:val="21"/>
    </w:rPr>
  </w:style>
  <w:style w:type="paragraph" w:styleId="19">
    <w:name w:val="Balloon Text"/>
    <w:basedOn w:val="1"/>
    <w:link w:val="90"/>
    <w:semiHidden/>
    <w:unhideWhenUsed/>
    <w:qFormat/>
    <w:uiPriority w:val="99"/>
    <w:pPr>
      <w:spacing w:line="240" w:lineRule="auto"/>
    </w:pPr>
    <w:rPr>
      <w:sz w:val="18"/>
      <w:szCs w:val="18"/>
      <w:lang w:val="zh-CN" w:eastAsia="zh-CN"/>
    </w:rPr>
  </w:style>
  <w:style w:type="paragraph" w:styleId="20">
    <w:name w:val="footer"/>
    <w:basedOn w:val="1"/>
    <w:link w:val="98"/>
    <w:unhideWhenUsed/>
    <w:qFormat/>
    <w:uiPriority w:val="99"/>
    <w:pPr>
      <w:tabs>
        <w:tab w:val="center" w:pos="4153"/>
        <w:tab w:val="right" w:pos="8306"/>
      </w:tabs>
      <w:snapToGrid w:val="0"/>
      <w:spacing w:line="240" w:lineRule="auto"/>
      <w:jc w:val="left"/>
    </w:pPr>
    <w:rPr>
      <w:sz w:val="18"/>
      <w:szCs w:val="18"/>
      <w:lang w:val="zh-CN" w:eastAsia="zh-CN"/>
    </w:rPr>
  </w:style>
  <w:style w:type="paragraph" w:styleId="21">
    <w:name w:val="header"/>
    <w:basedOn w:val="1"/>
    <w:link w:val="87"/>
    <w:unhideWhenUsed/>
    <w:qFormat/>
    <w:uiPriority w:val="99"/>
    <w:pPr>
      <w:pBdr>
        <w:bottom w:val="single" w:color="auto" w:sz="6" w:space="1"/>
      </w:pBdr>
      <w:tabs>
        <w:tab w:val="center" w:pos="4153"/>
        <w:tab w:val="right" w:pos="8306"/>
      </w:tabs>
      <w:snapToGrid w:val="0"/>
      <w:spacing w:line="240" w:lineRule="auto"/>
      <w:jc w:val="center"/>
    </w:pPr>
    <w:rPr>
      <w:sz w:val="18"/>
      <w:szCs w:val="18"/>
      <w:lang w:val="zh-CN" w:eastAsia="zh-CN"/>
    </w:rPr>
  </w:style>
  <w:style w:type="paragraph" w:styleId="22">
    <w:name w:val="toc 1"/>
    <w:basedOn w:val="1"/>
    <w:next w:val="1"/>
    <w:qFormat/>
    <w:uiPriority w:val="39"/>
    <w:pPr>
      <w:adjustRightInd w:val="0"/>
      <w:ind w:firstLine="0" w:firstLineChars="0"/>
    </w:pPr>
    <w:rPr>
      <w:b/>
    </w:rPr>
  </w:style>
  <w:style w:type="paragraph" w:styleId="23">
    <w:name w:val="toc 4"/>
    <w:basedOn w:val="1"/>
    <w:next w:val="1"/>
    <w:qFormat/>
    <w:uiPriority w:val="0"/>
    <w:pPr>
      <w:spacing w:line="240" w:lineRule="auto"/>
      <w:ind w:left="1260" w:leftChars="600" w:firstLine="0" w:firstLineChars="0"/>
    </w:pPr>
    <w:rPr>
      <w:rFonts w:ascii="Calibri" w:hAnsi="Calibri" w:eastAsia="宋体"/>
      <w:sz w:val="21"/>
    </w:rPr>
  </w:style>
  <w:style w:type="paragraph" w:styleId="24">
    <w:name w:val="toc 6"/>
    <w:basedOn w:val="1"/>
    <w:next w:val="1"/>
    <w:qFormat/>
    <w:uiPriority w:val="0"/>
    <w:pPr>
      <w:spacing w:line="240" w:lineRule="auto"/>
      <w:ind w:left="2100" w:leftChars="1000" w:firstLine="0" w:firstLineChars="0"/>
    </w:pPr>
    <w:rPr>
      <w:rFonts w:ascii="Calibri" w:hAnsi="Calibri" w:eastAsia="宋体"/>
      <w:sz w:val="21"/>
    </w:rPr>
  </w:style>
  <w:style w:type="paragraph" w:styleId="25">
    <w:name w:val="toc 2"/>
    <w:basedOn w:val="1"/>
    <w:next w:val="1"/>
    <w:qFormat/>
    <w:uiPriority w:val="39"/>
    <w:pPr>
      <w:tabs>
        <w:tab w:val="left" w:pos="1260"/>
        <w:tab w:val="right" w:leader="dot" w:pos="8778"/>
      </w:tabs>
      <w:ind w:firstLine="566" w:firstLineChars="202"/>
    </w:pPr>
  </w:style>
  <w:style w:type="paragraph" w:styleId="26">
    <w:name w:val="toc 9"/>
    <w:basedOn w:val="1"/>
    <w:next w:val="1"/>
    <w:qFormat/>
    <w:uiPriority w:val="0"/>
    <w:pPr>
      <w:spacing w:line="240" w:lineRule="auto"/>
      <w:ind w:left="3360" w:leftChars="1600" w:firstLine="0" w:firstLineChars="0"/>
    </w:pPr>
    <w:rPr>
      <w:rFonts w:ascii="Calibri" w:hAnsi="Calibri" w:eastAsia="宋体"/>
      <w:sz w:val="21"/>
    </w:rPr>
  </w:style>
  <w:style w:type="paragraph" w:styleId="27">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styleId="28">
    <w:name w:val="annotation subject"/>
    <w:basedOn w:val="14"/>
    <w:next w:val="14"/>
    <w:link w:val="89"/>
    <w:semiHidden/>
    <w:unhideWhenUsed/>
    <w:qFormat/>
    <w:uiPriority w:val="99"/>
    <w:rPr>
      <w:b/>
      <w:bCs/>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2">
    <w:name w:val="FollowedHyperlink"/>
    <w:semiHidden/>
    <w:unhideWhenUsed/>
    <w:qFormat/>
    <w:uiPriority w:val="99"/>
    <w:rPr>
      <w:color w:val="FF00FF"/>
      <w:u w:val="single"/>
    </w:rPr>
  </w:style>
  <w:style w:type="character" w:styleId="33">
    <w:name w:val="Hyperlink"/>
    <w:qFormat/>
    <w:uiPriority w:val="99"/>
    <w:rPr>
      <w:color w:val="0000FF"/>
      <w:u w:val="single"/>
    </w:rPr>
  </w:style>
  <w:style w:type="character" w:styleId="34">
    <w:name w:val="annotation reference"/>
    <w:semiHidden/>
    <w:unhideWhenUsed/>
    <w:qFormat/>
    <w:uiPriority w:val="99"/>
    <w:rPr>
      <w:sz w:val="21"/>
      <w:szCs w:val="21"/>
    </w:rPr>
  </w:style>
  <w:style w:type="character" w:customStyle="1" w:styleId="35">
    <w:name w:val="题注 字符1"/>
    <w:link w:val="12"/>
    <w:qFormat/>
    <w:uiPriority w:val="0"/>
    <w:rPr>
      <w:rFonts w:ascii="仿宋" w:hAnsi="仿宋" w:eastAsia="仿宋"/>
      <w:b/>
      <w:kern w:val="0"/>
    </w:rPr>
  </w:style>
  <w:style w:type="character" w:customStyle="1" w:styleId="36">
    <w:name w:val="标题 2 字符"/>
    <w:link w:val="3"/>
    <w:qFormat/>
    <w:uiPriority w:val="9"/>
    <w:rPr>
      <w:rFonts w:ascii="Times New Roman" w:hAnsi="Times New Roman" w:eastAsia="黑体"/>
      <w:b/>
      <w:sz w:val="32"/>
    </w:rPr>
  </w:style>
  <w:style w:type="character" w:customStyle="1" w:styleId="37">
    <w:name w:val="标题 3 字符"/>
    <w:link w:val="4"/>
    <w:qFormat/>
    <w:uiPriority w:val="0"/>
    <w:rPr>
      <w:rFonts w:ascii="Times New Roman" w:hAnsi="Times New Roman" w:eastAsia="黑体"/>
      <w:b/>
      <w:sz w:val="32"/>
    </w:rPr>
  </w:style>
  <w:style w:type="character" w:customStyle="1" w:styleId="38">
    <w:name w:val="页脚 Char"/>
    <w:link w:val="39"/>
    <w:qFormat/>
    <w:uiPriority w:val="0"/>
    <w:rPr>
      <w:rFonts w:ascii="Times New Roman" w:hAnsi="Times New Roman" w:eastAsia="宋体"/>
      <w:sz w:val="18"/>
    </w:rPr>
  </w:style>
  <w:style w:type="paragraph" w:customStyle="1" w:styleId="39">
    <w:name w:val="页脚1"/>
    <w:basedOn w:val="1"/>
    <w:link w:val="38"/>
    <w:qFormat/>
    <w:uiPriority w:val="0"/>
    <w:pPr>
      <w:tabs>
        <w:tab w:val="center" w:pos="4153"/>
        <w:tab w:val="right" w:pos="8306"/>
      </w:tabs>
      <w:snapToGrid w:val="0"/>
      <w:spacing w:line="240" w:lineRule="auto"/>
      <w:jc w:val="left"/>
    </w:pPr>
    <w:rPr>
      <w:rFonts w:eastAsia="宋体"/>
      <w:kern w:val="0"/>
      <w:sz w:val="18"/>
      <w:lang w:val="zh-CN" w:eastAsia="zh-CN"/>
    </w:rPr>
  </w:style>
  <w:style w:type="character" w:customStyle="1" w:styleId="40">
    <w:name w:val="正文-加粗 字符"/>
    <w:link w:val="41"/>
    <w:qFormat/>
    <w:uiPriority w:val="0"/>
    <w:rPr>
      <w:rFonts w:ascii="Times" w:hAnsi="Times" w:eastAsia="仿宋_GB2312"/>
      <w:b/>
      <w:sz w:val="28"/>
    </w:rPr>
  </w:style>
  <w:style w:type="paragraph" w:customStyle="1" w:styleId="41">
    <w:name w:val="正文-加粗"/>
    <w:basedOn w:val="1"/>
    <w:link w:val="40"/>
    <w:qFormat/>
    <w:uiPriority w:val="0"/>
    <w:pPr>
      <w:ind w:firstLine="562"/>
    </w:pPr>
    <w:rPr>
      <w:rFonts w:ascii="Times" w:hAnsi="Times"/>
      <w:b/>
      <w:kern w:val="0"/>
      <w:lang w:val="zh-CN" w:eastAsia="zh-CN"/>
    </w:rPr>
  </w:style>
  <w:style w:type="character" w:customStyle="1" w:styleId="42">
    <w:name w:val="一级标题 字符"/>
    <w:link w:val="43"/>
    <w:qFormat/>
    <w:uiPriority w:val="0"/>
    <w:rPr>
      <w:rFonts w:ascii="Times" w:hAnsi="Times" w:eastAsia="黑体"/>
      <w:b/>
      <w:kern w:val="44"/>
      <w:sz w:val="44"/>
    </w:rPr>
  </w:style>
  <w:style w:type="paragraph" w:customStyle="1" w:styleId="43">
    <w:name w:val="一级标题"/>
    <w:basedOn w:val="2"/>
    <w:next w:val="44"/>
    <w:link w:val="42"/>
    <w:qFormat/>
    <w:uiPriority w:val="0"/>
    <w:pPr>
      <w:numPr>
        <w:ilvl w:val="0"/>
        <w:numId w:val="1"/>
      </w:numPr>
      <w:spacing w:before="0" w:after="0" w:line="240" w:lineRule="auto"/>
      <w:jc w:val="left"/>
    </w:pPr>
    <w:rPr>
      <w:rFonts w:ascii="Times" w:hAnsi="Times"/>
    </w:rPr>
  </w:style>
  <w:style w:type="paragraph" w:customStyle="1" w:styleId="44">
    <w:name w:val="二级标题"/>
    <w:basedOn w:val="3"/>
    <w:next w:val="45"/>
    <w:link w:val="64"/>
    <w:qFormat/>
    <w:uiPriority w:val="0"/>
    <w:pPr>
      <w:spacing w:before="0" w:after="0"/>
    </w:pPr>
    <w:rPr>
      <w:rFonts w:eastAsia="仿宋"/>
    </w:rPr>
  </w:style>
  <w:style w:type="paragraph" w:customStyle="1" w:styleId="45">
    <w:name w:val="三级标题"/>
    <w:basedOn w:val="4"/>
    <w:link w:val="63"/>
    <w:qFormat/>
    <w:uiPriority w:val="0"/>
    <w:pPr>
      <w:numPr>
        <w:ilvl w:val="2"/>
        <w:numId w:val="1"/>
      </w:numPr>
      <w:ind w:firstLine="200" w:firstLineChars="200"/>
    </w:pPr>
    <w:rPr>
      <w:rFonts w:eastAsia="仿宋"/>
    </w:rPr>
  </w:style>
  <w:style w:type="character" w:customStyle="1" w:styleId="46">
    <w:name w:val="批注文字 Char"/>
    <w:link w:val="47"/>
    <w:qFormat/>
    <w:uiPriority w:val="0"/>
    <w:rPr>
      <w:rFonts w:ascii="Times New Roman" w:hAnsi="Times New Roman" w:eastAsia="仿宋_GB2312"/>
      <w:sz w:val="28"/>
    </w:rPr>
  </w:style>
  <w:style w:type="paragraph" w:customStyle="1" w:styleId="47">
    <w:name w:val="批注文字1"/>
    <w:basedOn w:val="1"/>
    <w:link w:val="46"/>
    <w:qFormat/>
    <w:uiPriority w:val="0"/>
    <w:pPr>
      <w:jc w:val="left"/>
    </w:pPr>
    <w:rPr>
      <w:kern w:val="0"/>
      <w:lang w:val="zh-CN" w:eastAsia="zh-CN"/>
    </w:rPr>
  </w:style>
  <w:style w:type="character" w:customStyle="1" w:styleId="48">
    <w:name w:val="正文文本缩进 2 Char"/>
    <w:link w:val="49"/>
    <w:qFormat/>
    <w:uiPriority w:val="0"/>
    <w:rPr>
      <w:rFonts w:ascii="Times New Roman" w:hAnsi="Times New Roman" w:eastAsia="仿宋_GB2312"/>
      <w:sz w:val="28"/>
    </w:rPr>
  </w:style>
  <w:style w:type="paragraph" w:customStyle="1" w:styleId="49">
    <w:name w:val="正文文本缩进 21"/>
    <w:basedOn w:val="1"/>
    <w:link w:val="48"/>
    <w:qFormat/>
    <w:uiPriority w:val="0"/>
    <w:pPr>
      <w:spacing w:after="120" w:line="480" w:lineRule="auto"/>
      <w:ind w:left="420" w:leftChars="200"/>
    </w:pPr>
    <w:rPr>
      <w:kern w:val="0"/>
      <w:lang w:val="zh-CN" w:eastAsia="zh-CN"/>
    </w:rPr>
  </w:style>
  <w:style w:type="character" w:customStyle="1" w:styleId="50">
    <w:name w:val="标题 5 字符"/>
    <w:link w:val="6"/>
    <w:qFormat/>
    <w:uiPriority w:val="0"/>
    <w:rPr>
      <w:rFonts w:ascii="Times New Roman" w:hAnsi="Times New Roman" w:eastAsia="宋体"/>
      <w:b/>
      <w:sz w:val="28"/>
    </w:rPr>
  </w:style>
  <w:style w:type="character" w:customStyle="1" w:styleId="51">
    <w:name w:val="表格内容 Char"/>
    <w:link w:val="52"/>
    <w:qFormat/>
    <w:uiPriority w:val="0"/>
    <w:rPr>
      <w:rFonts w:ascii="Times New Roman" w:hAnsi="Times New Roman" w:eastAsia="宋体"/>
      <w:kern w:val="0"/>
      <w:sz w:val="21"/>
      <w:lang w:val="zh-CN" w:eastAsia="zh-CN"/>
    </w:rPr>
  </w:style>
  <w:style w:type="paragraph" w:customStyle="1" w:styleId="52">
    <w:name w:val="表格内容"/>
    <w:basedOn w:val="53"/>
    <w:link w:val="51"/>
    <w:qFormat/>
    <w:uiPriority w:val="0"/>
    <w:pPr>
      <w:adjustRightInd w:val="0"/>
      <w:spacing w:line="240" w:lineRule="auto"/>
      <w:ind w:firstLine="0" w:firstLineChars="0"/>
      <w:jc w:val="center"/>
      <w:textAlignment w:val="center"/>
    </w:pPr>
    <w:rPr>
      <w:rFonts w:eastAsia="宋体"/>
      <w:kern w:val="0"/>
      <w:sz w:val="21"/>
      <w:lang w:val="zh-CN"/>
    </w:rPr>
  </w:style>
  <w:style w:type="paragraph" w:customStyle="1" w:styleId="53">
    <w:name w:val="正文缩进1"/>
    <w:basedOn w:val="1"/>
    <w:qFormat/>
    <w:uiPriority w:val="0"/>
    <w:pPr>
      <w:ind w:firstLine="420"/>
    </w:pPr>
  </w:style>
  <w:style w:type="character" w:customStyle="1" w:styleId="54">
    <w:name w:val="列出段落 Char"/>
    <w:link w:val="55"/>
    <w:qFormat/>
    <w:uiPriority w:val="0"/>
    <w:rPr>
      <w:rFonts w:ascii="Times New Roman" w:hAnsi="Times New Roman" w:eastAsia="仿宋_GB2312"/>
      <w:sz w:val="28"/>
    </w:rPr>
  </w:style>
  <w:style w:type="paragraph" w:customStyle="1" w:styleId="55">
    <w:name w:val="列出段落2"/>
    <w:basedOn w:val="1"/>
    <w:link w:val="54"/>
    <w:qFormat/>
    <w:uiPriority w:val="0"/>
    <w:pPr>
      <w:ind w:firstLine="200"/>
      <w:outlineLvl w:val="3"/>
    </w:pPr>
    <w:rPr>
      <w:kern w:val="0"/>
      <w:lang w:val="zh-CN" w:eastAsia="zh-CN"/>
    </w:rPr>
  </w:style>
  <w:style w:type="character" w:customStyle="1" w:styleId="56">
    <w:name w:val="文档结构图 Char"/>
    <w:link w:val="57"/>
    <w:qFormat/>
    <w:uiPriority w:val="0"/>
    <w:rPr>
      <w:rFonts w:ascii="宋体" w:hAnsi="Times New Roman"/>
      <w:sz w:val="18"/>
    </w:rPr>
  </w:style>
  <w:style w:type="paragraph" w:customStyle="1" w:styleId="57">
    <w:name w:val="文档结构图1"/>
    <w:basedOn w:val="1"/>
    <w:link w:val="56"/>
    <w:qFormat/>
    <w:uiPriority w:val="0"/>
    <w:rPr>
      <w:rFonts w:ascii="宋体" w:eastAsia="宋体"/>
      <w:kern w:val="0"/>
      <w:sz w:val="18"/>
      <w:lang w:val="zh-CN" w:eastAsia="zh-CN"/>
    </w:rPr>
  </w:style>
  <w:style w:type="character" w:customStyle="1" w:styleId="58">
    <w:name w:val="七级图标题 字符"/>
    <w:link w:val="59"/>
    <w:qFormat/>
    <w:uiPriority w:val="0"/>
    <w:rPr>
      <w:rFonts w:ascii="Times New Roman" w:hAnsi="Times New Roman" w:eastAsia="仿宋_GB2312"/>
      <w:kern w:val="0"/>
      <w:sz w:val="24"/>
      <w:lang w:val="zh-CN" w:eastAsia="zh-CN"/>
    </w:rPr>
  </w:style>
  <w:style w:type="paragraph" w:customStyle="1" w:styleId="59">
    <w:name w:val="七级图标题"/>
    <w:basedOn w:val="1"/>
    <w:link w:val="58"/>
    <w:qFormat/>
    <w:uiPriority w:val="0"/>
    <w:pPr>
      <w:numPr>
        <w:ilvl w:val="6"/>
        <w:numId w:val="1"/>
      </w:numPr>
      <w:spacing w:after="156" w:afterLines="50" w:line="240" w:lineRule="auto"/>
      <w:ind w:firstLine="0" w:firstLineChars="0"/>
      <w:jc w:val="center"/>
      <w:outlineLvl w:val="6"/>
    </w:pPr>
    <w:rPr>
      <w:kern w:val="0"/>
      <w:sz w:val="24"/>
      <w:lang w:val="zh-CN"/>
    </w:rPr>
  </w:style>
  <w:style w:type="character" w:customStyle="1" w:styleId="60">
    <w:name w:val="批注主题 Char"/>
    <w:link w:val="61"/>
    <w:qFormat/>
    <w:uiPriority w:val="0"/>
    <w:rPr>
      <w:rFonts w:ascii="Times New Roman" w:hAnsi="Times New Roman" w:eastAsia="仿宋_GB2312"/>
      <w:b/>
      <w:sz w:val="28"/>
    </w:rPr>
  </w:style>
  <w:style w:type="paragraph" w:customStyle="1" w:styleId="61">
    <w:name w:val="批注主题1"/>
    <w:basedOn w:val="47"/>
    <w:next w:val="47"/>
    <w:link w:val="60"/>
    <w:qFormat/>
    <w:uiPriority w:val="0"/>
    <w:rPr>
      <w:b/>
    </w:rPr>
  </w:style>
  <w:style w:type="character" w:customStyle="1" w:styleId="62">
    <w:name w:val="Unresolved Mention"/>
    <w:qFormat/>
    <w:uiPriority w:val="0"/>
    <w:rPr>
      <w:color w:val="808080"/>
      <w:shd w:val="clear" w:color="auto" w:fill="E6E6E6"/>
    </w:rPr>
  </w:style>
  <w:style w:type="character" w:customStyle="1" w:styleId="63">
    <w:name w:val="三级标题 字符"/>
    <w:link w:val="45"/>
    <w:qFormat/>
    <w:uiPriority w:val="0"/>
    <w:rPr>
      <w:rFonts w:ascii="Times New Roman" w:hAnsi="Times New Roman" w:eastAsia="仿宋"/>
      <w:b/>
      <w:sz w:val="32"/>
    </w:rPr>
  </w:style>
  <w:style w:type="character" w:customStyle="1" w:styleId="64">
    <w:name w:val="二级标题 字符"/>
    <w:link w:val="44"/>
    <w:qFormat/>
    <w:uiPriority w:val="0"/>
    <w:rPr>
      <w:rFonts w:ascii="Times New Roman" w:hAnsi="Times New Roman" w:eastAsia="仿宋"/>
      <w:b/>
      <w:sz w:val="32"/>
    </w:rPr>
  </w:style>
  <w:style w:type="character" w:customStyle="1" w:styleId="65">
    <w:name w:val="批注框文本 Char"/>
    <w:link w:val="66"/>
    <w:qFormat/>
    <w:uiPriority w:val="0"/>
    <w:rPr>
      <w:rFonts w:ascii="Times New Roman" w:hAnsi="Times New Roman" w:eastAsia="宋体"/>
      <w:sz w:val="18"/>
    </w:rPr>
  </w:style>
  <w:style w:type="paragraph" w:customStyle="1" w:styleId="66">
    <w:name w:val="批注框文本1"/>
    <w:basedOn w:val="1"/>
    <w:link w:val="65"/>
    <w:qFormat/>
    <w:uiPriority w:val="0"/>
    <w:pPr>
      <w:spacing w:line="240" w:lineRule="auto"/>
    </w:pPr>
    <w:rPr>
      <w:rFonts w:eastAsia="宋体"/>
      <w:kern w:val="0"/>
      <w:sz w:val="18"/>
      <w:lang w:val="zh-CN" w:eastAsia="zh-CN"/>
    </w:rPr>
  </w:style>
  <w:style w:type="character" w:customStyle="1" w:styleId="67">
    <w:name w:val="批注引用1"/>
    <w:qFormat/>
    <w:uiPriority w:val="0"/>
    <w:rPr>
      <w:sz w:val="21"/>
    </w:rPr>
  </w:style>
  <w:style w:type="character" w:customStyle="1" w:styleId="68">
    <w:name w:val="标题 4 字符"/>
    <w:link w:val="5"/>
    <w:qFormat/>
    <w:uiPriority w:val="0"/>
    <w:rPr>
      <w:rFonts w:ascii="Times New Roman" w:hAnsi="Times New Roman" w:eastAsia="仿宋_GB2312"/>
      <w:kern w:val="0"/>
      <w:sz w:val="28"/>
    </w:rPr>
  </w:style>
  <w:style w:type="character" w:customStyle="1" w:styleId="69">
    <w:name w:val="页眉 Char"/>
    <w:link w:val="70"/>
    <w:qFormat/>
    <w:uiPriority w:val="99"/>
    <w:rPr>
      <w:rFonts w:ascii="Times New Roman" w:hAnsi="Times New Roman" w:eastAsia="宋体"/>
      <w:sz w:val="18"/>
    </w:rPr>
  </w:style>
  <w:style w:type="paragraph" w:customStyle="1" w:styleId="70">
    <w:name w:val="页眉1"/>
    <w:basedOn w:val="1"/>
    <w:link w:val="69"/>
    <w:qFormat/>
    <w:uiPriority w:val="99"/>
    <w:pPr>
      <w:pBdr>
        <w:bottom w:val="single" w:color="auto" w:sz="6" w:space="1"/>
      </w:pBdr>
      <w:tabs>
        <w:tab w:val="center" w:pos="4153"/>
        <w:tab w:val="right" w:pos="8306"/>
      </w:tabs>
      <w:snapToGrid w:val="0"/>
      <w:spacing w:line="240" w:lineRule="auto"/>
      <w:jc w:val="center"/>
    </w:pPr>
    <w:rPr>
      <w:rFonts w:eastAsia="宋体"/>
      <w:kern w:val="0"/>
      <w:sz w:val="18"/>
      <w:lang w:val="zh-CN" w:eastAsia="zh-CN"/>
    </w:rPr>
  </w:style>
  <w:style w:type="character" w:customStyle="1" w:styleId="71">
    <w:name w:val="图片 字符"/>
    <w:link w:val="72"/>
    <w:qFormat/>
    <w:uiPriority w:val="0"/>
    <w:rPr>
      <w:rFonts w:ascii="Times New Roman" w:hAnsi="Times New Roman" w:eastAsia="宋体"/>
      <w:sz w:val="20"/>
      <w:lang w:val="zh-CN" w:eastAsia="zh-CN"/>
    </w:rPr>
  </w:style>
  <w:style w:type="paragraph" w:customStyle="1" w:styleId="72">
    <w:name w:val="图片"/>
    <w:basedOn w:val="1"/>
    <w:link w:val="71"/>
    <w:qFormat/>
    <w:uiPriority w:val="0"/>
    <w:pPr>
      <w:ind w:firstLine="0" w:firstLineChars="0"/>
      <w:jc w:val="center"/>
    </w:pPr>
    <w:rPr>
      <w:rFonts w:eastAsia="宋体"/>
      <w:kern w:val="0"/>
      <w:sz w:val="20"/>
      <w:lang w:val="zh-CN"/>
    </w:rPr>
  </w:style>
  <w:style w:type="character" w:customStyle="1" w:styleId="73">
    <w:name w:val="访问过的超链接1"/>
    <w:qFormat/>
    <w:uiPriority w:val="0"/>
    <w:rPr>
      <w:color w:val="800080"/>
      <w:u w:val="single"/>
    </w:rPr>
  </w:style>
  <w:style w:type="character" w:customStyle="1" w:styleId="74">
    <w:name w:val="标题 1 字符"/>
    <w:link w:val="2"/>
    <w:qFormat/>
    <w:uiPriority w:val="0"/>
    <w:rPr>
      <w:rFonts w:ascii="Times New Roman" w:hAnsi="Times New Roman" w:eastAsia="黑体"/>
      <w:b/>
      <w:kern w:val="44"/>
      <w:sz w:val="44"/>
    </w:rPr>
  </w:style>
  <w:style w:type="character" w:customStyle="1" w:styleId="75">
    <w:name w:val="七级表标题 字符"/>
    <w:link w:val="76"/>
    <w:qFormat/>
    <w:uiPriority w:val="0"/>
    <w:rPr>
      <w:rFonts w:ascii="Times New Roman" w:hAnsi="Times New Roman" w:eastAsia="仿宋"/>
    </w:rPr>
  </w:style>
  <w:style w:type="paragraph" w:customStyle="1" w:styleId="76">
    <w:name w:val="七级表标题"/>
    <w:basedOn w:val="1"/>
    <w:link w:val="75"/>
    <w:qFormat/>
    <w:uiPriority w:val="0"/>
    <w:pPr>
      <w:numPr>
        <w:ilvl w:val="5"/>
        <w:numId w:val="1"/>
      </w:numPr>
      <w:ind w:firstLine="0" w:firstLineChars="0"/>
      <w:jc w:val="left"/>
      <w:outlineLvl w:val="6"/>
    </w:pPr>
    <w:rPr>
      <w:rFonts w:eastAsia="仿宋"/>
      <w:kern w:val="0"/>
      <w:sz w:val="20"/>
      <w:lang w:val="zh-CN" w:eastAsia="zh-CN"/>
    </w:rPr>
  </w:style>
  <w:style w:type="paragraph" w:customStyle="1" w:styleId="77">
    <w:name w:val="Revision1"/>
    <w:qFormat/>
    <w:uiPriority w:val="0"/>
    <w:rPr>
      <w:rFonts w:ascii="Times New Roman" w:hAnsi="Times New Roman" w:eastAsia="仿宋_GB2312" w:cs="Times New Roman"/>
      <w:sz w:val="28"/>
      <w:lang w:val="en-US" w:eastAsia="zh-CN" w:bidi="ar-SA"/>
    </w:rPr>
  </w:style>
  <w:style w:type="paragraph" w:customStyle="1" w:styleId="78">
    <w:name w:val="八级图标题"/>
    <w:basedOn w:val="1"/>
    <w:qFormat/>
    <w:uiPriority w:val="0"/>
    <w:pPr>
      <w:adjustRightInd w:val="0"/>
      <w:spacing w:after="156" w:afterLines="50" w:line="240" w:lineRule="auto"/>
      <w:ind w:firstLine="0" w:firstLineChars="0"/>
      <w:jc w:val="center"/>
      <w:outlineLvl w:val="6"/>
    </w:pPr>
    <w:rPr>
      <w:rFonts w:eastAsia="宋体"/>
      <w:kern w:val="0"/>
      <w:sz w:val="21"/>
      <w:lang w:val="zh-CN"/>
    </w:rPr>
  </w:style>
  <w:style w:type="paragraph" w:customStyle="1" w:styleId="79">
    <w:name w:val="TOC Heading1"/>
    <w:basedOn w:val="2"/>
    <w:next w:val="1"/>
    <w:qFormat/>
    <w:uiPriority w:val="0"/>
    <w:pPr>
      <w:widowControl/>
      <w:spacing w:before="480" w:after="0" w:line="276" w:lineRule="auto"/>
      <w:jc w:val="left"/>
      <w:outlineLvl w:val="9"/>
    </w:pPr>
    <w:rPr>
      <w:rFonts w:ascii="Cambria" w:hAnsi="Cambria" w:eastAsia="宋体"/>
      <w:color w:val="365F91"/>
      <w:kern w:val="0"/>
      <w:sz w:val="28"/>
    </w:rPr>
  </w:style>
  <w:style w:type="paragraph" w:customStyle="1" w:styleId="80">
    <w:name w:val="列出段落1"/>
    <w:basedOn w:val="1"/>
    <w:qFormat/>
    <w:uiPriority w:val="0"/>
    <w:pPr>
      <w:spacing w:line="240" w:lineRule="auto"/>
      <w:ind w:firstLine="420"/>
    </w:pPr>
    <w:rPr>
      <w:rFonts w:eastAsia="宋体"/>
      <w:sz w:val="21"/>
    </w:rPr>
  </w:style>
  <w:style w:type="paragraph" w:customStyle="1" w:styleId="81">
    <w:name w:val="ly正文"/>
    <w:qFormat/>
    <w:uiPriority w:val="0"/>
    <w:pPr>
      <w:spacing w:before="93" w:beforeLines="30" w:after="93" w:afterLines="30" w:line="400" w:lineRule="exact"/>
      <w:ind w:firstLine="200" w:firstLineChars="200"/>
      <w:jc w:val="both"/>
    </w:pPr>
    <w:rPr>
      <w:rFonts w:ascii="Times New Roman" w:hAnsi="Times New Roman" w:eastAsia="宋体" w:cs="Times New Roman"/>
      <w:sz w:val="24"/>
      <w:lang w:val="en-US" w:eastAsia="zh-CN" w:bidi="ar-SA"/>
    </w:rPr>
  </w:style>
  <w:style w:type="paragraph" w:customStyle="1" w:styleId="82">
    <w:name w:val="普通(网站)1"/>
    <w:basedOn w:val="1"/>
    <w:qFormat/>
    <w:uiPriority w:val="0"/>
    <w:pPr>
      <w:widowControl/>
      <w:spacing w:before="100" w:beforeAutospacing="1" w:after="100" w:afterAutospacing="1" w:line="240" w:lineRule="auto"/>
      <w:ind w:firstLine="0" w:firstLineChars="0"/>
      <w:jc w:val="left"/>
    </w:pPr>
    <w:rPr>
      <w:rFonts w:ascii="宋体" w:hAnsi="宋体"/>
      <w:kern w:val="0"/>
    </w:rPr>
  </w:style>
  <w:style w:type="paragraph" w:customStyle="1" w:styleId="83">
    <w:name w:val="默认段落字体 Para Char"/>
    <w:basedOn w:val="1"/>
    <w:qFormat/>
    <w:uiPriority w:val="0"/>
    <w:pPr>
      <w:widowControl/>
      <w:spacing w:line="400" w:lineRule="exact"/>
      <w:ind w:firstLine="0" w:firstLineChars="0"/>
      <w:jc w:val="left"/>
    </w:pPr>
    <w:rPr>
      <w:rFonts w:ascii="Calibri" w:hAnsi="Calibri" w:eastAsia="宋体"/>
      <w:kern w:val="0"/>
      <w:sz w:val="21"/>
    </w:rPr>
  </w:style>
  <w:style w:type="paragraph" w:customStyle="1" w:styleId="84">
    <w:name w:val="p0"/>
    <w:basedOn w:val="1"/>
    <w:qFormat/>
    <w:uiPriority w:val="0"/>
    <w:pPr>
      <w:widowControl/>
      <w:spacing w:before="156" w:beforeLines="50" w:line="240" w:lineRule="auto"/>
      <w:ind w:firstLine="0" w:firstLineChars="0"/>
    </w:pPr>
    <w:rPr>
      <w:rFonts w:eastAsia="宋体"/>
      <w:kern w:val="0"/>
      <w:sz w:val="21"/>
    </w:rPr>
  </w:style>
  <w:style w:type="paragraph" w:customStyle="1" w:styleId="85">
    <w:name w:val="图片a"/>
    <w:basedOn w:val="1"/>
    <w:qFormat/>
    <w:uiPriority w:val="0"/>
    <w:pPr>
      <w:topLinePunct/>
      <w:adjustRightInd w:val="0"/>
      <w:snapToGrid w:val="0"/>
      <w:spacing w:before="160" w:after="60" w:line="240" w:lineRule="auto"/>
      <w:ind w:firstLine="0" w:firstLineChars="0"/>
      <w:jc w:val="center"/>
    </w:pPr>
    <w:rPr>
      <w:rFonts w:eastAsia="宋体"/>
      <w:sz w:val="21"/>
    </w:rPr>
  </w:style>
  <w:style w:type="character" w:customStyle="1" w:styleId="86">
    <w:name w:val="文档结构图 字符"/>
    <w:link w:val="13"/>
    <w:semiHidden/>
    <w:qFormat/>
    <w:uiPriority w:val="99"/>
    <w:rPr>
      <w:rFonts w:ascii="宋体"/>
      <w:kern w:val="2"/>
      <w:sz w:val="18"/>
      <w:szCs w:val="18"/>
    </w:rPr>
  </w:style>
  <w:style w:type="character" w:customStyle="1" w:styleId="87">
    <w:name w:val="页眉 字符"/>
    <w:link w:val="21"/>
    <w:qFormat/>
    <w:uiPriority w:val="99"/>
    <w:rPr>
      <w:rFonts w:eastAsia="仿宋_GB2312"/>
      <w:kern w:val="2"/>
      <w:sz w:val="18"/>
      <w:szCs w:val="18"/>
    </w:rPr>
  </w:style>
  <w:style w:type="character" w:customStyle="1" w:styleId="88">
    <w:name w:val="批注文字 字符"/>
    <w:link w:val="14"/>
    <w:semiHidden/>
    <w:qFormat/>
    <w:uiPriority w:val="99"/>
    <w:rPr>
      <w:rFonts w:eastAsia="仿宋_GB2312"/>
      <w:kern w:val="2"/>
      <w:sz w:val="28"/>
    </w:rPr>
  </w:style>
  <w:style w:type="character" w:customStyle="1" w:styleId="89">
    <w:name w:val="批注主题 字符"/>
    <w:link w:val="28"/>
    <w:semiHidden/>
    <w:qFormat/>
    <w:uiPriority w:val="99"/>
    <w:rPr>
      <w:rFonts w:eastAsia="仿宋_GB2312"/>
      <w:b/>
      <w:bCs/>
      <w:kern w:val="2"/>
      <w:sz w:val="28"/>
    </w:rPr>
  </w:style>
  <w:style w:type="character" w:customStyle="1" w:styleId="90">
    <w:name w:val="批注框文本 字符"/>
    <w:link w:val="19"/>
    <w:semiHidden/>
    <w:qFormat/>
    <w:uiPriority w:val="99"/>
    <w:rPr>
      <w:rFonts w:eastAsia="仿宋_GB2312"/>
      <w:kern w:val="2"/>
      <w:sz w:val="18"/>
      <w:szCs w:val="18"/>
    </w:rPr>
  </w:style>
  <w:style w:type="paragraph" w:customStyle="1" w:styleId="91">
    <w:name w:val="表标题"/>
    <w:basedOn w:val="1"/>
    <w:link w:val="93"/>
    <w:qFormat/>
    <w:uiPriority w:val="0"/>
    <w:pPr>
      <w:ind w:firstLine="0" w:firstLineChars="0"/>
      <w:jc w:val="center"/>
      <w:outlineLvl w:val="4"/>
    </w:pPr>
    <w:rPr>
      <w:b/>
      <w:kern w:val="0"/>
      <w:sz w:val="21"/>
      <w:lang w:val="zh-CN" w:eastAsia="zh-CN"/>
    </w:rPr>
  </w:style>
  <w:style w:type="paragraph" w:customStyle="1" w:styleId="92">
    <w:name w:val="图标题"/>
    <w:basedOn w:val="1"/>
    <w:link w:val="95"/>
    <w:qFormat/>
    <w:uiPriority w:val="0"/>
    <w:pPr>
      <w:ind w:firstLine="0" w:firstLineChars="0"/>
      <w:jc w:val="center"/>
      <w:outlineLvl w:val="4"/>
    </w:pPr>
    <w:rPr>
      <w:b/>
      <w:sz w:val="21"/>
      <w:szCs w:val="21"/>
      <w:lang w:val="zh-CN" w:eastAsia="zh-CN"/>
    </w:rPr>
  </w:style>
  <w:style w:type="character" w:customStyle="1" w:styleId="93">
    <w:name w:val="表标题 字符"/>
    <w:link w:val="91"/>
    <w:qFormat/>
    <w:uiPriority w:val="0"/>
    <w:rPr>
      <w:rFonts w:eastAsia="仿宋_GB2312"/>
      <w:b/>
      <w:sz w:val="21"/>
      <w:lang w:val="zh-CN" w:eastAsia="zh-CN"/>
    </w:rPr>
  </w:style>
  <w:style w:type="paragraph" w:customStyle="1" w:styleId="9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95">
    <w:name w:val="图标题 字符"/>
    <w:link w:val="92"/>
    <w:qFormat/>
    <w:uiPriority w:val="0"/>
    <w:rPr>
      <w:rFonts w:eastAsia="仿宋_GB2312"/>
      <w:b/>
      <w:kern w:val="2"/>
      <w:sz w:val="21"/>
      <w:szCs w:val="21"/>
    </w:rPr>
  </w:style>
  <w:style w:type="character" w:customStyle="1" w:styleId="96">
    <w:name w:val="表格 Char Char"/>
    <w:link w:val="97"/>
    <w:qFormat/>
    <w:uiPriority w:val="0"/>
    <w:rPr>
      <w:rFonts w:ascii="仿宋_GB2312" w:hAnsi="宋体" w:eastAsia="华文细黑" w:cs="宋体"/>
      <w:kern w:val="2"/>
      <w:sz w:val="21"/>
      <w:szCs w:val="18"/>
    </w:rPr>
  </w:style>
  <w:style w:type="paragraph" w:customStyle="1" w:styleId="97">
    <w:name w:val="表格"/>
    <w:basedOn w:val="1"/>
    <w:link w:val="96"/>
    <w:qFormat/>
    <w:uiPriority w:val="0"/>
    <w:pPr>
      <w:widowControl/>
      <w:spacing w:line="240" w:lineRule="auto"/>
      <w:ind w:firstLine="0" w:firstLineChars="0"/>
      <w:jc w:val="center"/>
    </w:pPr>
    <w:rPr>
      <w:rFonts w:ascii="仿宋_GB2312" w:hAnsi="宋体" w:eastAsia="华文细黑"/>
      <w:sz w:val="21"/>
      <w:szCs w:val="18"/>
      <w:lang w:val="zh-CN" w:eastAsia="zh-CN"/>
    </w:rPr>
  </w:style>
  <w:style w:type="character" w:customStyle="1" w:styleId="98">
    <w:name w:val="页脚 字符"/>
    <w:link w:val="20"/>
    <w:qFormat/>
    <w:uiPriority w:val="99"/>
    <w:rPr>
      <w:rFonts w:eastAsia="仿宋_GB2312"/>
      <w:kern w:val="2"/>
      <w:sz w:val="18"/>
      <w:szCs w:val="18"/>
    </w:rPr>
  </w:style>
  <w:style w:type="paragraph" w:customStyle="1" w:styleId="99">
    <w:name w:val="1样式3"/>
    <w:basedOn w:val="1"/>
    <w:qFormat/>
    <w:uiPriority w:val="0"/>
    <w:pPr>
      <w:numPr>
        <w:ilvl w:val="5"/>
        <w:numId w:val="2"/>
      </w:numPr>
      <w:tabs>
        <w:tab w:val="left" w:pos="840"/>
      </w:tabs>
      <w:adjustRightInd w:val="0"/>
      <w:snapToGrid w:val="0"/>
      <w:ind w:firstLine="0" w:firstLineChars="0"/>
      <w:outlineLvl w:val="2"/>
    </w:pPr>
    <w:rPr>
      <w:rFonts w:eastAsia="宋体"/>
      <w:b/>
      <w:szCs w:val="22"/>
      <w:lang w:val="zh-CN" w:eastAsia="zh-CN"/>
    </w:rPr>
  </w:style>
  <w:style w:type="paragraph" w:customStyle="1" w:styleId="100">
    <w:name w:val="1样式5"/>
    <w:basedOn w:val="1"/>
    <w:qFormat/>
    <w:uiPriority w:val="0"/>
    <w:pPr>
      <w:numPr>
        <w:ilvl w:val="3"/>
        <w:numId w:val="2"/>
      </w:numPr>
      <w:tabs>
        <w:tab w:val="left" w:pos="840"/>
      </w:tabs>
      <w:adjustRightInd w:val="0"/>
      <w:snapToGrid w:val="0"/>
      <w:spacing w:line="240" w:lineRule="auto"/>
      <w:ind w:firstLine="0" w:firstLineChars="0"/>
      <w:jc w:val="center"/>
      <w:outlineLvl w:val="7"/>
    </w:pPr>
    <w:rPr>
      <w:rFonts w:eastAsia="宋体"/>
      <w:b/>
      <w:sz w:val="21"/>
      <w:szCs w:val="22"/>
      <w:lang w:val="zh-CN" w:eastAsia="zh-CN"/>
    </w:rPr>
  </w:style>
  <w:style w:type="paragraph" w:customStyle="1" w:styleId="101">
    <w:name w:val="1样式1"/>
    <w:basedOn w:val="1"/>
    <w:qFormat/>
    <w:uiPriority w:val="0"/>
    <w:pPr>
      <w:numPr>
        <w:ilvl w:val="0"/>
        <w:numId w:val="2"/>
      </w:numPr>
      <w:tabs>
        <w:tab w:val="left" w:pos="560"/>
      </w:tabs>
      <w:adjustRightInd w:val="0"/>
      <w:snapToGrid w:val="0"/>
      <w:ind w:firstLine="0" w:firstLineChars="0"/>
      <w:jc w:val="left"/>
      <w:outlineLvl w:val="0"/>
    </w:pPr>
    <w:rPr>
      <w:rFonts w:eastAsia="宋体"/>
      <w:b/>
      <w:sz w:val="36"/>
      <w:szCs w:val="22"/>
      <w:lang w:val="zh-CN" w:eastAsia="zh-CN"/>
    </w:rPr>
  </w:style>
  <w:style w:type="paragraph" w:customStyle="1" w:styleId="102">
    <w:name w:val="1样式2"/>
    <w:basedOn w:val="1"/>
    <w:qFormat/>
    <w:uiPriority w:val="0"/>
    <w:pPr>
      <w:numPr>
        <w:ilvl w:val="1"/>
        <w:numId w:val="2"/>
      </w:numPr>
      <w:tabs>
        <w:tab w:val="left" w:pos="0"/>
        <w:tab w:val="left" w:pos="851"/>
      </w:tabs>
      <w:adjustRightInd w:val="0"/>
      <w:snapToGrid w:val="0"/>
      <w:ind w:firstLine="0" w:firstLineChars="0"/>
      <w:outlineLvl w:val="1"/>
    </w:pPr>
    <w:rPr>
      <w:rFonts w:eastAsia="宋体"/>
      <w:b/>
      <w:sz w:val="32"/>
      <w:szCs w:val="22"/>
      <w:lang w:val="zh-CN" w:eastAsia="zh-CN"/>
    </w:rPr>
  </w:style>
  <w:style w:type="paragraph" w:customStyle="1" w:styleId="103">
    <w:name w:val="1样式6"/>
    <w:basedOn w:val="100"/>
    <w:link w:val="104"/>
    <w:qFormat/>
    <w:uiPriority w:val="0"/>
    <w:pPr>
      <w:numPr>
        <w:ilvl w:val="4"/>
      </w:numPr>
      <w:tabs>
        <w:tab w:val="left" w:pos="560"/>
        <w:tab w:val="clear" w:pos="840"/>
      </w:tabs>
      <w:outlineLvl w:val="6"/>
    </w:pPr>
  </w:style>
  <w:style w:type="character" w:customStyle="1" w:styleId="104">
    <w:name w:val="1样式6 Char"/>
    <w:link w:val="103"/>
    <w:qFormat/>
    <w:locked/>
    <w:uiPriority w:val="0"/>
    <w:rPr>
      <w:b/>
      <w:kern w:val="2"/>
      <w:sz w:val="21"/>
      <w:szCs w:val="22"/>
      <w:lang w:val="zh-CN" w:eastAsia="zh-CN"/>
    </w:rPr>
  </w:style>
  <w:style w:type="paragraph" w:customStyle="1" w:styleId="105">
    <w:name w:val="0段落"/>
    <w:basedOn w:val="1"/>
    <w:link w:val="106"/>
    <w:qFormat/>
    <w:uiPriority w:val="0"/>
    <w:pPr>
      <w:widowControl/>
      <w:snapToGrid w:val="0"/>
      <w:ind w:firstLine="200"/>
      <w:jc w:val="left"/>
    </w:pPr>
    <w:rPr>
      <w:rFonts w:ascii="仿宋" w:hAnsi="仿宋"/>
      <w:bCs/>
      <w:kern w:val="0"/>
      <w:szCs w:val="24"/>
      <w:lang w:val="zh-CN" w:eastAsia="zh-CN"/>
    </w:rPr>
  </w:style>
  <w:style w:type="character" w:customStyle="1" w:styleId="106">
    <w:name w:val="0段落 Char"/>
    <w:link w:val="105"/>
    <w:qFormat/>
    <w:uiPriority w:val="0"/>
    <w:rPr>
      <w:rFonts w:ascii="仿宋" w:hAnsi="仿宋" w:eastAsia="仿宋_GB2312"/>
      <w:bCs/>
      <w:sz w:val="28"/>
      <w:szCs w:val="24"/>
      <w:lang w:val="zh-CN" w:eastAsia="zh-CN"/>
    </w:rPr>
  </w:style>
  <w:style w:type="paragraph" w:customStyle="1" w:styleId="107">
    <w:name w:val="00表格"/>
    <w:basedOn w:val="1"/>
    <w:qFormat/>
    <w:uiPriority w:val="0"/>
    <w:pPr>
      <w:spacing w:line="240" w:lineRule="auto"/>
      <w:ind w:firstLine="0" w:firstLineChars="0"/>
      <w:jc w:val="center"/>
    </w:pPr>
    <w:rPr>
      <w:rFonts w:eastAsia="仿宋"/>
      <w:sz w:val="21"/>
      <w:szCs w:val="24"/>
    </w:rPr>
  </w:style>
  <w:style w:type="paragraph" w:styleId="108">
    <w:name w:val="List Paragraph"/>
    <w:basedOn w:val="1"/>
    <w:qFormat/>
    <w:uiPriority w:val="34"/>
    <w:pPr>
      <w:spacing w:line="240" w:lineRule="auto"/>
      <w:ind w:firstLine="420"/>
    </w:pPr>
    <w:rPr>
      <w:rFonts w:ascii="Calibri" w:hAnsi="Calibri" w:eastAsia="宋体"/>
      <w:sz w:val="21"/>
      <w:szCs w:val="22"/>
    </w:rPr>
  </w:style>
  <w:style w:type="character" w:customStyle="1" w:styleId="109">
    <w:name w:val="标题 6 字符"/>
    <w:link w:val="7"/>
    <w:qFormat/>
    <w:uiPriority w:val="0"/>
    <w:rPr>
      <w:rFonts w:ascii="Arial" w:hAnsi="Arial" w:eastAsia="黑体" w:cs="宋体"/>
      <w:b/>
      <w:bCs/>
      <w:sz w:val="24"/>
      <w:szCs w:val="24"/>
      <w:lang w:val="zh-CN" w:eastAsia="zh-CN"/>
    </w:rPr>
  </w:style>
  <w:style w:type="character" w:customStyle="1" w:styleId="110">
    <w:name w:val="标题 7 字符"/>
    <w:link w:val="8"/>
    <w:qFormat/>
    <w:uiPriority w:val="0"/>
    <w:rPr>
      <w:rFonts w:eastAsia="仿宋" w:cs="宋体"/>
      <w:b/>
      <w:bCs/>
      <w:sz w:val="24"/>
      <w:szCs w:val="24"/>
      <w:lang w:val="zh-CN" w:eastAsia="zh-CN"/>
    </w:rPr>
  </w:style>
  <w:style w:type="character" w:customStyle="1" w:styleId="111">
    <w:name w:val="标题 8 字符"/>
    <w:link w:val="9"/>
    <w:qFormat/>
    <w:uiPriority w:val="0"/>
    <w:rPr>
      <w:rFonts w:ascii="Arial" w:hAnsi="Arial" w:eastAsia="黑体" w:cs="宋体"/>
      <w:sz w:val="24"/>
      <w:szCs w:val="24"/>
      <w:lang w:val="zh-CN" w:eastAsia="zh-CN"/>
    </w:rPr>
  </w:style>
  <w:style w:type="character" w:customStyle="1" w:styleId="112">
    <w:name w:val="标题 9 字符"/>
    <w:link w:val="10"/>
    <w:qFormat/>
    <w:uiPriority w:val="0"/>
    <w:rPr>
      <w:rFonts w:ascii="Arial" w:hAnsi="Arial" w:eastAsia="黑体" w:cs="宋体"/>
      <w:sz w:val="24"/>
      <w:szCs w:val="21"/>
      <w:lang w:val="zh-CN" w:eastAsia="zh-CN"/>
    </w:rPr>
  </w:style>
  <w:style w:type="paragraph" w:customStyle="1" w:styleId="113">
    <w:name w:val="_正文 Char"/>
    <w:basedOn w:val="1"/>
    <w:qFormat/>
    <w:uiPriority w:val="0"/>
    <w:pPr>
      <w:spacing w:before="120" w:line="520" w:lineRule="exact"/>
      <w:ind w:firstLine="560"/>
      <w:textAlignment w:val="baseline"/>
    </w:pPr>
    <w:rPr>
      <w:rFonts w:ascii="华文细黑" w:hAnsi="华文细黑" w:eastAsia="华文细黑"/>
      <w:sz w:val="24"/>
    </w:rPr>
  </w:style>
  <w:style w:type="paragraph" w:customStyle="1" w:styleId="114">
    <w:name w:val="Char1"/>
    <w:basedOn w:val="1"/>
    <w:qFormat/>
    <w:uiPriority w:val="0"/>
    <w:rPr>
      <w:rFonts w:ascii="Times New Roman" w:hAnsi="Times New Roman" w:eastAsia="华文细黑" w:cs="Arial"/>
      <w:szCs w:val="7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6.png"/><Relationship Id="rId31" Type="http://schemas.openxmlformats.org/officeDocument/2006/relationships/image" Target="media/image15.jpe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chart" Target="charts/chart3.xml"/><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wmf"/><Relationship Id="rId24" Type="http://schemas.openxmlformats.org/officeDocument/2006/relationships/oleObject" Target="embeddings/oleObject4.bin"/><Relationship Id="rId23" Type="http://schemas.openxmlformats.org/officeDocument/2006/relationships/image" Target="media/image9.wmf"/><Relationship Id="rId22" Type="http://schemas.openxmlformats.org/officeDocument/2006/relationships/oleObject" Target="embeddings/oleObject3.bin"/><Relationship Id="rId21" Type="http://schemas.openxmlformats.org/officeDocument/2006/relationships/image" Target="media/image8.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1.bin"/><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E:\&#22686;&#37327;&#37197;&#30005;&#24066;&#22330;\2019&#24180;&#25910;&#36164;\&#21488;&#36134;.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E:\&#22686;&#37327;&#37197;&#30005;&#24066;&#22330;\2019&#24180;&#25910;&#36164;\&#21488;&#36134;.xlsx"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3.xml"/><Relationship Id="rId1" Type="http://schemas.openxmlformats.org/officeDocument/2006/relationships/oleObject" Target="file:///C:\Users\Administrator\AppData\Roaming\Microsoft\Excel\&#24037;&#20316;&#31807;1%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全社会最大用电负荷</c:v>
                </c:pt>
              </c:strCache>
            </c:strRef>
          </c:tx>
          <c:invertIfNegative val="0"/>
          <c:dLbls>
            <c:dLbl>
              <c:idx val="0"/>
              <c:layout>
                <c:manualLayout>
                  <c:x val="0"/>
                  <c:y val="0.09515417876642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215401184706516"/>
                  <c:y val="0.095644653976413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097954175926386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215401184706516"/>
                  <c:y val="0.10925782609004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115749309514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215401184706516"/>
                  <c:y val="0.099118593043317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0.10982327840219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215401184706516"/>
                  <c:y val="0.1333899448321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
                  <c:y val="0.14311595180449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General</c:formatCode>
                <c:ptCount val="9"/>
                <c:pt idx="0">
                  <c:v>13.21</c:v>
                </c:pt>
                <c:pt idx="1">
                  <c:v>14.63</c:v>
                </c:pt>
                <c:pt idx="2">
                  <c:v>15.36</c:v>
                </c:pt>
                <c:pt idx="3">
                  <c:v>15.95</c:v>
                </c:pt>
                <c:pt idx="4">
                  <c:v>17.83</c:v>
                </c:pt>
                <c:pt idx="5">
                  <c:v>19.32</c:v>
                </c:pt>
                <c:pt idx="6">
                  <c:v>20.97</c:v>
                </c:pt>
                <c:pt idx="7">
                  <c:v>22.5</c:v>
                </c:pt>
                <c:pt idx="8">
                  <c:v>24.075</c:v>
                </c:pt>
              </c:numCache>
            </c:numRef>
          </c:val>
        </c:ser>
        <c:dLbls>
          <c:showLegendKey val="0"/>
          <c:showVal val="0"/>
          <c:showCatName val="0"/>
          <c:showSerName val="0"/>
          <c:showPercent val="0"/>
          <c:showBubbleSize val="0"/>
        </c:dLbls>
        <c:gapWidth val="150"/>
        <c:axId val="205003776"/>
        <c:axId val="343061632"/>
      </c:barChart>
      <c:lineChart>
        <c:grouping val="standard"/>
        <c:varyColors val="0"/>
        <c:ser>
          <c:idx val="1"/>
          <c:order val="1"/>
          <c:tx>
            <c:strRef>
              <c:f>Sheet1!$C$1</c:f>
              <c:strCache>
                <c:ptCount val="1"/>
                <c:pt idx="0">
                  <c:v>增长率</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Sheet1!$C$2:$C$10</c:f>
              <c:numCache>
                <c:formatCode>0.0_ </c:formatCode>
                <c:ptCount val="9"/>
                <c:pt idx="0">
                  <c:v>9.7</c:v>
                </c:pt>
                <c:pt idx="1">
                  <c:v>10.7494322482967</c:v>
                </c:pt>
                <c:pt idx="2">
                  <c:v>4.98974709501023</c:v>
                </c:pt>
                <c:pt idx="3">
                  <c:v>3.84114583333333</c:v>
                </c:pt>
                <c:pt idx="4">
                  <c:v>11.7868338557994</c:v>
                </c:pt>
                <c:pt idx="5">
                  <c:v>8.35670218732474</c:v>
                </c:pt>
                <c:pt idx="6">
                  <c:v>8.54037267080745</c:v>
                </c:pt>
                <c:pt idx="7">
                  <c:v>7.29613733905581</c:v>
                </c:pt>
                <c:pt idx="8">
                  <c:v>7.00000000000001</c:v>
                </c:pt>
              </c:numCache>
            </c:numRef>
          </c:val>
          <c:smooth val="0"/>
        </c:ser>
        <c:dLbls>
          <c:showLegendKey val="0"/>
          <c:showVal val="0"/>
          <c:showCatName val="0"/>
          <c:showSerName val="0"/>
          <c:showPercent val="0"/>
          <c:showBubbleSize val="0"/>
        </c:dLbls>
        <c:marker val="1"/>
        <c:smooth val="0"/>
        <c:axId val="359502592"/>
        <c:axId val="343063552"/>
      </c:lineChart>
      <c:catAx>
        <c:axId val="205003776"/>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43061632"/>
        <c:crosses val="autoZero"/>
        <c:auto val="1"/>
        <c:lblAlgn val="ctr"/>
        <c:lblOffset val="100"/>
        <c:noMultiLvlLbl val="0"/>
      </c:catAx>
      <c:valAx>
        <c:axId val="34306163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05003776"/>
        <c:crosses val="autoZero"/>
        <c:crossBetween val="between"/>
      </c:valAx>
      <c:catAx>
        <c:axId val="359502592"/>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43063552"/>
        <c:crosses val="autoZero"/>
        <c:auto val="1"/>
        <c:lblAlgn val="ctr"/>
        <c:lblOffset val="100"/>
        <c:noMultiLvlLbl val="0"/>
      </c:catAx>
      <c:valAx>
        <c:axId val="343063552"/>
        <c:scaling>
          <c:orientation val="minMax"/>
          <c:max val="20"/>
          <c:min val="-40"/>
        </c:scaling>
        <c:delete val="0"/>
        <c:axPos val="r"/>
        <c:numFmt formatCode="0.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59502592"/>
        <c:crosses val="max"/>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Sheet2!$B$1</c:f>
              <c:strCache>
                <c:ptCount val="1"/>
                <c:pt idx="0">
                  <c:v>全社会用电量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Sheet2!$A$2:$A$10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Sheet2!$B$2:$B$10</c:f>
              <c:numCache>
                <c:formatCode>General</c:formatCode>
                <c:ptCount val="9"/>
                <c:pt idx="0">
                  <c:v>0.52</c:v>
                </c:pt>
                <c:pt idx="1">
                  <c:v>0.57</c:v>
                </c:pt>
                <c:pt idx="2">
                  <c:v>0.6</c:v>
                </c:pt>
                <c:pt idx="3">
                  <c:v>0.62</c:v>
                </c:pt>
                <c:pt idx="4">
                  <c:v>0.69</c:v>
                </c:pt>
                <c:pt idx="5">
                  <c:v>0.74</c:v>
                </c:pt>
                <c:pt idx="6">
                  <c:v>0.8</c:v>
                </c:pt>
                <c:pt idx="7">
                  <c:v>0.86</c:v>
                </c:pt>
                <c:pt idx="8">
                  <c:v>0.92</c:v>
                </c:pt>
              </c:numCache>
            </c:numRef>
          </c:val>
        </c:ser>
        <c:dLbls>
          <c:showLegendKey val="0"/>
          <c:showVal val="0"/>
          <c:showCatName val="0"/>
          <c:showSerName val="0"/>
          <c:showPercent val="0"/>
          <c:showBubbleSize val="0"/>
        </c:dLbls>
        <c:gapWidth val="150"/>
        <c:axId val="366209280"/>
        <c:axId val="366851584"/>
      </c:barChart>
      <c:lineChart>
        <c:grouping val="standard"/>
        <c:varyColors val="0"/>
        <c:ser>
          <c:idx val="1"/>
          <c:order val="1"/>
          <c:tx>
            <c:strRef>
              <c:f>Sheet2!$C$1</c:f>
              <c:strCache>
                <c:ptCount val="1"/>
                <c:pt idx="0">
                  <c:v>增长率</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Sheet2!$A$2:$A$10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Sheet2!$C$2:$C$10</c:f>
              <c:numCache>
                <c:formatCode>0.0_ </c:formatCode>
                <c:ptCount val="9"/>
                <c:pt idx="0">
                  <c:v>9.7</c:v>
                </c:pt>
                <c:pt idx="1">
                  <c:v>9.6153846153846</c:v>
                </c:pt>
                <c:pt idx="2">
                  <c:v>5.26315789473684</c:v>
                </c:pt>
                <c:pt idx="3">
                  <c:v>3.33333333333334</c:v>
                </c:pt>
                <c:pt idx="4">
                  <c:v>11.2903225806452</c:v>
                </c:pt>
                <c:pt idx="5">
                  <c:v>7.24637681159421</c:v>
                </c:pt>
                <c:pt idx="6">
                  <c:v>8.10810810810811</c:v>
                </c:pt>
                <c:pt idx="7">
                  <c:v>7.5</c:v>
                </c:pt>
                <c:pt idx="8">
                  <c:v>6.97674418604652</c:v>
                </c:pt>
              </c:numCache>
            </c:numRef>
          </c:val>
          <c:smooth val="0"/>
        </c:ser>
        <c:dLbls>
          <c:showLegendKey val="0"/>
          <c:showVal val="0"/>
          <c:showCatName val="0"/>
          <c:showSerName val="0"/>
          <c:showPercent val="0"/>
          <c:showBubbleSize val="0"/>
        </c:dLbls>
        <c:marker val="1"/>
        <c:smooth val="0"/>
        <c:axId val="367535232"/>
        <c:axId val="366853120"/>
      </c:lineChart>
      <c:catAx>
        <c:axId val="366209280"/>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66851584"/>
        <c:crosses val="autoZero"/>
        <c:auto val="1"/>
        <c:lblAlgn val="ctr"/>
        <c:lblOffset val="100"/>
        <c:noMultiLvlLbl val="0"/>
      </c:catAx>
      <c:valAx>
        <c:axId val="36685158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66209280"/>
        <c:crosses val="autoZero"/>
        <c:crossBetween val="between"/>
      </c:valAx>
      <c:catAx>
        <c:axId val="367535232"/>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66853120"/>
        <c:crosses val="autoZero"/>
        <c:auto val="1"/>
        <c:lblAlgn val="ctr"/>
        <c:lblOffset val="100"/>
        <c:noMultiLvlLbl val="0"/>
      </c:catAx>
      <c:valAx>
        <c:axId val="366853120"/>
        <c:scaling>
          <c:orientation val="minMax"/>
          <c:max val="12"/>
          <c:min val="-20"/>
        </c:scaling>
        <c:delete val="0"/>
        <c:axPos val="r"/>
        <c:numFmt formatCode="0.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67535232"/>
        <c:crosses val="max"/>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1"/>
            <c:dispEq val="1"/>
            <c:trendlineLbl>
              <c:layout>
                <c:manualLayout>
                  <c:x val="-0.480424321959755"/>
                  <c:y val="-0.0277890784485273"/>
                </c:manualLayout>
              </c:layout>
              <c:tx>
                <c:rich>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r>
                      <a:rPr lang="en-US" altLang="zh-CN" baseline="0"/>
                      <a:t>y = 1.361(x-2010) + 11.4</a:t>
                    </a:r>
                    <a:br>
                      <a:rPr lang="en-US" altLang="zh-CN" baseline="0"/>
                    </a:br>
                    <a:r>
                      <a:rPr lang="en-US" altLang="zh-CN" baseline="0"/>
                      <a:t>R² = 0.9849</a:t>
                    </a:r>
                    <a:endParaRPr lang="en-US" altLang="zh-CN"/>
                  </a:p>
                </c:rich>
              </c:tx>
              <c:numFmt formatCode="General" sourceLinked="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trendlineLbl>
          </c:trendline>
          <c:trendline>
            <c:spPr>
              <a:ln w="19050" cap="rnd">
                <a:solidFill>
                  <a:schemeClr val="accent1"/>
                </a:solidFill>
                <a:prstDash val="sysDot"/>
              </a:ln>
              <a:effectLst/>
            </c:spPr>
            <c:trendlineType val="exp"/>
            <c:dispRSqr val="1"/>
            <c:dispEq val="1"/>
            <c:trendlineLbl>
              <c:layout>
                <c:manualLayout>
                  <c:x val="-0.106813210848644"/>
                  <c:y val="-0.0977894429862934"/>
                </c:manualLayout>
              </c:layout>
              <c:tx>
                <c:rich>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r>
                      <a:rPr lang="en-US" altLang="zh-CN" baseline="0"/>
                      <a:t>y = 12.271e</a:t>
                    </a:r>
                    <a:r>
                      <a:rPr lang="en-US" altLang="zh-CN" baseline="30000"/>
                      <a:t>0.0751(x-2010)</a:t>
                    </a:r>
                    <a:br>
                      <a:rPr lang="en-US" altLang="zh-CN" baseline="0"/>
                    </a:br>
                    <a:r>
                      <a:rPr lang="en-US" altLang="zh-CN" baseline="0"/>
                      <a:t>R² = 0.9933</a:t>
                    </a:r>
                    <a:endParaRPr lang="en-US" altLang="zh-CN"/>
                  </a:p>
                </c:rich>
              </c:tx>
              <c:numFmt formatCode="General" sourceLinked="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trendlineLbl>
          </c:trendline>
          <c:trendline>
            <c:spPr>
              <a:ln w="19050" cap="rnd">
                <a:solidFill>
                  <a:schemeClr val="accent1"/>
                </a:solidFill>
                <a:prstDash val="sysDot"/>
              </a:ln>
              <a:effectLst/>
            </c:spPr>
            <c:trendlineType val="poly"/>
            <c:order val="2"/>
            <c:dispRSqr val="1"/>
            <c:dispEq val="1"/>
            <c:trendlineLbl>
              <c:layout>
                <c:manualLayout>
                  <c:x val="-0.142382545931759"/>
                  <c:y val="0.41893664333625"/>
                </c:manualLayout>
              </c:layout>
              <c:tx>
                <c:rich>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r>
                      <a:rPr lang="en-US" altLang="zh-CN" baseline="0"/>
                      <a:t>y = 0.0618(x-2010)</a:t>
                    </a:r>
                    <a:r>
                      <a:rPr lang="en-US" altLang="zh-CN" baseline="30000"/>
                      <a:t>2</a:t>
                    </a:r>
                    <a:r>
                      <a:rPr lang="en-US" altLang="zh-CN" baseline="0"/>
                      <a:t> + 0.7435(x-2010) + 12.532</a:t>
                    </a:r>
                    <a:br>
                      <a:rPr lang="en-US" altLang="zh-CN" baseline="0"/>
                    </a:br>
                    <a:r>
                      <a:rPr lang="en-US" altLang="zh-CN" baseline="0"/>
                      <a:t>R² = 0.9953</a:t>
                    </a:r>
                    <a:endParaRPr lang="en-US" altLang="zh-CN"/>
                  </a:p>
                </c:rich>
              </c:tx>
              <c:numFmt formatCode="General" sourceLinked="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trendlineLbl>
          </c:trendline>
          <c:cat>
            <c:numRef>
              <c:f>Sheet2!$H$28:$H$36</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Sheet2!$I$28:$I$36</c:f>
              <c:numCache>
                <c:formatCode>General</c:formatCode>
                <c:ptCount val="9"/>
                <c:pt idx="0">
                  <c:v>13.21</c:v>
                </c:pt>
                <c:pt idx="1">
                  <c:v>14.63</c:v>
                </c:pt>
                <c:pt idx="2">
                  <c:v>15.36</c:v>
                </c:pt>
                <c:pt idx="3">
                  <c:v>15.95</c:v>
                </c:pt>
                <c:pt idx="4">
                  <c:v>17.83</c:v>
                </c:pt>
                <c:pt idx="5">
                  <c:v>19.32</c:v>
                </c:pt>
                <c:pt idx="6">
                  <c:v>20.97</c:v>
                </c:pt>
                <c:pt idx="7">
                  <c:v>22.5</c:v>
                </c:pt>
                <c:pt idx="8">
                  <c:v>24.075</c:v>
                </c:pt>
              </c:numCache>
            </c:numRef>
          </c:val>
          <c:smooth val="0"/>
        </c:ser>
        <c:dLbls>
          <c:showLegendKey val="0"/>
          <c:showVal val="1"/>
          <c:showCatName val="0"/>
          <c:showSerName val="0"/>
          <c:showPercent val="0"/>
          <c:showBubbleSize val="0"/>
        </c:dLbls>
        <c:marker val="1"/>
        <c:smooth val="0"/>
        <c:axId val="603420472"/>
        <c:axId val="603421784"/>
      </c:lineChart>
      <c:catAx>
        <c:axId val="603420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3421784"/>
        <c:crosses val="autoZero"/>
        <c:auto val="1"/>
        <c:lblAlgn val="ctr"/>
        <c:lblOffset val="100"/>
        <c:noMultiLvlLbl val="0"/>
      </c:catAx>
      <c:valAx>
        <c:axId val="6034217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342047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738821-9BA0-4591-BD82-F2B0160E29F4}">
  <ds:schemaRefs/>
</ds:datastoreItem>
</file>

<file path=docProps/app.xml><?xml version="1.0" encoding="utf-8"?>
<Properties xmlns="http://schemas.openxmlformats.org/officeDocument/2006/extended-properties" xmlns:vt="http://schemas.openxmlformats.org/officeDocument/2006/docPropsVTypes">
  <Template>Normal</Template>
  <Pages>143</Pages>
  <Words>9453</Words>
  <Characters>53888</Characters>
  <Lines>449</Lines>
  <Paragraphs>126</Paragraphs>
  <TotalTime>2</TotalTime>
  <ScaleCrop>false</ScaleCrop>
  <LinksUpToDate>false</LinksUpToDate>
  <CharactersWithSpaces>63215</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2019-10-30T01:15:00Z</dcterms:created>
  <dc:creator>11</dc:creator>
  <cp:lastModifiedBy>信息采编</cp:lastModifiedBy>
  <cp:lastPrinted>2019-10-28T09:30:00Z</cp:lastPrinted>
  <dcterms:modified xsi:type="dcterms:W3CDTF">2020-01-20T08:56:43Z</dcterms:modified>
  <dc:title>长广电网浙江片增量配网试点区</dc:title>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ies>
</file>