
<file path=[Content_Types].xml><?xml version="1.0" encoding="utf-8"?>
<Types xmlns="http://schemas.openxmlformats.org/package/2006/content-types">
  <Default Extension="xml" ContentType="application/xml"/>
  <Default Extension="wmf" ContentType="image/x-wmf"/>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0" w:line="579" w:lineRule="exact"/>
        <w:ind w:right="50" w:rightChars="21"/>
        <w:textAlignment w:val="auto"/>
        <w:rPr>
          <w:rFonts w:hint="default" w:ascii="Times New Roman" w:hAnsi="Times New Roman" w:cs="Times New Roman"/>
          <w:sz w:val="32"/>
          <w:szCs w:val="32"/>
        </w:rPr>
      </w:pPr>
    </w:p>
    <w:p>
      <w:pPr>
        <w:keepNext w:val="0"/>
        <w:keepLines w:val="0"/>
        <w:pageBreakBefore w:val="0"/>
        <w:widowControl w:val="0"/>
        <w:kinsoku/>
        <w:wordWrap/>
        <w:overflowPunct/>
        <w:topLinePunct w:val="0"/>
        <w:autoSpaceDE/>
        <w:autoSpaceDN/>
        <w:bidi w:val="0"/>
        <w:adjustRightInd/>
        <w:snapToGrid/>
        <w:spacing w:after="0" w:line="579" w:lineRule="exact"/>
        <w:ind w:right="50" w:rightChars="21"/>
        <w:textAlignment w:val="auto"/>
        <w:rPr>
          <w:rFonts w:hint="default" w:ascii="Times New Roman" w:hAnsi="Times New Roman" w:cs="Times New Roman"/>
          <w:sz w:val="32"/>
          <w:szCs w:val="32"/>
        </w:rPr>
      </w:pPr>
    </w:p>
    <w:p>
      <w:pPr>
        <w:keepNext w:val="0"/>
        <w:keepLines w:val="0"/>
        <w:pageBreakBefore w:val="0"/>
        <w:widowControl w:val="0"/>
        <w:kinsoku/>
        <w:wordWrap/>
        <w:overflowPunct/>
        <w:topLinePunct w:val="0"/>
        <w:autoSpaceDE/>
        <w:autoSpaceDN/>
        <w:bidi w:val="0"/>
        <w:adjustRightInd/>
        <w:snapToGrid/>
        <w:spacing w:after="0" w:line="579" w:lineRule="exact"/>
        <w:ind w:right="50" w:rightChars="21"/>
        <w:textAlignment w:val="auto"/>
        <w:rPr>
          <w:rFonts w:hint="default" w:ascii="Times New Roman" w:hAnsi="Times New Roman" w:cs="Times New Roman"/>
          <w:sz w:val="32"/>
          <w:szCs w:val="32"/>
        </w:rPr>
      </w:pPr>
    </w:p>
    <w:p>
      <w:pPr>
        <w:keepNext w:val="0"/>
        <w:keepLines w:val="0"/>
        <w:pageBreakBefore w:val="0"/>
        <w:widowControl w:val="0"/>
        <w:kinsoku/>
        <w:wordWrap/>
        <w:overflowPunct/>
        <w:topLinePunct w:val="0"/>
        <w:autoSpaceDE/>
        <w:autoSpaceDN/>
        <w:bidi w:val="0"/>
        <w:adjustRightInd/>
        <w:snapToGrid/>
        <w:spacing w:after="0" w:line="579" w:lineRule="exact"/>
        <w:ind w:right="50" w:rightChars="21"/>
        <w:textAlignment w:val="auto"/>
        <w:rPr>
          <w:rFonts w:hint="default" w:ascii="Times New Roman" w:hAnsi="Times New Roman" w:cs="Times New Roman"/>
          <w:sz w:val="32"/>
          <w:szCs w:val="32"/>
        </w:rPr>
      </w:pPr>
      <w:bookmarkStart w:id="142" w:name="_GoBack"/>
      <w:bookmarkEnd w:id="142"/>
    </w:p>
    <w:p>
      <w:pPr>
        <w:keepNext w:val="0"/>
        <w:keepLines w:val="0"/>
        <w:pageBreakBefore w:val="0"/>
        <w:widowControl w:val="0"/>
        <w:kinsoku/>
        <w:wordWrap/>
        <w:overflowPunct/>
        <w:topLinePunct w:val="0"/>
        <w:autoSpaceDE/>
        <w:autoSpaceDN/>
        <w:bidi w:val="0"/>
        <w:adjustRightInd/>
        <w:snapToGrid/>
        <w:spacing w:after="0" w:line="579" w:lineRule="exact"/>
        <w:ind w:right="50" w:rightChars="21"/>
        <w:textAlignment w:val="auto"/>
        <w:rPr>
          <w:rFonts w:hint="default" w:ascii="Times New Roman" w:hAnsi="Times New Roman" w:cs="Times New Roman"/>
          <w:sz w:val="32"/>
          <w:szCs w:val="32"/>
        </w:rPr>
      </w:pPr>
    </w:p>
    <w:p>
      <w:pPr>
        <w:keepNext w:val="0"/>
        <w:keepLines w:val="0"/>
        <w:pageBreakBefore w:val="0"/>
        <w:widowControl w:val="0"/>
        <w:kinsoku/>
        <w:wordWrap/>
        <w:overflowPunct/>
        <w:topLinePunct w:val="0"/>
        <w:autoSpaceDE/>
        <w:autoSpaceDN/>
        <w:bidi w:val="0"/>
        <w:adjustRightInd/>
        <w:snapToGrid/>
        <w:spacing w:after="0" w:line="579" w:lineRule="exact"/>
        <w:ind w:right="50" w:rightChars="21"/>
        <w:textAlignment w:val="auto"/>
        <w:rPr>
          <w:rFonts w:hint="default" w:ascii="Times New Roman" w:hAnsi="Times New Roman" w:eastAsia="方正小标宋简体" w:cs="Times New Roman"/>
          <w:b w:val="0"/>
          <w:bCs w:val="0"/>
          <w:spacing w:val="1"/>
          <w:w w:val="100"/>
          <w:kern w:val="0"/>
          <w:sz w:val="52"/>
          <w:szCs w:val="52"/>
          <w:lang w:val="en-US" w:eastAsia="en-US" w:bidi="ar-SA"/>
        </w:rPr>
      </w:pPr>
    </w:p>
    <w:p>
      <w:pPr>
        <w:widowControl/>
        <w:autoSpaceDE/>
        <w:autoSpaceDN/>
        <w:adjustRightInd/>
        <w:jc w:val="center"/>
        <w:rPr>
          <w:rFonts w:ascii="方正小标宋简体" w:hAnsi="方正小标宋简体" w:eastAsia="方正小标宋简体" w:cs="方正小标宋简体"/>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龙港市彩虹智慧创业园增量配电网</w:t>
      </w:r>
    </w:p>
    <w:p>
      <w:pPr>
        <w:widowControl/>
        <w:autoSpaceDE/>
        <w:autoSpaceDN/>
        <w:adjustRightInd/>
        <w:jc w:val="center"/>
        <w:rPr>
          <w:rFonts w:ascii="方正小标宋简体" w:hAnsi="方正小标宋简体" w:eastAsia="方正小标宋简体" w:cs="方正小标宋简体"/>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建设发展规划</w:t>
      </w:r>
    </w:p>
    <w:p>
      <w:pPr>
        <w:widowControl/>
        <w:autoSpaceDE/>
        <w:autoSpaceDN/>
        <w:adjustRightInd/>
        <w:jc w:val="center"/>
        <w:rPr>
          <w:rFonts w:ascii="方正小标宋简体" w:hAnsi="方正小标宋简体" w:eastAsia="方正小标宋简体" w:cs="方正小标宋简体"/>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w:t>
      </w:r>
      <w:r>
        <w:rPr>
          <w:rFonts w:ascii="方正小标宋简体" w:hAnsi="方正小标宋简体" w:eastAsia="方正小标宋简体" w:cs="方正小标宋简体"/>
          <w:color w:val="000000" w:themeColor="text1"/>
          <w:sz w:val="44"/>
          <w:szCs w:val="44"/>
          <w14:textFill>
            <w14:solidFill>
              <w14:schemeClr w14:val="tx1"/>
            </w14:solidFill>
          </w14:textFill>
        </w:rPr>
        <w:t>2019-2025</w:t>
      </w: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年）</w:t>
      </w:r>
    </w:p>
    <w:p>
      <w:pPr>
        <w:pStyle w:val="8"/>
        <w:kinsoku w:val="0"/>
        <w:overflowPunct w:val="0"/>
        <w:spacing w:before="0"/>
        <w:ind w:left="0"/>
        <w:rPr>
          <w:rFonts w:ascii="Arial" w:hAnsi="Arial" w:cs="Arial" w:eastAsiaTheme="minorEastAsia"/>
          <w:b/>
          <w:bCs/>
          <w:sz w:val="48"/>
          <w:szCs w:val="48"/>
        </w:rPr>
      </w:pPr>
    </w:p>
    <w:p>
      <w:pPr>
        <w:pStyle w:val="8"/>
        <w:kinsoku w:val="0"/>
        <w:overflowPunct w:val="0"/>
        <w:spacing w:before="0"/>
        <w:ind w:left="0"/>
        <w:rPr>
          <w:rFonts w:ascii="Arial" w:hAnsi="Arial" w:cs="Arial" w:eastAsiaTheme="minorEastAsia"/>
          <w:b/>
          <w:bCs/>
          <w:sz w:val="48"/>
          <w:szCs w:val="48"/>
        </w:rPr>
      </w:pPr>
    </w:p>
    <w:p>
      <w:pPr>
        <w:pStyle w:val="8"/>
        <w:kinsoku w:val="0"/>
        <w:overflowPunct w:val="0"/>
        <w:spacing w:before="0"/>
        <w:ind w:left="0"/>
        <w:rPr>
          <w:rFonts w:ascii="Arial" w:hAnsi="Arial" w:cs="Arial" w:eastAsiaTheme="minorEastAsia"/>
          <w:b/>
          <w:bCs/>
          <w:sz w:val="48"/>
          <w:szCs w:val="48"/>
        </w:rPr>
      </w:pPr>
    </w:p>
    <w:p>
      <w:pPr>
        <w:pStyle w:val="8"/>
        <w:kinsoku w:val="0"/>
        <w:overflowPunct w:val="0"/>
        <w:spacing w:before="0"/>
        <w:ind w:left="0"/>
        <w:rPr>
          <w:rFonts w:ascii="Arial" w:hAnsi="Arial" w:cs="Arial" w:eastAsiaTheme="minorEastAsia"/>
          <w:b/>
          <w:bCs/>
          <w:sz w:val="48"/>
          <w:szCs w:val="48"/>
        </w:rPr>
      </w:pPr>
    </w:p>
    <w:p>
      <w:pPr>
        <w:pStyle w:val="8"/>
        <w:kinsoku w:val="0"/>
        <w:overflowPunct w:val="0"/>
        <w:spacing w:before="0"/>
        <w:ind w:left="0"/>
        <w:rPr>
          <w:rFonts w:ascii="Arial" w:hAnsi="Arial" w:cs="Arial" w:eastAsiaTheme="minorEastAsia"/>
          <w:b/>
          <w:bCs/>
          <w:sz w:val="48"/>
          <w:szCs w:val="48"/>
        </w:rPr>
      </w:pPr>
    </w:p>
    <w:p>
      <w:pPr>
        <w:pStyle w:val="8"/>
        <w:kinsoku w:val="0"/>
        <w:overflowPunct w:val="0"/>
        <w:spacing w:before="0"/>
        <w:ind w:left="0"/>
        <w:rPr>
          <w:rFonts w:ascii="Arial" w:hAnsi="Arial" w:cs="Arial" w:eastAsiaTheme="minorEastAsia"/>
          <w:b/>
          <w:bCs/>
          <w:sz w:val="48"/>
          <w:szCs w:val="48"/>
        </w:rPr>
      </w:pPr>
    </w:p>
    <w:p>
      <w:pPr>
        <w:pStyle w:val="8"/>
        <w:kinsoku w:val="0"/>
        <w:overflowPunct w:val="0"/>
        <w:spacing w:before="0"/>
        <w:ind w:left="0"/>
        <w:rPr>
          <w:rFonts w:ascii="Arial" w:hAnsi="Arial" w:cs="Arial" w:eastAsiaTheme="minorEastAsia"/>
          <w:b/>
          <w:bCs/>
          <w:sz w:val="48"/>
          <w:szCs w:val="48"/>
        </w:rPr>
      </w:pPr>
    </w:p>
    <w:p>
      <w:pPr>
        <w:pStyle w:val="8"/>
        <w:kinsoku w:val="0"/>
        <w:overflowPunct w:val="0"/>
        <w:spacing w:before="0"/>
        <w:ind w:left="0"/>
        <w:rPr>
          <w:rFonts w:ascii="Arial" w:hAnsi="Arial" w:cs="Arial" w:eastAsiaTheme="minorEastAsia"/>
          <w:b/>
          <w:bCs/>
          <w:sz w:val="48"/>
          <w:szCs w:val="48"/>
        </w:rPr>
      </w:pPr>
    </w:p>
    <w:p>
      <w:pPr>
        <w:pStyle w:val="8"/>
        <w:kinsoku w:val="0"/>
        <w:overflowPunct w:val="0"/>
        <w:spacing w:before="0"/>
        <w:ind w:left="0"/>
        <w:rPr>
          <w:rFonts w:ascii="Arial" w:hAnsi="Arial" w:cs="Arial" w:eastAsiaTheme="minorEastAsia"/>
          <w:b/>
          <w:bCs/>
          <w:sz w:val="48"/>
          <w:szCs w:val="48"/>
        </w:rPr>
      </w:pPr>
    </w:p>
    <w:p>
      <w:pPr>
        <w:widowControl/>
        <w:autoSpaceDE/>
        <w:autoSpaceDN/>
        <w:adjustRightInd/>
        <w:jc w:val="center"/>
        <w:rPr>
          <w:rFonts w:ascii="方正小标宋简体" w:hAnsi="方正小标宋简体" w:eastAsia="方正小标宋简体" w:cs="方正小标宋简体"/>
          <w:color w:val="000000" w:themeColor="text1"/>
          <w:sz w:val="32"/>
          <w:szCs w:val="32"/>
          <w14:textFill>
            <w14:solidFill>
              <w14:schemeClr w14:val="tx1"/>
            </w14:solidFill>
          </w14:textFill>
        </w:rPr>
      </w:pPr>
    </w:p>
    <w:p>
      <w:pPr>
        <w:widowControl/>
        <w:autoSpaceDE/>
        <w:autoSpaceDN/>
        <w:adjustRightInd/>
        <w:jc w:val="center"/>
        <w:rPr>
          <w:rFonts w:ascii="方正小标宋简体" w:hAnsi="方正小标宋简体" w:eastAsia="方正小标宋简体" w:cs="方正小标宋简体"/>
          <w:color w:val="000000" w:themeColor="text1"/>
          <w:sz w:val="32"/>
          <w:szCs w:val="32"/>
          <w14:textFill>
            <w14:solidFill>
              <w14:schemeClr w14:val="tx1"/>
            </w14:solidFill>
          </w14:textFill>
        </w:rPr>
      </w:pPr>
      <w:r>
        <w:rPr>
          <w:rFonts w:hint="eastAsia" w:ascii="方正小标宋简体" w:hAnsi="方正小标宋简体" w:eastAsia="方正小标宋简体" w:cs="方正小标宋简体"/>
          <w:color w:val="000000" w:themeColor="text1"/>
          <w:sz w:val="32"/>
          <w:szCs w:val="32"/>
          <w14:textFill>
            <w14:solidFill>
              <w14:schemeClr w14:val="tx1"/>
            </w14:solidFill>
          </w14:textFill>
        </w:rPr>
        <w:t>中电联电力发展研究院有限公司</w:t>
      </w:r>
    </w:p>
    <w:p>
      <w:pPr>
        <w:widowControl/>
        <w:autoSpaceDE/>
        <w:autoSpaceDN/>
        <w:adjustRightInd/>
        <w:jc w:val="center"/>
        <w:rPr>
          <w:rFonts w:ascii="方正小标宋简体" w:hAnsi="方正小标宋简体" w:eastAsia="方正小标宋简体" w:cs="方正小标宋简体"/>
          <w:color w:val="000000" w:themeColor="text1"/>
          <w:sz w:val="32"/>
          <w:szCs w:val="32"/>
          <w14:textFill>
            <w14:solidFill>
              <w14:schemeClr w14:val="tx1"/>
            </w14:solidFill>
          </w14:textFill>
        </w:rPr>
      </w:pPr>
      <w:r>
        <w:rPr>
          <w:rFonts w:ascii="方正小标宋简体" w:hAnsi="方正小标宋简体" w:eastAsia="方正小标宋简体" w:cs="方正小标宋简体"/>
          <w:color w:val="000000" w:themeColor="text1"/>
          <w:sz w:val="32"/>
          <w:szCs w:val="32"/>
          <w14:textFill>
            <w14:solidFill>
              <w14:schemeClr w14:val="tx1"/>
            </w14:solidFill>
          </w14:textFill>
        </w:rPr>
        <w:t>2019</w:t>
      </w:r>
      <w:r>
        <w:rPr>
          <w:rFonts w:hint="eastAsia" w:ascii="方正小标宋简体" w:hAnsi="方正小标宋简体" w:eastAsia="方正小标宋简体" w:cs="方正小标宋简体"/>
          <w:color w:val="000000" w:themeColor="text1"/>
          <w:sz w:val="32"/>
          <w:szCs w:val="32"/>
          <w14:textFill>
            <w14:solidFill>
              <w14:schemeClr w14:val="tx1"/>
            </w14:solidFill>
          </w14:textFill>
        </w:rPr>
        <w:t>年</w:t>
      </w:r>
      <w:r>
        <w:rPr>
          <w:rFonts w:ascii="方正小标宋简体" w:hAnsi="方正小标宋简体" w:eastAsia="方正小标宋简体" w:cs="方正小标宋简体"/>
          <w:color w:val="000000" w:themeColor="text1"/>
          <w:sz w:val="32"/>
          <w:szCs w:val="32"/>
          <w14:textFill>
            <w14:solidFill>
              <w14:schemeClr w14:val="tx1"/>
            </w14:solidFill>
          </w14:textFill>
        </w:rPr>
        <w:t>10</w:t>
      </w:r>
      <w:r>
        <w:rPr>
          <w:rFonts w:hint="eastAsia" w:ascii="方正小标宋简体" w:hAnsi="方正小标宋简体" w:eastAsia="方正小标宋简体" w:cs="方正小标宋简体"/>
          <w:color w:val="000000" w:themeColor="text1"/>
          <w:sz w:val="32"/>
          <w:szCs w:val="32"/>
          <w14:textFill>
            <w14:solidFill>
              <w14:schemeClr w14:val="tx1"/>
            </w14:solidFill>
          </w14:textFill>
        </w:rPr>
        <w:t>月</w:t>
      </w:r>
    </w:p>
    <w:p>
      <w:pPr>
        <w:pStyle w:val="8"/>
        <w:kinsoku w:val="0"/>
        <w:overflowPunct w:val="0"/>
        <w:spacing w:before="238"/>
        <w:ind w:left="1125" w:right="683"/>
        <w:jc w:val="center"/>
        <w:rPr>
          <w:rFonts w:ascii="Arial" w:hAnsi="Arial" w:cs="Arial"/>
        </w:rPr>
        <w:sectPr>
          <w:pgSz w:w="11910" w:h="16850"/>
          <w:pgMar w:top="1600" w:right="1680" w:bottom="280" w:left="1680" w:header="720" w:footer="720" w:gutter="0"/>
          <w:cols w:equalWidth="0" w:num="1">
            <w:col w:w="8550"/>
          </w:cols>
        </w:sectPr>
      </w:pPr>
    </w:p>
    <w:p>
      <w:pPr>
        <w:pStyle w:val="8"/>
        <w:keepNext w:val="0"/>
        <w:keepLines w:val="0"/>
        <w:pageBreakBefore w:val="0"/>
        <w:widowControl w:val="0"/>
        <w:kinsoku/>
        <w:wordWrap/>
        <w:overflowPunct/>
        <w:topLinePunct w:val="0"/>
        <w:autoSpaceDE/>
        <w:autoSpaceDN/>
        <w:bidi w:val="0"/>
        <w:adjustRightInd/>
        <w:snapToGrid/>
        <w:spacing w:before="0" w:line="579" w:lineRule="exact"/>
        <w:ind w:left="0" w:leftChars="0" w:right="0" w:rightChars="0" w:firstLine="659" w:firstLineChars="206"/>
        <w:jc w:val="both"/>
        <w:textAlignment w:val="auto"/>
        <w:rPr>
          <w:rFonts w:hint="default" w:ascii="Times New Roman" w:hAnsi="Times New Roman" w:eastAsia="仿宋_GB2312" w:cs="Times New Roman"/>
          <w:kern w:val="2"/>
          <w:sz w:val="32"/>
          <w:szCs w:val="32"/>
        </w:rPr>
      </w:pPr>
      <w:bookmarkStart w:id="0" w:name="bookmark1"/>
      <w:bookmarkEnd w:id="0"/>
      <w:bookmarkStart w:id="1" w:name="_Toc23251458"/>
      <w:r>
        <w:rPr>
          <w:rFonts w:hint="default" w:ascii="Times New Roman" w:hAnsi="Times New Roman" w:eastAsia="仿宋_GB2312" w:cs="Times New Roman"/>
          <w:kern w:val="2"/>
          <w:sz w:val="32"/>
          <w:szCs w:val="32"/>
          <w:lang w:val="en-US" w:eastAsia="zh-CN"/>
        </w:rPr>
        <w:t>根据</w:t>
      </w:r>
      <w:r>
        <w:rPr>
          <w:rFonts w:hint="default" w:ascii="Times New Roman" w:hAnsi="Times New Roman" w:eastAsia="仿宋_GB2312" w:cs="Times New Roman"/>
          <w:kern w:val="2"/>
          <w:sz w:val="32"/>
          <w:szCs w:val="32"/>
        </w:rPr>
        <w:t>《中共中央国务院关于进一步深化电力体制改革的若干意见》（中发〔2015〕9号）精神，国家发展改革委、国家能源局于201</w:t>
      </w:r>
      <w:r>
        <w:rPr>
          <w:rFonts w:hint="eastAsia" w:ascii="Times New Roman" w:eastAsia="仿宋_GB2312" w:cs="Times New Roman"/>
          <w:kern w:val="2"/>
          <w:sz w:val="32"/>
          <w:szCs w:val="32"/>
          <w:lang w:val="en-US" w:eastAsia="zh-CN"/>
        </w:rPr>
        <w:t>9</w:t>
      </w:r>
      <w:r>
        <w:rPr>
          <w:rFonts w:hint="default" w:ascii="Times New Roman" w:hAnsi="Times New Roman" w:eastAsia="仿宋_GB2312" w:cs="Times New Roman"/>
          <w:kern w:val="2"/>
          <w:sz w:val="32"/>
          <w:szCs w:val="32"/>
        </w:rPr>
        <w:t>年</w:t>
      </w:r>
      <w:r>
        <w:rPr>
          <w:rFonts w:hint="default" w:ascii="Times New Roman" w:hAnsi="Times New Roman" w:eastAsia="仿宋_GB2312" w:cs="Times New Roman"/>
          <w:kern w:val="2"/>
          <w:sz w:val="32"/>
          <w:szCs w:val="32"/>
          <w:lang w:val="en-US" w:eastAsia="zh-CN"/>
        </w:rPr>
        <w:t>6</w:t>
      </w:r>
      <w:r>
        <w:rPr>
          <w:rFonts w:hint="default" w:ascii="Times New Roman" w:hAnsi="Times New Roman" w:eastAsia="仿宋_GB2312" w:cs="Times New Roman"/>
          <w:kern w:val="2"/>
          <w:sz w:val="32"/>
          <w:szCs w:val="32"/>
        </w:rPr>
        <w:t>月</w:t>
      </w:r>
      <w:r>
        <w:rPr>
          <w:rFonts w:hint="default" w:ascii="Times New Roman" w:hAnsi="Times New Roman" w:eastAsia="仿宋_GB2312" w:cs="Times New Roman"/>
          <w:kern w:val="2"/>
          <w:sz w:val="32"/>
          <w:szCs w:val="32"/>
          <w:lang w:val="en-US" w:eastAsia="zh-CN"/>
        </w:rPr>
        <w:t>印发</w:t>
      </w:r>
      <w:r>
        <w:rPr>
          <w:rFonts w:hint="default" w:ascii="Times New Roman" w:hAnsi="Times New Roman" w:eastAsia="仿宋_GB2312" w:cs="Times New Roman"/>
          <w:kern w:val="2"/>
          <w:sz w:val="32"/>
          <w:szCs w:val="32"/>
        </w:rPr>
        <w:t>了《关于规范开展第四批增量配电业务改革试点的通知》（发改</w:t>
      </w:r>
      <w:r>
        <w:rPr>
          <w:rFonts w:hint="eastAsia" w:ascii="Times New Roman" w:eastAsia="仿宋_GB2312" w:cs="Times New Roman"/>
          <w:kern w:val="2"/>
          <w:sz w:val="32"/>
          <w:szCs w:val="32"/>
          <w:lang w:val="en-US" w:eastAsia="zh-CN"/>
        </w:rPr>
        <w:t>运行</w:t>
      </w:r>
      <w:r>
        <w:rPr>
          <w:rFonts w:hint="default" w:ascii="Times New Roman" w:hAnsi="Times New Roman" w:eastAsia="仿宋_GB2312" w:cs="Times New Roman"/>
          <w:kern w:val="2"/>
          <w:sz w:val="32"/>
          <w:szCs w:val="32"/>
        </w:rPr>
        <w:t>〔201</w:t>
      </w:r>
      <w:r>
        <w:rPr>
          <w:rFonts w:hint="eastAsia" w:ascii="Times New Roman" w:eastAsia="仿宋_GB2312" w:cs="Times New Roman"/>
          <w:kern w:val="2"/>
          <w:sz w:val="32"/>
          <w:szCs w:val="32"/>
          <w:lang w:val="en-US" w:eastAsia="zh-CN"/>
        </w:rPr>
        <w:t>9</w:t>
      </w:r>
      <w:r>
        <w:rPr>
          <w:rFonts w:hint="default" w:ascii="Times New Roman" w:hAnsi="Times New Roman" w:eastAsia="仿宋_GB2312" w:cs="Times New Roman"/>
          <w:kern w:val="2"/>
          <w:sz w:val="32"/>
          <w:szCs w:val="32"/>
        </w:rPr>
        <w:t>〕</w:t>
      </w:r>
      <w:r>
        <w:rPr>
          <w:rFonts w:hint="eastAsia" w:ascii="Times New Roman" w:eastAsia="仿宋_GB2312" w:cs="Times New Roman"/>
          <w:kern w:val="2"/>
          <w:sz w:val="32"/>
          <w:szCs w:val="32"/>
          <w:lang w:val="en-US" w:eastAsia="zh-CN"/>
        </w:rPr>
        <w:t>1097</w:t>
      </w:r>
      <w:r>
        <w:rPr>
          <w:rFonts w:hint="default" w:ascii="Times New Roman" w:hAnsi="Times New Roman" w:eastAsia="仿宋_GB2312" w:cs="Times New Roman"/>
          <w:kern w:val="2"/>
          <w:sz w:val="32"/>
          <w:szCs w:val="32"/>
        </w:rPr>
        <w:t>号），公布了</w:t>
      </w:r>
      <w:r>
        <w:rPr>
          <w:rFonts w:hint="eastAsia" w:ascii="Times New Roman" w:eastAsia="仿宋_GB2312" w:cs="Times New Roman"/>
          <w:kern w:val="2"/>
          <w:sz w:val="32"/>
          <w:szCs w:val="32"/>
          <w:lang w:val="en-US" w:eastAsia="zh-CN"/>
        </w:rPr>
        <w:t>我省</w:t>
      </w:r>
      <w:r>
        <w:rPr>
          <w:rFonts w:hint="default" w:ascii="Times New Roman" w:hAnsi="Times New Roman" w:eastAsia="仿宋_GB2312" w:cs="Times New Roman"/>
          <w:kern w:val="2"/>
          <w:sz w:val="32"/>
          <w:szCs w:val="32"/>
        </w:rPr>
        <w:t>第</w:t>
      </w:r>
      <w:r>
        <w:rPr>
          <w:rFonts w:hint="eastAsia" w:ascii="Times New Roman" w:eastAsia="仿宋_GB2312" w:cs="Times New Roman"/>
          <w:kern w:val="2"/>
          <w:sz w:val="32"/>
          <w:szCs w:val="32"/>
          <w:lang w:val="en-US" w:eastAsia="zh-CN"/>
        </w:rPr>
        <w:t>四</w:t>
      </w:r>
      <w:r>
        <w:rPr>
          <w:rFonts w:hint="default" w:ascii="Times New Roman" w:hAnsi="Times New Roman" w:eastAsia="仿宋_GB2312" w:cs="Times New Roman"/>
          <w:kern w:val="2"/>
          <w:sz w:val="32"/>
          <w:szCs w:val="32"/>
        </w:rPr>
        <w:t>批</w:t>
      </w:r>
      <w:r>
        <w:rPr>
          <w:rFonts w:hint="eastAsia" w:asci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rPr>
        <w:t>个增量配电业务改革试点的名单，龙港市彩虹智慧创业园增量配电试点项目为</w:t>
      </w:r>
      <w:r>
        <w:rPr>
          <w:rFonts w:hint="eastAsia" w:ascii="Times New Roman" w:eastAsia="仿宋_GB2312" w:cs="Times New Roman"/>
          <w:kern w:val="2"/>
          <w:sz w:val="32"/>
          <w:szCs w:val="32"/>
          <w:lang w:val="en-US" w:eastAsia="zh-CN"/>
        </w:rPr>
        <w:t>其中</w:t>
      </w:r>
      <w:r>
        <w:rPr>
          <w:rFonts w:hint="default" w:ascii="Times New Roman" w:hAnsi="Times New Roman" w:eastAsia="仿宋_GB2312" w:cs="Times New Roman"/>
          <w:kern w:val="2"/>
          <w:sz w:val="32"/>
          <w:szCs w:val="32"/>
        </w:rPr>
        <w:t>之一。</w:t>
      </w:r>
    </w:p>
    <w:p>
      <w:pPr>
        <w:keepNext w:val="0"/>
        <w:keepLines w:val="0"/>
        <w:pageBreakBefore w:val="0"/>
        <w:kinsoku/>
        <w:wordWrap/>
        <w:overflowPunct/>
        <w:topLinePunct w:val="0"/>
        <w:autoSpaceDE/>
        <w:autoSpaceDN/>
        <w:bidi w:val="0"/>
        <w:adjustRightInd/>
        <w:snapToGrid/>
        <w:spacing w:line="579" w:lineRule="exact"/>
        <w:ind w:left="0" w:leftChars="0" w:right="0" w:rightChars="0" w:firstLine="659" w:firstLineChars="206"/>
        <w:jc w:val="both"/>
        <w:textAlignment w:val="auto"/>
        <w:rPr>
          <w:rFonts w:hint="default" w:ascii="Times New Roman" w:hAnsi="Times New Roman" w:eastAsia="仿宋_GB2312" w:cs="Times New Roman"/>
          <w:kern w:val="2"/>
          <w:sz w:val="32"/>
          <w:szCs w:val="32"/>
          <w:lang w:eastAsia="zh-CN"/>
        </w:rPr>
      </w:pPr>
      <w:r>
        <w:rPr>
          <w:rFonts w:hint="default" w:ascii="Times New Roman" w:hAnsi="Times New Roman" w:eastAsia="仿宋_GB2312" w:cs="Times New Roman"/>
          <w:kern w:val="2"/>
          <w:sz w:val="32"/>
          <w:szCs w:val="32"/>
          <w:lang w:val="en-US" w:eastAsia="zh-CN"/>
        </w:rPr>
        <w:t>为积极有序推进我省增量配电业务改革，确保改革取得实效，保障</w:t>
      </w:r>
      <w:r>
        <w:rPr>
          <w:rFonts w:hint="default" w:ascii="Times New Roman" w:hAnsi="Times New Roman" w:eastAsia="仿宋_GB2312" w:cs="Times New Roman"/>
          <w:kern w:val="2"/>
          <w:sz w:val="32"/>
          <w:szCs w:val="32"/>
        </w:rPr>
        <w:t>龙港市彩虹智慧创业园</w:t>
      </w:r>
      <w:r>
        <w:rPr>
          <w:rFonts w:hint="default" w:ascii="Times New Roman" w:hAnsi="Times New Roman" w:eastAsia="仿宋_GB2312" w:cs="Times New Roman"/>
          <w:kern w:val="2"/>
          <w:sz w:val="32"/>
          <w:szCs w:val="32"/>
          <w:lang w:val="en-US" w:eastAsia="zh-CN"/>
        </w:rPr>
        <w:t>增量配电网持续健康发展，</w:t>
      </w:r>
      <w:r>
        <w:rPr>
          <w:rFonts w:hint="default" w:ascii="Times New Roman" w:hAnsi="Times New Roman" w:eastAsia="仿宋_GB2312" w:cs="Times New Roman"/>
          <w:kern w:val="2"/>
          <w:sz w:val="32"/>
          <w:szCs w:val="32"/>
        </w:rPr>
        <w:t>根据《关于抓紧编制并上报各增量配电网“十三五”建设发展规划的通知》（浙发改办能源〔2017〕126号）</w:t>
      </w:r>
      <w:r>
        <w:rPr>
          <w:rFonts w:hint="default" w:ascii="Times New Roman" w:hAnsi="Times New Roman" w:eastAsia="仿宋_GB2312" w:cs="Times New Roman"/>
          <w:kern w:val="2"/>
          <w:sz w:val="32"/>
          <w:szCs w:val="32"/>
          <w:lang w:eastAsia="zh-CN"/>
        </w:rPr>
        <w:t>、《关于做好增量配电网建设发展规划编制工作的</w:t>
      </w:r>
      <w:r>
        <w:rPr>
          <w:rFonts w:hint="default" w:ascii="Times New Roman" w:hAnsi="Times New Roman" w:eastAsia="仿宋_GB2312" w:cs="Times New Roman"/>
          <w:kern w:val="2"/>
          <w:sz w:val="32"/>
          <w:szCs w:val="32"/>
        </w:rPr>
        <w:t>通知</w:t>
      </w:r>
      <w:r>
        <w:rPr>
          <w:rFonts w:hint="default" w:ascii="Times New Roman" w:hAnsi="Times New Roman" w:eastAsia="仿宋_GB2312" w:cs="Times New Roman"/>
          <w:kern w:val="2"/>
          <w:sz w:val="32"/>
          <w:szCs w:val="32"/>
          <w:lang w:eastAsia="zh-CN"/>
        </w:rPr>
        <w:t>》（浙发改办能源〔2019〕7</w:t>
      </w:r>
      <w:r>
        <w:rPr>
          <w:rFonts w:hint="default" w:ascii="Times New Roman" w:hAnsi="Times New Roman" w:eastAsia="仿宋_GB2312" w:cs="Times New Roman"/>
          <w:kern w:val="2"/>
          <w:sz w:val="32"/>
          <w:szCs w:val="32"/>
          <w:lang w:val="en-US" w:eastAsia="zh-CN"/>
        </w:rPr>
        <w:t>号</w:t>
      </w:r>
      <w:r>
        <w:rPr>
          <w:rFonts w:hint="default" w:ascii="Times New Roman" w:hAnsi="Times New Roman" w:eastAsia="仿宋_GB2312" w:cs="Times New Roman"/>
          <w:kern w:val="2"/>
          <w:sz w:val="32"/>
          <w:szCs w:val="32"/>
          <w:lang w:eastAsia="zh-CN"/>
        </w:rPr>
        <w:t>）</w:t>
      </w:r>
      <w:r>
        <w:rPr>
          <w:rFonts w:hint="default" w:ascii="Times New Roman" w:hAnsi="Times New Roman" w:eastAsia="仿宋_GB2312" w:cs="Times New Roman"/>
          <w:kern w:val="2"/>
          <w:sz w:val="32"/>
          <w:szCs w:val="32"/>
        </w:rPr>
        <w:t>要求，编制</w:t>
      </w:r>
      <w:r>
        <w:rPr>
          <w:rFonts w:hint="default" w:ascii="Times New Roman" w:hAnsi="Times New Roman" w:eastAsia="仿宋_GB2312" w:cs="Times New Roman"/>
          <w:kern w:val="2"/>
          <w:sz w:val="32"/>
          <w:szCs w:val="32"/>
          <w:lang w:val="en-US" w:eastAsia="zh-CN"/>
        </w:rPr>
        <w:t>本规划</w:t>
      </w:r>
      <w:r>
        <w:rPr>
          <w:rFonts w:hint="default" w:ascii="Times New Roman" w:hAnsi="Times New Roman" w:eastAsia="仿宋_GB2312" w:cs="Times New Roman"/>
          <w:kern w:val="2"/>
          <w:sz w:val="32"/>
          <w:szCs w:val="32"/>
          <w:lang w:eastAsia="zh-CN"/>
        </w:rPr>
        <w:t>。</w:t>
      </w:r>
    </w:p>
    <w:p>
      <w:pPr>
        <w:pStyle w:val="8"/>
        <w:keepNext w:val="0"/>
        <w:keepLines w:val="0"/>
        <w:pageBreakBefore w:val="0"/>
        <w:widowControl w:val="0"/>
        <w:kinsoku/>
        <w:wordWrap/>
        <w:overflowPunct/>
        <w:topLinePunct w:val="0"/>
        <w:autoSpaceDE/>
        <w:autoSpaceDN/>
        <w:bidi w:val="0"/>
        <w:adjustRightInd/>
        <w:snapToGrid/>
        <w:spacing w:before="0" w:line="579" w:lineRule="exact"/>
        <w:ind w:left="0" w:leftChars="0" w:right="0" w:rightChars="0" w:firstLine="659" w:firstLineChars="206"/>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sz w:val="32"/>
          <w:szCs w:val="32"/>
        </w:rPr>
        <w:t>本规划基准年为</w:t>
      </w:r>
      <w:r>
        <w:rPr>
          <w:rFonts w:hint="default" w:ascii="Times New Roman" w:hAnsi="Times New Roman" w:eastAsia="仿宋_GB2312" w:cs="Times New Roman"/>
          <w:kern w:val="2"/>
          <w:sz w:val="32"/>
          <w:szCs w:val="32"/>
        </w:rPr>
        <w:t>201</w:t>
      </w:r>
      <w:r>
        <w:rPr>
          <w:rFonts w:hint="default" w:ascii="Times New Roman" w:hAnsi="Times New Roman" w:eastAsia="仿宋_GB2312" w:cs="Times New Roman"/>
          <w:kern w:val="2"/>
          <w:sz w:val="32"/>
          <w:szCs w:val="32"/>
          <w:lang w:val="en-US" w:eastAsia="zh-CN"/>
        </w:rPr>
        <w:t>8</w:t>
      </w:r>
      <w:r>
        <w:rPr>
          <w:rFonts w:hint="default" w:ascii="Times New Roman" w:hAnsi="Times New Roman" w:eastAsia="仿宋_GB2312" w:cs="Times New Roman"/>
          <w:kern w:val="2"/>
          <w:sz w:val="32"/>
          <w:szCs w:val="32"/>
        </w:rPr>
        <w:t>年，规划期为201</w:t>
      </w:r>
      <w:r>
        <w:rPr>
          <w:rFonts w:hint="default" w:ascii="Times New Roman" w:hAnsi="Times New Roman" w:eastAsia="仿宋_GB2312" w:cs="Times New Roman"/>
          <w:kern w:val="2"/>
          <w:sz w:val="32"/>
          <w:szCs w:val="32"/>
          <w:lang w:val="en-US" w:eastAsia="zh-CN"/>
        </w:rPr>
        <w:t>9</w:t>
      </w:r>
      <w:r>
        <w:rPr>
          <w:rFonts w:hint="default" w:ascii="Times New Roman" w:hAnsi="Times New Roman" w:eastAsia="仿宋_GB2312" w:cs="Times New Roman"/>
          <w:kern w:val="2"/>
          <w:sz w:val="32"/>
          <w:szCs w:val="32"/>
        </w:rPr>
        <w:t>-202</w:t>
      </w:r>
      <w:r>
        <w:rPr>
          <w:rFonts w:hint="default" w:ascii="Times New Roman" w:hAnsi="Times New Roman" w:eastAsia="仿宋_GB2312" w:cs="Times New Roman"/>
          <w:kern w:val="2"/>
          <w:sz w:val="32"/>
          <w:szCs w:val="32"/>
          <w:lang w:val="en-US" w:eastAsia="zh-CN"/>
        </w:rPr>
        <w:t>5</w:t>
      </w:r>
      <w:r>
        <w:rPr>
          <w:rFonts w:hint="default" w:ascii="Times New Roman" w:hAnsi="Times New Roman" w:eastAsia="仿宋_GB2312" w:cs="Times New Roman"/>
          <w:kern w:val="2"/>
          <w:sz w:val="32"/>
          <w:szCs w:val="32"/>
        </w:rPr>
        <w:t>年。</w:t>
      </w:r>
    </w:p>
    <w:p>
      <w:pPr>
        <w:pStyle w:val="8"/>
        <w:keepNext w:val="0"/>
        <w:keepLines w:val="0"/>
        <w:pageBreakBefore w:val="0"/>
        <w:widowControl w:val="0"/>
        <w:kinsoku/>
        <w:wordWrap/>
        <w:overflowPunct/>
        <w:topLinePunct w:val="0"/>
        <w:autoSpaceDE/>
        <w:autoSpaceDN/>
        <w:bidi w:val="0"/>
        <w:adjustRightInd/>
        <w:snapToGrid/>
        <w:spacing w:before="0" w:line="579" w:lineRule="exact"/>
        <w:ind w:left="0" w:leftChars="0" w:right="0" w:rightChars="0" w:firstLine="659" w:firstLineChars="206"/>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rPr>
        <w:t>本</w:t>
      </w:r>
      <w:r>
        <w:rPr>
          <w:rFonts w:hint="default" w:ascii="Times New Roman" w:hAnsi="Times New Roman" w:eastAsia="仿宋_GB2312" w:cs="Times New Roman"/>
          <w:kern w:val="2"/>
          <w:sz w:val="32"/>
          <w:szCs w:val="32"/>
        </w:rPr>
        <w:t>规划</w:t>
      </w:r>
      <w:r>
        <w:rPr>
          <w:rFonts w:hint="default" w:ascii="Times New Roman" w:hAnsi="Times New Roman" w:eastAsia="仿宋_GB2312" w:cs="Times New Roman"/>
          <w:kern w:val="2"/>
          <w:sz w:val="32"/>
          <w:szCs w:val="32"/>
          <w:lang w:val="en-US" w:eastAsia="zh-CN"/>
        </w:rPr>
        <w:t>的</w:t>
      </w:r>
      <w:r>
        <w:rPr>
          <w:rFonts w:hint="default" w:ascii="Times New Roman" w:hAnsi="Times New Roman" w:eastAsia="仿宋_GB2312" w:cs="Times New Roman"/>
          <w:kern w:val="2"/>
          <w:sz w:val="32"/>
          <w:szCs w:val="32"/>
        </w:rPr>
        <w:t>编制依据</w:t>
      </w:r>
      <w:r>
        <w:rPr>
          <w:rFonts w:hint="default" w:ascii="Times New Roman" w:hAnsi="Times New Roman" w:eastAsia="仿宋_GB2312" w:cs="Times New Roman"/>
          <w:kern w:val="2"/>
          <w:sz w:val="32"/>
          <w:szCs w:val="32"/>
          <w:lang w:val="en-US" w:eastAsia="zh-CN"/>
        </w:rPr>
        <w:t>主要包括：</w:t>
      </w:r>
    </w:p>
    <w:p>
      <w:pPr>
        <w:pStyle w:val="8"/>
        <w:keepNext w:val="0"/>
        <w:keepLines w:val="0"/>
        <w:pageBreakBefore w:val="0"/>
        <w:widowControl w:val="0"/>
        <w:kinsoku/>
        <w:wordWrap/>
        <w:overflowPunct/>
        <w:topLinePunct w:val="0"/>
        <w:autoSpaceDE/>
        <w:autoSpaceDN/>
        <w:bidi w:val="0"/>
        <w:adjustRightInd/>
        <w:snapToGrid/>
        <w:spacing w:before="0" w:line="579" w:lineRule="exact"/>
        <w:ind w:left="0" w:leftChars="0" w:right="0" w:rightChars="0" w:firstLine="880" w:firstLineChars="275"/>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1．政策性指导文件</w:t>
      </w:r>
    </w:p>
    <w:p>
      <w:pPr>
        <w:pStyle w:val="8"/>
        <w:keepNext w:val="0"/>
        <w:keepLines w:val="0"/>
        <w:pageBreakBefore w:val="0"/>
        <w:widowControl w:val="0"/>
        <w:kinsoku/>
        <w:wordWrap/>
        <w:overflowPunct/>
        <w:topLinePunct w:val="0"/>
        <w:autoSpaceDE/>
        <w:autoSpaceDN/>
        <w:bidi w:val="0"/>
        <w:adjustRightInd/>
        <w:snapToGrid/>
        <w:spacing w:before="0" w:line="579" w:lineRule="exact"/>
        <w:ind w:left="0" w:leftChars="0" w:right="0" w:rightChars="0" w:firstLine="659" w:firstLineChars="206"/>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（1）《关于进一步深化电力体制改革的若干意见》（中发〔2015〕9号）；</w:t>
      </w:r>
    </w:p>
    <w:p>
      <w:pPr>
        <w:pStyle w:val="8"/>
        <w:keepNext w:val="0"/>
        <w:keepLines w:val="0"/>
        <w:pageBreakBefore w:val="0"/>
        <w:widowControl w:val="0"/>
        <w:kinsoku/>
        <w:wordWrap/>
        <w:overflowPunct/>
        <w:topLinePunct w:val="0"/>
        <w:autoSpaceDE/>
        <w:autoSpaceDN/>
        <w:bidi w:val="0"/>
        <w:adjustRightInd/>
        <w:snapToGrid/>
        <w:spacing w:before="0" w:line="579" w:lineRule="exact"/>
        <w:ind w:left="0" w:leftChars="0" w:right="0" w:rightChars="0" w:firstLine="659" w:firstLineChars="206"/>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（2）《国家发展改革委关于加快配电网建设改造的指导意见》（发改能源〔2015〕1899号）；</w:t>
      </w:r>
    </w:p>
    <w:p>
      <w:pPr>
        <w:pStyle w:val="8"/>
        <w:keepNext w:val="0"/>
        <w:keepLines w:val="0"/>
        <w:pageBreakBefore w:val="0"/>
        <w:widowControl w:val="0"/>
        <w:kinsoku/>
        <w:wordWrap/>
        <w:overflowPunct/>
        <w:topLinePunct w:val="0"/>
        <w:autoSpaceDE/>
        <w:autoSpaceDN/>
        <w:bidi w:val="0"/>
        <w:adjustRightInd/>
        <w:snapToGrid/>
        <w:spacing w:before="0" w:line="579" w:lineRule="exact"/>
        <w:ind w:left="0" w:leftChars="0" w:right="0" w:rightChars="0" w:firstLine="659" w:firstLineChars="206"/>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（3）《国家能源局关于印发配电网建设改造行动计划（2015～2020年）的通知》（国能电力〔2015〕290号）；</w:t>
      </w:r>
    </w:p>
    <w:p>
      <w:pPr>
        <w:pStyle w:val="8"/>
        <w:keepNext w:val="0"/>
        <w:keepLines w:val="0"/>
        <w:pageBreakBefore w:val="0"/>
        <w:widowControl w:val="0"/>
        <w:kinsoku/>
        <w:wordWrap/>
        <w:overflowPunct/>
        <w:topLinePunct w:val="0"/>
        <w:autoSpaceDE/>
        <w:autoSpaceDN/>
        <w:bidi w:val="0"/>
        <w:adjustRightInd/>
        <w:snapToGrid/>
        <w:spacing w:before="0" w:line="579" w:lineRule="exact"/>
        <w:ind w:left="0" w:leftChars="0" w:right="0" w:rightChars="0" w:firstLine="659" w:firstLineChars="206"/>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（4）《有序开放配电网业务管理办法》（发改经体〔2016〕2120号）；</w:t>
      </w:r>
    </w:p>
    <w:p>
      <w:pPr>
        <w:pStyle w:val="8"/>
        <w:keepNext w:val="0"/>
        <w:keepLines w:val="0"/>
        <w:pageBreakBefore w:val="0"/>
        <w:widowControl w:val="0"/>
        <w:kinsoku/>
        <w:wordWrap/>
        <w:overflowPunct/>
        <w:topLinePunct w:val="0"/>
        <w:autoSpaceDE/>
        <w:autoSpaceDN/>
        <w:bidi w:val="0"/>
        <w:adjustRightInd/>
        <w:snapToGrid/>
        <w:spacing w:before="0" w:line="579" w:lineRule="exact"/>
        <w:ind w:left="0" w:leftChars="0" w:right="0" w:rightChars="0" w:firstLine="659" w:firstLineChars="206"/>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（5）《关于规范开展第四批增量配电业务改革试点的通知》（发改</w:t>
      </w:r>
      <w:r>
        <w:rPr>
          <w:rFonts w:hint="eastAsia" w:ascii="Times New Roman" w:eastAsia="仿宋_GB2312" w:cs="Times New Roman"/>
          <w:kern w:val="2"/>
          <w:sz w:val="32"/>
          <w:szCs w:val="32"/>
          <w:lang w:val="en-US" w:eastAsia="zh-CN"/>
        </w:rPr>
        <w:t>运行</w:t>
      </w:r>
      <w:r>
        <w:rPr>
          <w:rFonts w:hint="default" w:ascii="Times New Roman" w:hAnsi="Times New Roman" w:eastAsia="仿宋_GB2312" w:cs="Times New Roman"/>
          <w:kern w:val="2"/>
          <w:sz w:val="32"/>
          <w:szCs w:val="32"/>
        </w:rPr>
        <w:t>〔201</w:t>
      </w:r>
      <w:r>
        <w:rPr>
          <w:rFonts w:hint="eastAsia" w:ascii="Times New Roman" w:eastAsia="仿宋_GB2312" w:cs="Times New Roman"/>
          <w:kern w:val="2"/>
          <w:sz w:val="32"/>
          <w:szCs w:val="32"/>
          <w:lang w:val="en-US" w:eastAsia="zh-CN"/>
        </w:rPr>
        <w:t>9</w:t>
      </w:r>
      <w:r>
        <w:rPr>
          <w:rFonts w:hint="default" w:ascii="Times New Roman" w:hAnsi="Times New Roman" w:eastAsia="仿宋_GB2312" w:cs="Times New Roman"/>
          <w:kern w:val="2"/>
          <w:sz w:val="32"/>
          <w:szCs w:val="32"/>
        </w:rPr>
        <w:t>〕</w:t>
      </w:r>
      <w:r>
        <w:rPr>
          <w:rFonts w:hint="eastAsia" w:ascii="Times New Roman" w:eastAsia="仿宋_GB2312" w:cs="Times New Roman"/>
          <w:kern w:val="2"/>
          <w:sz w:val="32"/>
          <w:szCs w:val="32"/>
          <w:lang w:val="en-US" w:eastAsia="zh-CN"/>
        </w:rPr>
        <w:t>1097</w:t>
      </w:r>
      <w:r>
        <w:rPr>
          <w:rFonts w:hint="default" w:ascii="Times New Roman" w:hAnsi="Times New Roman" w:eastAsia="仿宋_GB2312" w:cs="Times New Roman"/>
          <w:kern w:val="2"/>
          <w:sz w:val="32"/>
          <w:szCs w:val="32"/>
        </w:rPr>
        <w:t>号）；</w:t>
      </w:r>
    </w:p>
    <w:p>
      <w:pPr>
        <w:pStyle w:val="8"/>
        <w:keepNext w:val="0"/>
        <w:keepLines w:val="0"/>
        <w:pageBreakBefore w:val="0"/>
        <w:widowControl w:val="0"/>
        <w:kinsoku/>
        <w:wordWrap/>
        <w:overflowPunct/>
        <w:topLinePunct w:val="0"/>
        <w:autoSpaceDE/>
        <w:autoSpaceDN/>
        <w:bidi w:val="0"/>
        <w:adjustRightInd/>
        <w:snapToGrid/>
        <w:spacing w:before="0" w:line="579" w:lineRule="exact"/>
        <w:ind w:left="0" w:leftChars="0" w:right="0" w:rightChars="0" w:firstLine="659" w:firstLineChars="206"/>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（6）《关于抓紧编制并上报各增量配电网“十三五”建设发展规划的通知》（浙发改办能源〔2017〕126号）；</w:t>
      </w:r>
    </w:p>
    <w:p>
      <w:pPr>
        <w:pStyle w:val="8"/>
        <w:keepNext w:val="0"/>
        <w:keepLines w:val="0"/>
        <w:pageBreakBefore w:val="0"/>
        <w:widowControl w:val="0"/>
        <w:kinsoku/>
        <w:wordWrap/>
        <w:overflowPunct/>
        <w:topLinePunct w:val="0"/>
        <w:autoSpaceDE/>
        <w:autoSpaceDN/>
        <w:bidi w:val="0"/>
        <w:adjustRightInd/>
        <w:snapToGrid/>
        <w:spacing w:before="0" w:line="579" w:lineRule="exact"/>
        <w:ind w:left="0" w:leftChars="0" w:right="0" w:rightChars="0" w:firstLine="659" w:firstLineChars="206"/>
        <w:jc w:val="both"/>
        <w:textAlignment w:val="auto"/>
        <w:rPr>
          <w:rFonts w:hint="default" w:ascii="Times New Roman" w:hAnsi="Times New Roman" w:eastAsia="仿宋_GB2312" w:cs="Times New Roman"/>
          <w:kern w:val="2"/>
          <w:sz w:val="32"/>
          <w:szCs w:val="32"/>
          <w:lang w:eastAsia="zh-CN"/>
        </w:rPr>
      </w:pPr>
      <w:r>
        <w:rPr>
          <w:rFonts w:hint="default" w:ascii="Times New Roman" w:hAnsi="Times New Roman" w:eastAsia="仿宋_GB2312" w:cs="Times New Roman"/>
          <w:kern w:val="2"/>
          <w:sz w:val="32"/>
          <w:szCs w:val="32"/>
        </w:rPr>
        <w:t>（7）《关于做好增量配电网建设发展规划编制工作的通知》（浙发改办能源〔2019〕7号）</w:t>
      </w:r>
      <w:r>
        <w:rPr>
          <w:rFonts w:hint="default" w:ascii="Times New Roman" w:hAnsi="Times New Roman" w:eastAsia="仿宋_GB2312" w:cs="Times New Roman"/>
          <w:kern w:val="2"/>
          <w:sz w:val="32"/>
          <w:szCs w:val="32"/>
          <w:lang w:eastAsia="zh-CN"/>
        </w:rPr>
        <w:t>；</w:t>
      </w:r>
    </w:p>
    <w:p>
      <w:pPr>
        <w:pStyle w:val="8"/>
        <w:keepNext w:val="0"/>
        <w:keepLines w:val="0"/>
        <w:pageBreakBefore w:val="0"/>
        <w:widowControl w:val="0"/>
        <w:kinsoku/>
        <w:wordWrap/>
        <w:overflowPunct/>
        <w:topLinePunct w:val="0"/>
        <w:autoSpaceDE/>
        <w:autoSpaceDN/>
        <w:bidi w:val="0"/>
        <w:adjustRightInd/>
        <w:snapToGrid/>
        <w:spacing w:before="0" w:line="579" w:lineRule="exact"/>
        <w:ind w:left="0" w:leftChars="0" w:right="0" w:rightChars="0" w:firstLine="659" w:firstLineChars="206"/>
        <w:jc w:val="both"/>
        <w:textAlignment w:val="auto"/>
        <w:rPr>
          <w:rFonts w:hint="default" w:ascii="Times New Roman" w:hAnsi="Times New Roman" w:eastAsia="仿宋_GB2312" w:cs="Times New Roman"/>
          <w:kern w:val="2"/>
          <w:sz w:val="32"/>
          <w:szCs w:val="32"/>
          <w:lang w:eastAsia="zh-CN"/>
        </w:rPr>
      </w:pPr>
      <w:r>
        <w:rPr>
          <w:rFonts w:hint="default" w:ascii="Times New Roman" w:hAnsi="Times New Roman" w:eastAsia="仿宋_GB2312" w:cs="Times New Roman"/>
          <w:kern w:val="2"/>
          <w:sz w:val="32"/>
          <w:szCs w:val="32"/>
          <w:lang w:eastAsia="zh-CN"/>
        </w:rPr>
        <w:t>（</w:t>
      </w:r>
      <w:r>
        <w:rPr>
          <w:rFonts w:hint="default" w:ascii="Times New Roman" w:hAnsi="Times New Roman" w:eastAsia="仿宋_GB2312" w:cs="Times New Roman"/>
          <w:kern w:val="2"/>
          <w:sz w:val="32"/>
          <w:szCs w:val="32"/>
          <w:lang w:val="en-US" w:eastAsia="zh-CN"/>
        </w:rPr>
        <w:t>8</w:t>
      </w:r>
      <w:r>
        <w:rPr>
          <w:rFonts w:hint="default" w:ascii="Times New Roman" w:hAnsi="Times New Roman" w:eastAsia="仿宋_GB2312" w:cs="Times New Roman"/>
          <w:kern w:val="2"/>
          <w:sz w:val="32"/>
          <w:szCs w:val="32"/>
          <w:lang w:eastAsia="zh-CN"/>
        </w:rPr>
        <w:t>）《关于进一步做好我省增量配电业务改革试点工作的</w:t>
      </w:r>
      <w:r>
        <w:rPr>
          <w:rFonts w:hint="default" w:ascii="Times New Roman" w:hAnsi="Times New Roman" w:eastAsia="仿宋_GB2312" w:cs="Times New Roman"/>
          <w:kern w:val="2"/>
          <w:sz w:val="32"/>
          <w:szCs w:val="32"/>
        </w:rPr>
        <w:t>通知</w:t>
      </w:r>
      <w:r>
        <w:rPr>
          <w:rFonts w:hint="default" w:ascii="Times New Roman" w:hAnsi="Times New Roman" w:eastAsia="仿宋_GB2312" w:cs="Times New Roman"/>
          <w:kern w:val="2"/>
          <w:sz w:val="32"/>
          <w:szCs w:val="32"/>
          <w:lang w:eastAsia="zh-CN"/>
        </w:rPr>
        <w:t>》（浙发改能源〔2018〕645</w:t>
      </w:r>
      <w:r>
        <w:rPr>
          <w:rFonts w:hint="default" w:ascii="Times New Roman" w:hAnsi="Times New Roman" w:eastAsia="仿宋_GB2312" w:cs="Times New Roman"/>
          <w:kern w:val="2"/>
          <w:sz w:val="32"/>
          <w:szCs w:val="32"/>
          <w:lang w:val="en-US" w:eastAsia="zh-CN"/>
        </w:rPr>
        <w:t>号</w:t>
      </w:r>
      <w:r>
        <w:rPr>
          <w:rFonts w:hint="default" w:ascii="Times New Roman" w:hAnsi="Times New Roman" w:eastAsia="仿宋_GB2312" w:cs="Times New Roman"/>
          <w:kern w:val="2"/>
          <w:sz w:val="32"/>
          <w:szCs w:val="32"/>
          <w:lang w:eastAsia="zh-CN"/>
        </w:rPr>
        <w:t>）</w:t>
      </w:r>
      <w:r>
        <w:rPr>
          <w:rFonts w:hint="default" w:ascii="Times New Roman" w:hAnsi="Times New Roman" w:cs="Times New Roman"/>
          <w:kern w:val="2"/>
          <w:sz w:val="32"/>
          <w:szCs w:val="32"/>
          <w:lang w:eastAsia="zh-CN"/>
        </w:rPr>
        <w:t>；</w:t>
      </w:r>
    </w:p>
    <w:p>
      <w:pPr>
        <w:pStyle w:val="8"/>
        <w:keepNext w:val="0"/>
        <w:keepLines w:val="0"/>
        <w:pageBreakBefore w:val="0"/>
        <w:widowControl w:val="0"/>
        <w:kinsoku/>
        <w:wordWrap/>
        <w:overflowPunct/>
        <w:topLinePunct w:val="0"/>
        <w:autoSpaceDE/>
        <w:autoSpaceDN/>
        <w:bidi w:val="0"/>
        <w:adjustRightInd/>
        <w:snapToGrid/>
        <w:spacing w:before="0" w:line="579" w:lineRule="exact"/>
        <w:ind w:left="0" w:leftChars="0" w:right="0" w:rightChars="0" w:firstLine="659" w:firstLineChars="206"/>
        <w:jc w:val="both"/>
        <w:textAlignment w:val="auto"/>
        <w:rPr>
          <w:rFonts w:hint="default" w:ascii="Times New Roman" w:hAnsi="Times New Roman" w:eastAsia="仿宋_GB2312" w:cs="Times New Roman"/>
          <w:kern w:val="2"/>
          <w:sz w:val="32"/>
          <w:szCs w:val="32"/>
          <w:lang w:eastAsia="zh-CN"/>
        </w:rPr>
      </w:pPr>
      <w:r>
        <w:rPr>
          <w:rFonts w:hint="default" w:ascii="Times New Roman" w:hAnsi="Times New Roman" w:eastAsia="仿宋_GB2312" w:cs="Times New Roman"/>
          <w:kern w:val="2"/>
          <w:sz w:val="32"/>
          <w:szCs w:val="32"/>
          <w:lang w:eastAsia="zh-CN"/>
        </w:rPr>
        <w:t>（</w:t>
      </w:r>
      <w:r>
        <w:rPr>
          <w:rFonts w:hint="default" w:ascii="Times New Roman" w:hAnsi="Times New Roman" w:eastAsia="仿宋_GB2312" w:cs="Times New Roman"/>
          <w:kern w:val="2"/>
          <w:sz w:val="32"/>
          <w:szCs w:val="32"/>
          <w:lang w:val="en-US" w:eastAsia="zh-CN"/>
        </w:rPr>
        <w:t>9</w:t>
      </w:r>
      <w:r>
        <w:rPr>
          <w:rFonts w:hint="default" w:ascii="Times New Roman" w:hAnsi="Times New Roman" w:eastAsia="仿宋_GB2312" w:cs="Times New Roman"/>
          <w:kern w:val="2"/>
          <w:sz w:val="32"/>
          <w:szCs w:val="32"/>
          <w:lang w:eastAsia="zh-CN"/>
        </w:rPr>
        <w:t>）《关于进一步推进增量配电业务改革的通知》（发改经体〔201</w:t>
      </w:r>
      <w:r>
        <w:rPr>
          <w:rFonts w:hint="default" w:ascii="Times New Roman" w:hAnsi="Times New Roman" w:eastAsia="仿宋_GB2312" w:cs="Times New Roman"/>
          <w:kern w:val="2"/>
          <w:sz w:val="32"/>
          <w:szCs w:val="32"/>
          <w:lang w:val="en-US" w:eastAsia="zh-CN"/>
        </w:rPr>
        <w:t>9</w:t>
      </w:r>
      <w:r>
        <w:rPr>
          <w:rFonts w:hint="default" w:ascii="Times New Roman" w:hAnsi="Times New Roman" w:eastAsia="仿宋_GB2312" w:cs="Times New Roman"/>
          <w:kern w:val="2"/>
          <w:sz w:val="32"/>
          <w:szCs w:val="32"/>
          <w:lang w:eastAsia="zh-CN"/>
        </w:rPr>
        <w:t>〕2</w:t>
      </w:r>
      <w:r>
        <w:rPr>
          <w:rFonts w:hint="default" w:ascii="Times New Roman" w:hAnsi="Times New Roman" w:eastAsia="仿宋_GB2312" w:cs="Times New Roman"/>
          <w:kern w:val="2"/>
          <w:sz w:val="32"/>
          <w:szCs w:val="32"/>
          <w:lang w:val="en-US" w:eastAsia="zh-CN"/>
        </w:rPr>
        <w:t>7</w:t>
      </w:r>
      <w:r>
        <w:rPr>
          <w:rFonts w:hint="default" w:ascii="Times New Roman" w:hAnsi="Times New Roman" w:eastAsia="仿宋_GB2312" w:cs="Times New Roman"/>
          <w:kern w:val="2"/>
          <w:sz w:val="32"/>
          <w:szCs w:val="32"/>
          <w:lang w:eastAsia="zh-CN"/>
        </w:rPr>
        <w:t>号）。</w:t>
      </w:r>
    </w:p>
    <w:p>
      <w:pPr>
        <w:pStyle w:val="8"/>
        <w:keepNext w:val="0"/>
        <w:keepLines w:val="0"/>
        <w:pageBreakBefore w:val="0"/>
        <w:widowControl w:val="0"/>
        <w:kinsoku/>
        <w:wordWrap/>
        <w:overflowPunct/>
        <w:topLinePunct w:val="0"/>
        <w:autoSpaceDE/>
        <w:autoSpaceDN/>
        <w:bidi w:val="0"/>
        <w:adjustRightInd/>
        <w:snapToGrid/>
        <w:spacing w:before="0" w:line="579" w:lineRule="exact"/>
        <w:ind w:left="0" w:leftChars="0" w:right="0" w:rightChars="0" w:firstLine="659" w:firstLineChars="206"/>
        <w:jc w:val="both"/>
        <w:textAlignment w:val="auto"/>
        <w:rPr>
          <w:rFonts w:hint="default" w:ascii="Times New Roman" w:hAnsi="Times New Roman" w:eastAsia="仿宋_GB2312" w:cs="Times New Roman"/>
          <w:kern w:val="2"/>
          <w:sz w:val="32"/>
          <w:szCs w:val="32"/>
          <w:lang w:eastAsia="zh-CN"/>
        </w:rPr>
      </w:pPr>
      <w:r>
        <w:rPr>
          <w:rFonts w:hint="default" w:ascii="Times New Roman" w:hAnsi="Times New Roman" w:eastAsia="仿宋_GB2312" w:cs="Times New Roman"/>
          <w:kern w:val="2"/>
          <w:sz w:val="32"/>
          <w:szCs w:val="32"/>
          <w:lang w:eastAsia="zh-CN"/>
        </w:rPr>
        <w:t>2．城乡总体规划、国民经济和社会发展规划</w:t>
      </w:r>
    </w:p>
    <w:p>
      <w:pPr>
        <w:pStyle w:val="8"/>
        <w:keepNext w:val="0"/>
        <w:keepLines w:val="0"/>
        <w:pageBreakBefore w:val="0"/>
        <w:widowControl w:val="0"/>
        <w:kinsoku/>
        <w:wordWrap/>
        <w:overflowPunct/>
        <w:topLinePunct w:val="0"/>
        <w:autoSpaceDE/>
        <w:autoSpaceDN/>
        <w:bidi w:val="0"/>
        <w:adjustRightInd/>
        <w:snapToGrid/>
        <w:spacing w:before="0" w:line="579" w:lineRule="exact"/>
        <w:ind w:left="0" w:leftChars="0" w:right="0" w:rightChars="0" w:firstLine="659" w:firstLineChars="206"/>
        <w:jc w:val="both"/>
        <w:textAlignment w:val="auto"/>
        <w:rPr>
          <w:rFonts w:hint="default" w:ascii="Times New Roman" w:hAnsi="Times New Roman" w:eastAsia="仿宋_GB2312" w:cs="Times New Roman"/>
          <w:kern w:val="2"/>
          <w:sz w:val="32"/>
          <w:szCs w:val="32"/>
          <w:lang w:eastAsia="zh-CN"/>
        </w:rPr>
      </w:pPr>
      <w:r>
        <w:rPr>
          <w:rFonts w:hint="default" w:ascii="Times New Roman" w:hAnsi="Times New Roman" w:eastAsia="仿宋_GB2312" w:cs="Times New Roman"/>
          <w:kern w:val="2"/>
          <w:sz w:val="32"/>
          <w:szCs w:val="32"/>
          <w:lang w:eastAsia="zh-CN"/>
        </w:rPr>
        <w:t>（1）</w:t>
      </w:r>
      <w:r>
        <w:rPr>
          <w:rFonts w:hint="eastAsia" w:ascii="仿宋_GB2312" w:hAnsi="宋体" w:eastAsia="仿宋_GB2312"/>
          <w:sz w:val="32"/>
          <w:szCs w:val="32"/>
        </w:rPr>
        <w:t>《苍南县龙港镇城市总体规划》</w:t>
      </w:r>
      <w:r>
        <w:rPr>
          <w:rFonts w:hint="default" w:ascii="Times New Roman" w:hAnsi="Times New Roman" w:eastAsia="仿宋_GB2312" w:cs="Times New Roman"/>
          <w:kern w:val="2"/>
          <w:sz w:val="32"/>
          <w:szCs w:val="32"/>
          <w:lang w:eastAsia="zh-CN"/>
        </w:rPr>
        <w:t>；</w:t>
      </w:r>
    </w:p>
    <w:p>
      <w:pPr>
        <w:pStyle w:val="8"/>
        <w:keepNext w:val="0"/>
        <w:keepLines w:val="0"/>
        <w:pageBreakBefore w:val="0"/>
        <w:widowControl w:val="0"/>
        <w:kinsoku/>
        <w:wordWrap/>
        <w:overflowPunct/>
        <w:topLinePunct w:val="0"/>
        <w:autoSpaceDE/>
        <w:autoSpaceDN/>
        <w:bidi w:val="0"/>
        <w:adjustRightInd/>
        <w:snapToGrid/>
        <w:spacing w:before="0" w:line="579" w:lineRule="exact"/>
        <w:ind w:left="0" w:leftChars="0" w:right="0" w:rightChars="0" w:firstLine="659" w:firstLineChars="206"/>
        <w:jc w:val="both"/>
        <w:textAlignment w:val="auto"/>
        <w:rPr>
          <w:rFonts w:hint="default" w:ascii="Times New Roman" w:hAnsi="Times New Roman" w:eastAsia="仿宋_GB2312" w:cs="Times New Roman"/>
          <w:kern w:val="2"/>
          <w:sz w:val="32"/>
          <w:szCs w:val="32"/>
          <w:lang w:eastAsia="zh-CN"/>
        </w:rPr>
      </w:pPr>
      <w:r>
        <w:rPr>
          <w:rFonts w:hint="default" w:ascii="Times New Roman" w:hAnsi="Times New Roman" w:eastAsia="仿宋_GB2312" w:cs="Times New Roman"/>
          <w:kern w:val="2"/>
          <w:sz w:val="32"/>
          <w:szCs w:val="32"/>
          <w:lang w:eastAsia="zh-CN"/>
        </w:rPr>
        <w:t>（2）</w:t>
      </w:r>
      <w:r>
        <w:rPr>
          <w:rFonts w:hint="eastAsia" w:ascii="仿宋_GB2312" w:hAnsi="宋体" w:eastAsia="仿宋_GB2312"/>
          <w:sz w:val="32"/>
          <w:szCs w:val="32"/>
        </w:rPr>
        <w:t>《苍南县龙港新城产业集聚区控制性详细规划》</w:t>
      </w:r>
      <w:r>
        <w:rPr>
          <w:rFonts w:hint="eastAsia" w:ascii="Times New Roman" w:eastAsia="仿宋_GB2312" w:cs="Times New Roman"/>
          <w:kern w:val="2"/>
          <w:sz w:val="32"/>
          <w:szCs w:val="32"/>
          <w:lang w:eastAsia="zh-CN"/>
        </w:rPr>
        <w:t>。</w:t>
      </w:r>
    </w:p>
    <w:p>
      <w:pPr>
        <w:pStyle w:val="8"/>
        <w:keepNext w:val="0"/>
        <w:keepLines w:val="0"/>
        <w:pageBreakBefore w:val="0"/>
        <w:widowControl w:val="0"/>
        <w:kinsoku/>
        <w:wordWrap/>
        <w:overflowPunct/>
        <w:topLinePunct w:val="0"/>
        <w:autoSpaceDE/>
        <w:autoSpaceDN/>
        <w:bidi w:val="0"/>
        <w:adjustRightInd/>
        <w:snapToGrid/>
        <w:spacing w:before="0" w:line="579" w:lineRule="exact"/>
        <w:ind w:left="0" w:leftChars="0" w:right="0" w:rightChars="0" w:firstLine="659" w:firstLineChars="206"/>
        <w:jc w:val="both"/>
        <w:textAlignment w:val="auto"/>
        <w:rPr>
          <w:rFonts w:hint="default" w:ascii="Times New Roman" w:hAnsi="Times New Roman" w:eastAsia="仿宋_GB2312" w:cs="Times New Roman"/>
          <w:kern w:val="2"/>
          <w:sz w:val="32"/>
          <w:szCs w:val="32"/>
          <w:lang w:eastAsia="zh-CN"/>
        </w:rPr>
      </w:pPr>
      <w:r>
        <w:rPr>
          <w:rFonts w:hint="default" w:ascii="Times New Roman" w:hAnsi="Times New Roman" w:eastAsia="仿宋_GB2312" w:cs="Times New Roman"/>
          <w:kern w:val="2"/>
          <w:sz w:val="32"/>
          <w:szCs w:val="32"/>
          <w:lang w:eastAsia="zh-CN"/>
        </w:rPr>
        <w:t>3．电网规划、设计和运行应遵循的有关规程、规范和规定</w:t>
      </w:r>
    </w:p>
    <w:p>
      <w:pPr>
        <w:pStyle w:val="8"/>
        <w:keepNext w:val="0"/>
        <w:keepLines w:val="0"/>
        <w:pageBreakBefore w:val="0"/>
        <w:widowControl w:val="0"/>
        <w:kinsoku/>
        <w:wordWrap/>
        <w:overflowPunct/>
        <w:topLinePunct w:val="0"/>
        <w:autoSpaceDE/>
        <w:autoSpaceDN/>
        <w:bidi w:val="0"/>
        <w:adjustRightInd/>
        <w:snapToGrid/>
        <w:spacing w:before="0" w:line="579" w:lineRule="exact"/>
        <w:ind w:left="0" w:leftChars="0" w:right="0" w:rightChars="0" w:firstLine="659" w:firstLineChars="206"/>
        <w:jc w:val="both"/>
        <w:textAlignment w:val="auto"/>
        <w:rPr>
          <w:rFonts w:hint="default" w:ascii="Times New Roman" w:hAnsi="Times New Roman" w:eastAsia="仿宋_GB2312" w:cs="Times New Roman"/>
          <w:kern w:val="2"/>
          <w:sz w:val="32"/>
          <w:szCs w:val="32"/>
          <w:lang w:eastAsia="zh-CN"/>
        </w:rPr>
      </w:pPr>
      <w:r>
        <w:rPr>
          <w:rFonts w:hint="default" w:ascii="Times New Roman" w:hAnsi="Times New Roman" w:eastAsia="仿宋_GB2312" w:cs="Times New Roman"/>
          <w:kern w:val="2"/>
          <w:sz w:val="32"/>
          <w:szCs w:val="32"/>
          <w:lang w:eastAsia="zh-CN"/>
        </w:rPr>
        <w:t>（1）《中华人民共和国电力法》；</w:t>
      </w:r>
    </w:p>
    <w:p>
      <w:pPr>
        <w:pStyle w:val="8"/>
        <w:keepNext w:val="0"/>
        <w:keepLines w:val="0"/>
        <w:pageBreakBefore w:val="0"/>
        <w:widowControl w:val="0"/>
        <w:kinsoku/>
        <w:wordWrap/>
        <w:overflowPunct/>
        <w:topLinePunct w:val="0"/>
        <w:autoSpaceDE/>
        <w:autoSpaceDN/>
        <w:bidi w:val="0"/>
        <w:adjustRightInd/>
        <w:snapToGrid/>
        <w:spacing w:before="0" w:line="579" w:lineRule="exact"/>
        <w:ind w:left="0" w:leftChars="0" w:right="0" w:rightChars="0" w:firstLine="659" w:firstLineChars="206"/>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（2）《供配电系统设计规范》（GB 50052-2009）；</w:t>
      </w:r>
    </w:p>
    <w:p>
      <w:pPr>
        <w:pStyle w:val="8"/>
        <w:keepNext w:val="0"/>
        <w:keepLines w:val="0"/>
        <w:pageBreakBefore w:val="0"/>
        <w:widowControl w:val="0"/>
        <w:kinsoku/>
        <w:wordWrap/>
        <w:overflowPunct/>
        <w:topLinePunct w:val="0"/>
        <w:autoSpaceDE/>
        <w:autoSpaceDN/>
        <w:bidi w:val="0"/>
        <w:adjustRightInd/>
        <w:snapToGrid/>
        <w:spacing w:before="0" w:line="579" w:lineRule="exact"/>
        <w:ind w:left="0" w:leftChars="0" w:right="0" w:rightChars="0" w:firstLine="659" w:firstLineChars="206"/>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（3）《城市电力规划规范》（GB/T 50293-2014）；</w:t>
      </w:r>
    </w:p>
    <w:p>
      <w:pPr>
        <w:pStyle w:val="8"/>
        <w:keepNext w:val="0"/>
        <w:keepLines w:val="0"/>
        <w:pageBreakBefore w:val="0"/>
        <w:widowControl w:val="0"/>
        <w:kinsoku/>
        <w:wordWrap/>
        <w:overflowPunct/>
        <w:topLinePunct w:val="0"/>
        <w:autoSpaceDE/>
        <w:autoSpaceDN/>
        <w:bidi w:val="0"/>
        <w:adjustRightInd/>
        <w:snapToGrid/>
        <w:spacing w:before="0" w:line="579" w:lineRule="exact"/>
        <w:ind w:left="0" w:leftChars="0" w:right="0" w:rightChars="0" w:firstLine="659" w:firstLineChars="206"/>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（4）《配电网规划设计技术导则》（DL/T  5729-2016）；</w:t>
      </w:r>
    </w:p>
    <w:p>
      <w:pPr>
        <w:pStyle w:val="8"/>
        <w:keepNext w:val="0"/>
        <w:keepLines w:val="0"/>
        <w:pageBreakBefore w:val="0"/>
        <w:widowControl w:val="0"/>
        <w:kinsoku/>
        <w:wordWrap/>
        <w:overflowPunct/>
        <w:topLinePunct w:val="0"/>
        <w:autoSpaceDE/>
        <w:autoSpaceDN/>
        <w:bidi w:val="0"/>
        <w:adjustRightInd/>
        <w:snapToGrid/>
        <w:spacing w:before="0" w:line="579" w:lineRule="exact"/>
        <w:ind w:left="0" w:leftChars="0" w:right="0" w:rightChars="0" w:firstLine="659" w:firstLineChars="206"/>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（5）《中低压配电网改造技术原则》（DL/T  599-2016）；</w:t>
      </w:r>
    </w:p>
    <w:p>
      <w:pPr>
        <w:pStyle w:val="8"/>
        <w:keepNext w:val="0"/>
        <w:keepLines w:val="0"/>
        <w:pageBreakBefore w:val="0"/>
        <w:widowControl w:val="0"/>
        <w:kinsoku/>
        <w:wordWrap/>
        <w:overflowPunct/>
        <w:topLinePunct w:val="0"/>
        <w:autoSpaceDE/>
        <w:autoSpaceDN/>
        <w:bidi w:val="0"/>
        <w:adjustRightInd/>
        <w:snapToGrid/>
        <w:spacing w:before="0" w:line="579" w:lineRule="exact"/>
        <w:ind w:left="0" w:leftChars="0" w:right="0" w:rightChars="0" w:firstLine="659" w:firstLineChars="206"/>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（6）《电能质量 公用电网谐波》（GB/T 14549-1993）；</w:t>
      </w:r>
    </w:p>
    <w:p>
      <w:pPr>
        <w:pStyle w:val="8"/>
        <w:keepNext w:val="0"/>
        <w:keepLines w:val="0"/>
        <w:pageBreakBefore w:val="0"/>
        <w:widowControl w:val="0"/>
        <w:kinsoku/>
        <w:wordWrap/>
        <w:overflowPunct/>
        <w:topLinePunct w:val="0"/>
        <w:autoSpaceDE/>
        <w:autoSpaceDN/>
        <w:bidi w:val="0"/>
        <w:adjustRightInd/>
        <w:snapToGrid/>
        <w:spacing w:before="0" w:line="579" w:lineRule="exact"/>
        <w:ind w:left="0" w:leftChars="0" w:right="0" w:rightChars="0" w:firstLine="659" w:firstLineChars="206"/>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（7）《电能质量 供电电压偏差》（GB/T 12325-2008）；</w:t>
      </w:r>
    </w:p>
    <w:p>
      <w:pPr>
        <w:pStyle w:val="8"/>
        <w:keepNext w:val="0"/>
        <w:keepLines w:val="0"/>
        <w:pageBreakBefore w:val="0"/>
        <w:widowControl w:val="0"/>
        <w:kinsoku/>
        <w:wordWrap/>
        <w:overflowPunct/>
        <w:topLinePunct w:val="0"/>
        <w:autoSpaceDE/>
        <w:autoSpaceDN/>
        <w:bidi w:val="0"/>
        <w:adjustRightInd/>
        <w:snapToGrid/>
        <w:spacing w:before="0" w:line="579" w:lineRule="exact"/>
        <w:ind w:left="0" w:leftChars="0" w:right="0" w:rightChars="0" w:firstLine="659" w:firstLineChars="206"/>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（8）《电能质量 三相电压允许不平衡度》（GB/T 15543-2008）；</w:t>
      </w:r>
    </w:p>
    <w:p>
      <w:pPr>
        <w:pStyle w:val="8"/>
        <w:keepNext w:val="0"/>
        <w:keepLines w:val="0"/>
        <w:pageBreakBefore w:val="0"/>
        <w:widowControl w:val="0"/>
        <w:kinsoku/>
        <w:wordWrap/>
        <w:overflowPunct/>
        <w:topLinePunct w:val="0"/>
        <w:autoSpaceDE/>
        <w:autoSpaceDN/>
        <w:bidi w:val="0"/>
        <w:adjustRightInd/>
        <w:snapToGrid/>
        <w:spacing w:before="0" w:line="579" w:lineRule="exact"/>
        <w:ind w:left="0" w:leftChars="0" w:right="0" w:rightChars="0" w:firstLine="659" w:firstLineChars="206"/>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（9）《电能质量 电压波动和闪变》（GB/T 12326-2008）。</w:t>
      </w:r>
    </w:p>
    <w:p>
      <w:pPr>
        <w:pStyle w:val="49"/>
        <w:keepNext w:val="0"/>
        <w:keepLines w:val="0"/>
        <w:pageBreakBefore w:val="0"/>
        <w:kinsoku/>
        <w:wordWrap/>
        <w:overflowPunct/>
        <w:topLinePunct w:val="0"/>
        <w:bidi w:val="0"/>
        <w:adjustRightInd w:val="0"/>
        <w:snapToGrid w:val="0"/>
        <w:spacing w:line="579" w:lineRule="exact"/>
        <w:ind w:right="0" w:rightChars="0" w:firstLine="640" w:firstLineChars="200"/>
        <w:textAlignment w:val="auto"/>
        <w:outlineLvl w:val="0"/>
        <w:rPr>
          <w:rFonts w:hint="default" w:ascii="Times New Roman" w:hAnsi="Times New Roman" w:eastAsia="黑体" w:cs="Times New Roman"/>
          <w:sz w:val="32"/>
          <w:szCs w:val="32"/>
        </w:rPr>
      </w:pPr>
    </w:p>
    <w:p>
      <w:pPr>
        <w:pStyle w:val="5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lang w:val="en-US" w:eastAsia="zh-CN"/>
        </w:rPr>
        <w:t>一、试点范围</w:t>
      </w:r>
    </w:p>
    <w:p>
      <w:pPr>
        <w:pStyle w:val="5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kern w:val="0"/>
          <w:sz w:val="32"/>
          <w:szCs w:val="32"/>
        </w:rPr>
        <w:t>依据</w:t>
      </w:r>
      <w:r>
        <w:rPr>
          <w:rFonts w:hint="default" w:ascii="Times New Roman" w:hAnsi="Times New Roman" w:eastAsia="仿宋_GB2312" w:cs="Times New Roman"/>
          <w:sz w:val="32"/>
          <w:szCs w:val="32"/>
        </w:rPr>
        <w:t>《有序放开配电网业务管理办法》（发改经体〔2016〕2120号）</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kern w:val="2"/>
          <w:sz w:val="32"/>
          <w:szCs w:val="32"/>
          <w:lang w:eastAsia="zh-CN"/>
        </w:rPr>
        <w:t>《关于进一步做好我省增量配电业务改革试点工作的</w:t>
      </w:r>
      <w:r>
        <w:rPr>
          <w:rFonts w:hint="default" w:ascii="Times New Roman" w:hAnsi="Times New Roman" w:eastAsia="仿宋_GB2312" w:cs="Times New Roman"/>
          <w:kern w:val="2"/>
          <w:sz w:val="32"/>
          <w:szCs w:val="32"/>
        </w:rPr>
        <w:t>通知</w:t>
      </w:r>
      <w:r>
        <w:rPr>
          <w:rFonts w:hint="default" w:ascii="Times New Roman" w:hAnsi="Times New Roman" w:eastAsia="仿宋_GB2312" w:cs="Times New Roman"/>
          <w:kern w:val="2"/>
          <w:sz w:val="32"/>
          <w:szCs w:val="32"/>
          <w:lang w:eastAsia="zh-CN"/>
        </w:rPr>
        <w:t>》（浙发改能源〔2018〕645</w:t>
      </w:r>
      <w:r>
        <w:rPr>
          <w:rFonts w:hint="default" w:ascii="Times New Roman" w:hAnsi="Times New Roman" w:eastAsia="仿宋_GB2312" w:cs="Times New Roman"/>
          <w:kern w:val="2"/>
          <w:sz w:val="32"/>
          <w:szCs w:val="32"/>
          <w:lang w:val="en-US" w:eastAsia="zh-CN"/>
        </w:rPr>
        <w:t>号</w:t>
      </w:r>
      <w:r>
        <w:rPr>
          <w:rFonts w:hint="default" w:ascii="Times New Roman" w:hAnsi="Times New Roman" w:eastAsia="仿宋_GB2312" w:cs="Times New Roman"/>
          <w:kern w:val="2"/>
          <w:sz w:val="32"/>
          <w:szCs w:val="32"/>
          <w:lang w:eastAsia="zh-CN"/>
        </w:rPr>
        <w:t>）、《关于进一步推进增量配电业务改革的通知》（发改经体〔201</w:t>
      </w:r>
      <w:r>
        <w:rPr>
          <w:rFonts w:hint="default" w:ascii="Times New Roman" w:hAnsi="Times New Roman" w:eastAsia="仿宋_GB2312" w:cs="Times New Roman"/>
          <w:kern w:val="2"/>
          <w:sz w:val="32"/>
          <w:szCs w:val="32"/>
          <w:lang w:val="en-US" w:eastAsia="zh-CN"/>
        </w:rPr>
        <w:t>9</w:t>
      </w:r>
      <w:r>
        <w:rPr>
          <w:rFonts w:hint="default" w:ascii="Times New Roman" w:hAnsi="Times New Roman" w:eastAsia="仿宋_GB2312" w:cs="Times New Roman"/>
          <w:kern w:val="2"/>
          <w:sz w:val="32"/>
          <w:szCs w:val="32"/>
          <w:lang w:eastAsia="zh-CN"/>
        </w:rPr>
        <w:t>〕2</w:t>
      </w:r>
      <w:r>
        <w:rPr>
          <w:rFonts w:hint="default" w:ascii="Times New Roman" w:hAnsi="Times New Roman" w:eastAsia="仿宋_GB2312" w:cs="Times New Roman"/>
          <w:kern w:val="2"/>
          <w:sz w:val="32"/>
          <w:szCs w:val="32"/>
          <w:lang w:val="en-US" w:eastAsia="zh-CN"/>
        </w:rPr>
        <w:t>7</w:t>
      </w:r>
      <w:r>
        <w:rPr>
          <w:rFonts w:hint="default" w:ascii="Times New Roman" w:hAnsi="Times New Roman" w:eastAsia="仿宋_GB2312" w:cs="Times New Roman"/>
          <w:kern w:val="2"/>
          <w:sz w:val="32"/>
          <w:szCs w:val="32"/>
          <w:lang w:eastAsia="zh-CN"/>
        </w:rPr>
        <w:t>号）</w:t>
      </w:r>
      <w:r>
        <w:rPr>
          <w:rFonts w:hint="default" w:ascii="Times New Roman" w:hAnsi="Times New Roman" w:eastAsia="仿宋_GB2312" w:cs="Times New Roman"/>
          <w:kern w:val="0"/>
          <w:sz w:val="32"/>
          <w:szCs w:val="32"/>
        </w:rPr>
        <w:t>等国家、省相关电改政策文件，按照规划引领、界限清晰、避免交叉供电的原则</w:t>
      </w:r>
      <w:r>
        <w:rPr>
          <w:rFonts w:hint="default" w:ascii="Times New Roman" w:hAnsi="Times New Roman" w:eastAsia="仿宋_GB2312" w:cs="Times New Roman"/>
          <w:kern w:val="0"/>
          <w:sz w:val="32"/>
          <w:szCs w:val="32"/>
          <w:lang w:val="en-US" w:eastAsia="zh-CN"/>
        </w:rPr>
        <w:t>划定</w:t>
      </w:r>
      <w:r>
        <w:rPr>
          <w:rFonts w:hint="default" w:ascii="Times New Roman" w:hAnsi="Times New Roman" w:eastAsia="仿宋_GB2312" w:cs="Times New Roman"/>
          <w:kern w:val="0"/>
          <w:sz w:val="32"/>
          <w:szCs w:val="32"/>
        </w:rPr>
        <w:t>试</w:t>
      </w:r>
      <w:r>
        <w:rPr>
          <w:rFonts w:hint="default" w:ascii="Times New Roman" w:hAnsi="Times New Roman" w:eastAsia="仿宋_GB2312" w:cs="Times New Roman"/>
          <w:sz w:val="32"/>
          <w:szCs w:val="32"/>
        </w:rPr>
        <w:t>点区域。</w:t>
      </w:r>
    </w:p>
    <w:p>
      <w:pPr>
        <w:pStyle w:val="5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试点区域位于</w:t>
      </w:r>
      <w:r>
        <w:rPr>
          <w:rFonts w:hint="eastAsia" w:ascii="Times New Roman" w:hAnsi="Times New Roman" w:eastAsia="仿宋_GB2312" w:cs="Times New Roman"/>
          <w:sz w:val="32"/>
          <w:szCs w:val="32"/>
        </w:rPr>
        <w:t>温州龙港市</w:t>
      </w:r>
      <w:r>
        <w:rPr>
          <w:rFonts w:hint="default" w:ascii="Times New Roman" w:hAnsi="Times New Roman" w:eastAsia="仿宋_GB2312" w:cs="Times New Roman"/>
          <w:sz w:val="32"/>
          <w:szCs w:val="32"/>
        </w:rPr>
        <w:t>，区域面积为0.3184平方公里。试点区域范围为北至</w:t>
      </w:r>
      <w:r>
        <w:rPr>
          <w:rFonts w:hint="eastAsia" w:ascii="仿宋_GB2312" w:hAnsi="宋体" w:eastAsia="仿宋_GB2312"/>
          <w:sz w:val="32"/>
          <w:szCs w:val="32"/>
        </w:rPr>
        <w:t>规划一路</w:t>
      </w:r>
      <w:r>
        <w:rPr>
          <w:rFonts w:hint="default" w:ascii="Times New Roman" w:hAnsi="Times New Roman" w:eastAsia="仿宋_GB2312" w:cs="Times New Roman"/>
          <w:sz w:val="32"/>
          <w:szCs w:val="32"/>
        </w:rPr>
        <w:t>，西至</w:t>
      </w:r>
      <w:r>
        <w:rPr>
          <w:rFonts w:hint="eastAsia" w:ascii="仿宋_GB2312" w:hAnsi="宋体" w:eastAsia="仿宋_GB2312"/>
          <w:sz w:val="32"/>
          <w:szCs w:val="32"/>
        </w:rPr>
        <w:t>彩虹大道</w:t>
      </w:r>
      <w:r>
        <w:rPr>
          <w:rFonts w:hint="default" w:ascii="Times New Roman" w:hAnsi="Times New Roman" w:eastAsia="仿宋_GB2312" w:cs="Times New Roman"/>
          <w:sz w:val="32"/>
          <w:szCs w:val="32"/>
        </w:rPr>
        <w:t>，南至</w:t>
      </w:r>
      <w:r>
        <w:rPr>
          <w:rFonts w:hint="eastAsia" w:ascii="仿宋_GB2312" w:hAnsi="宋体" w:eastAsia="仿宋_GB2312"/>
          <w:sz w:val="32"/>
          <w:szCs w:val="32"/>
        </w:rPr>
        <w:t>世纪大道</w:t>
      </w:r>
      <w:r>
        <w:rPr>
          <w:rFonts w:hint="default" w:ascii="Times New Roman" w:hAnsi="Times New Roman" w:eastAsia="仿宋_GB2312" w:cs="Times New Roman"/>
          <w:sz w:val="32"/>
          <w:szCs w:val="32"/>
        </w:rPr>
        <w:t>，东至</w:t>
      </w:r>
      <w:r>
        <w:rPr>
          <w:rFonts w:hint="eastAsia" w:ascii="仿宋_GB2312" w:hAnsi="宋体" w:eastAsia="仿宋_GB2312"/>
          <w:sz w:val="32"/>
          <w:szCs w:val="32"/>
        </w:rPr>
        <w:t>园区路</w:t>
      </w:r>
      <w:r>
        <w:rPr>
          <w:rFonts w:hint="eastAsia" w:ascii="仿宋_GB2312" w:hAnsi="宋体" w:eastAsia="仿宋_GB2312"/>
          <w:sz w:val="32"/>
          <w:szCs w:val="32"/>
          <w:lang w:eastAsia="zh-CN"/>
        </w:rPr>
        <w:t>，</w:t>
      </w:r>
      <w:r>
        <w:rPr>
          <w:rFonts w:hint="eastAsia" w:ascii="仿宋_GB2312" w:hAnsi="宋体" w:eastAsia="仿宋_GB2312"/>
          <w:sz w:val="32"/>
          <w:szCs w:val="32"/>
        </w:rPr>
        <w:t>分为彩虹智慧创业园一期、二期、三期</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如下图 1-1 所示。</w:t>
      </w:r>
    </w:p>
    <w:p>
      <w:pPr>
        <w:pStyle w:val="5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rPr>
        <w:t>龙港市彩虹智慧创业园</w:t>
      </w:r>
      <w:r>
        <w:rPr>
          <w:rFonts w:hint="default" w:ascii="Times New Roman" w:hAnsi="Times New Roman" w:eastAsia="仿宋_GB2312" w:cs="Times New Roman"/>
          <w:kern w:val="0"/>
          <w:sz w:val="32"/>
          <w:szCs w:val="32"/>
        </w:rPr>
        <w:t>增量配电业务改革试点</w:t>
      </w:r>
      <w:r>
        <w:rPr>
          <w:rFonts w:hint="default" w:ascii="Times New Roman" w:hAnsi="Times New Roman" w:eastAsia="仿宋_GB2312" w:cs="Times New Roman"/>
          <w:sz w:val="32"/>
          <w:szCs w:val="32"/>
        </w:rPr>
        <w:t>规划</w:t>
      </w:r>
      <w:r>
        <w:rPr>
          <w:rFonts w:hint="default" w:ascii="Times New Roman" w:hAnsi="Times New Roman" w:eastAsia="仿宋_GB2312" w:cs="Times New Roman"/>
          <w:kern w:val="0"/>
          <w:sz w:val="32"/>
          <w:szCs w:val="32"/>
          <w:lang w:val="en-US" w:eastAsia="zh-CN"/>
        </w:rPr>
        <w:t>区域内</w:t>
      </w:r>
      <w:r>
        <w:rPr>
          <w:rFonts w:hint="default" w:ascii="Times New Roman" w:hAnsi="Times New Roman" w:eastAsia="仿宋_GB2312" w:cs="Times New Roman"/>
          <w:sz w:val="32"/>
          <w:szCs w:val="32"/>
          <w:lang w:val="en-US" w:eastAsia="zh-CN"/>
        </w:rPr>
        <w:t>建设</w:t>
      </w:r>
      <w:r>
        <w:rPr>
          <w:rFonts w:hint="eastAsia" w:ascii="Times New Roman" w:eastAsia="仿宋_GB2312" w:cs="Times New Roman"/>
          <w:sz w:val="32"/>
          <w:szCs w:val="32"/>
          <w:lang w:val="en-US" w:eastAsia="zh-CN"/>
        </w:rPr>
        <w:t>35</w:t>
      </w:r>
      <w:r>
        <w:rPr>
          <w:rFonts w:hint="default" w:ascii="Times New Roman" w:hAnsi="Times New Roman" w:eastAsia="仿宋_GB2312" w:cs="Times New Roman"/>
          <w:sz w:val="32"/>
          <w:szCs w:val="32"/>
        </w:rPr>
        <w:t>千伏及以下</w:t>
      </w:r>
      <w:r>
        <w:rPr>
          <w:rFonts w:hint="default" w:ascii="Times New Roman" w:hAnsi="Times New Roman" w:eastAsia="仿宋_GB2312" w:cs="Times New Roman"/>
          <w:sz w:val="32"/>
          <w:szCs w:val="32"/>
          <w:lang w:val="en-US" w:eastAsia="zh-CN"/>
        </w:rPr>
        <w:t>增量配</w:t>
      </w:r>
      <w:r>
        <w:rPr>
          <w:rFonts w:hint="default" w:ascii="Times New Roman" w:hAnsi="Times New Roman" w:eastAsia="仿宋_GB2312" w:cs="Times New Roman"/>
          <w:sz w:val="32"/>
          <w:szCs w:val="32"/>
        </w:rPr>
        <w:t>电网。</w:t>
      </w:r>
    </w:p>
    <w:p>
      <w:pPr>
        <w:pStyle w:val="50"/>
        <w:keepNext w:val="0"/>
        <w:keepLines w:val="0"/>
        <w:pageBreakBefore w:val="0"/>
        <w:kinsoku/>
        <w:wordWrap/>
        <w:overflowPunct/>
        <w:topLinePunct w:val="0"/>
        <w:autoSpaceDE/>
        <w:autoSpaceDN/>
        <w:bidi w:val="0"/>
        <w:adjustRightInd/>
        <w:snapToGrid/>
        <w:spacing w:beforeLines="0" w:afterLines="0" w:line="579" w:lineRule="exact"/>
        <w:ind w:right="0" w:rightChars="0" w:firstLine="560"/>
        <w:textAlignment w:val="auto"/>
        <w:rPr>
          <w:rFonts w:hint="eastAsia" w:ascii="Times New Roman" w:hAnsi="Times New Roman" w:eastAsia="仿宋_GB2312" w:cs="Times New Roman"/>
          <w:kern w:val="2"/>
          <w:sz w:val="32"/>
          <w:szCs w:val="32"/>
          <w:lang w:val="en-US" w:eastAsia="zh-CN"/>
        </w:rPr>
      </w:pPr>
      <w:r>
        <w:rPr>
          <w:rFonts w:hint="default" w:ascii="Times New Roman" w:hAnsi="Times New Roman" w:eastAsia="仿宋_GB2312" w:cs="Times New Roman"/>
          <w:kern w:val="0"/>
          <w:sz w:val="32"/>
          <w:szCs w:val="32"/>
          <w:lang w:val="en-US" w:eastAsia="zh-CN"/>
        </w:rPr>
        <w:t>根据《</w:t>
      </w:r>
      <w:r>
        <w:rPr>
          <w:rFonts w:hint="eastAsia" w:ascii="Times New Roman" w:eastAsia="仿宋_GB2312" w:cs="Times New Roman"/>
          <w:kern w:val="0"/>
          <w:sz w:val="32"/>
          <w:szCs w:val="32"/>
          <w:lang w:val="en-US" w:eastAsia="zh-CN"/>
        </w:rPr>
        <w:t>省发展改革委</w:t>
      </w:r>
      <w:r>
        <w:rPr>
          <w:rFonts w:hint="default" w:ascii="Times New Roman" w:hAnsi="Times New Roman" w:eastAsia="仿宋_GB2312" w:cs="Times New Roman"/>
          <w:kern w:val="0"/>
          <w:sz w:val="32"/>
          <w:szCs w:val="32"/>
          <w:lang w:val="en-US" w:eastAsia="zh-CN"/>
        </w:rPr>
        <w:t>关于加快推进第四批增量配电业务试点项目的通知》（浙发改能源〔2019〕311号）</w:t>
      </w:r>
      <w:r>
        <w:rPr>
          <w:rFonts w:hint="default" w:ascii="Times New Roman" w:hAnsi="Times New Roman" w:eastAsia="仿宋_GB2312" w:cs="Times New Roman"/>
          <w:kern w:val="0"/>
          <w:sz w:val="32"/>
          <w:szCs w:val="32"/>
          <w:lang w:eastAsia="zh-CN"/>
        </w:rPr>
        <w:t>规定，</w:t>
      </w:r>
      <w:r>
        <w:rPr>
          <w:rFonts w:hint="default" w:ascii="Times New Roman" w:hAnsi="Times New Roman" w:eastAsia="仿宋_GB2312" w:cs="Times New Roman"/>
          <w:kern w:val="2"/>
          <w:sz w:val="32"/>
          <w:szCs w:val="32"/>
        </w:rPr>
        <w:t>龙港市彩虹智慧创业园</w:t>
      </w:r>
      <w:r>
        <w:rPr>
          <w:rFonts w:hint="default" w:ascii="Times New Roman" w:hAnsi="Times New Roman" w:eastAsia="仿宋_GB2312" w:cs="Times New Roman"/>
          <w:kern w:val="0"/>
          <w:sz w:val="32"/>
          <w:szCs w:val="32"/>
        </w:rPr>
        <w:t>增量配电</w:t>
      </w:r>
      <w:r>
        <w:rPr>
          <w:rFonts w:hint="eastAsia" w:ascii="Times New Roman" w:eastAsia="仿宋_GB2312" w:cs="Times New Roman"/>
          <w:kern w:val="0"/>
          <w:sz w:val="32"/>
          <w:szCs w:val="32"/>
          <w:lang w:val="en-US" w:eastAsia="zh-CN"/>
        </w:rPr>
        <w:t>网为非国网存量资产性质的增量配电网，</w:t>
      </w:r>
      <w:r>
        <w:rPr>
          <w:rFonts w:hint="eastAsia" w:ascii="仿宋_GB2312" w:hAnsi="宋体" w:eastAsia="仿宋_GB2312"/>
          <w:sz w:val="32"/>
          <w:szCs w:val="32"/>
        </w:rPr>
        <w:t>由浙江隆鑫彩虹售电有限公司承担建设运营责任</w:t>
      </w:r>
      <w:r>
        <w:rPr>
          <w:rFonts w:hint="eastAsia" w:ascii="仿宋_GB2312" w:hAnsi="宋体" w:eastAsia="仿宋_GB2312"/>
          <w:sz w:val="32"/>
          <w:szCs w:val="32"/>
          <w:lang w:eastAsia="zh-CN"/>
        </w:rPr>
        <w:t>。</w:t>
      </w:r>
    </w:p>
    <w:bookmarkEnd w:id="1"/>
    <w:p>
      <w:pPr>
        <w:pStyle w:val="9"/>
        <w:spacing w:line="578" w:lineRule="atLeast"/>
        <w:ind w:firstLine="640" w:firstLineChars="200"/>
        <w:rPr>
          <w:rFonts w:ascii="仿宋_GB2312" w:hAnsi="宋体" w:eastAsia="仿宋_GB2312"/>
          <w:sz w:val="32"/>
          <w:szCs w:val="32"/>
        </w:rPr>
        <w:sectPr>
          <w:headerReference r:id="rId3" w:type="default"/>
          <w:footerReference r:id="rId4" w:type="default"/>
          <w:pgSz w:w="11910" w:h="16850"/>
          <w:pgMar w:top="1400" w:right="1420" w:bottom="1420" w:left="1680" w:header="1161" w:footer="1226" w:gutter="0"/>
          <w:cols w:space="720" w:num="1"/>
          <w:docGrid w:linePitch="326" w:charSpace="0"/>
        </w:sectPr>
      </w:pPr>
    </w:p>
    <w:p>
      <w:pPr>
        <w:pStyle w:val="9"/>
        <w:spacing w:line="578" w:lineRule="atLeast"/>
        <w:ind w:firstLine="640" w:firstLineChars="200"/>
        <w:rPr>
          <w:rFonts w:ascii="仿宋_GB2312" w:hAnsi="宋体" w:eastAsia="仿宋_GB2312"/>
          <w:sz w:val="32"/>
          <w:szCs w:val="32"/>
        </w:rPr>
      </w:pPr>
    </w:p>
    <w:p>
      <w:pPr>
        <w:pStyle w:val="8"/>
        <w:kinsoku w:val="0"/>
        <w:overflowPunct w:val="0"/>
        <w:spacing w:before="38"/>
        <w:ind w:left="0"/>
      </w:pPr>
      <w:r>
        <w:drawing>
          <wp:inline distT="0" distB="0" distL="0" distR="0">
            <wp:extent cx="8830310" cy="4664710"/>
            <wp:effectExtent l="0" t="0" r="889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rcRect l="313" t="13030" r="541" b="12891"/>
                    <a:stretch>
                      <a:fillRect/>
                    </a:stretch>
                  </pic:blipFill>
                  <pic:spPr>
                    <a:xfrm>
                      <a:off x="0" y="0"/>
                      <a:ext cx="8830800" cy="4664721"/>
                    </a:xfrm>
                    <a:prstGeom prst="rect">
                      <a:avLst/>
                    </a:prstGeom>
                    <a:ln>
                      <a:noFill/>
                    </a:ln>
                  </pic:spPr>
                </pic:pic>
              </a:graphicData>
            </a:graphic>
          </wp:inline>
        </w:drawing>
      </w:r>
    </w:p>
    <w:p>
      <w:pPr>
        <w:pStyle w:val="8"/>
        <w:kinsoku w:val="0"/>
        <w:overflowPunct w:val="0"/>
        <w:snapToGrid w:val="0"/>
        <w:spacing w:before="240" w:beforeLines="100"/>
        <w:ind w:left="306" w:firstLine="280" w:firstLineChars="100"/>
        <w:jc w:val="center"/>
        <w:sectPr>
          <w:pgSz w:w="16850" w:h="11910" w:orient="landscape"/>
          <w:pgMar w:top="1680" w:right="1400" w:bottom="1420" w:left="1420" w:header="1161" w:footer="1226" w:gutter="0"/>
          <w:cols w:space="720" w:num="1"/>
          <w:docGrid w:linePitch="326" w:charSpace="0"/>
        </w:sectPr>
      </w:pPr>
      <w:r>
        <w:rPr>
          <w:rFonts w:hint="eastAsia" w:ascii="仿宋_GB2312" w:hAnsi="宋体" w:eastAsia="仿宋_GB2312" w:cs="Times New Roman"/>
          <w:kern w:val="2"/>
          <w:sz w:val="28"/>
          <w:szCs w:val="28"/>
        </w:rPr>
        <w:t>图1-1</w:t>
      </w:r>
      <w:r>
        <w:rPr>
          <w:rFonts w:ascii="仿宋_GB2312" w:hAnsi="宋体" w:eastAsia="仿宋_GB2312" w:cs="Times New Roman"/>
          <w:kern w:val="2"/>
          <w:sz w:val="28"/>
          <w:szCs w:val="28"/>
        </w:rPr>
        <w:t xml:space="preserve"> </w:t>
      </w:r>
      <w:r>
        <w:rPr>
          <w:rFonts w:hint="eastAsia" w:ascii="仿宋_GB2312" w:hAnsi="宋体" w:eastAsia="仿宋_GB2312" w:cs="Times New Roman"/>
          <w:kern w:val="2"/>
          <w:sz w:val="28"/>
          <w:szCs w:val="28"/>
        </w:rPr>
        <w:t>龙港彩虹智慧创业园增量配电业务改革试点项目试点区域范围示意图</w:t>
      </w:r>
    </w:p>
    <w:p>
      <w:pPr>
        <w:pStyle w:val="2"/>
        <w:pageBreakBefore w:val="0"/>
        <w:widowControl w:val="0"/>
        <w:kinsoku/>
        <w:wordWrap/>
        <w:overflowPunct/>
        <w:topLinePunct w:val="0"/>
        <w:autoSpaceDE/>
        <w:autoSpaceDN/>
        <w:bidi w:val="0"/>
        <w:spacing w:before="0" w:beforeLines="0" w:after="0" w:afterLines="0" w:line="579" w:lineRule="exact"/>
        <w:ind w:left="0" w:firstLine="640" w:firstLineChars="200"/>
        <w:textAlignment w:val="auto"/>
        <w:rPr>
          <w:rFonts w:hint="default" w:ascii="Times New Roman" w:hAnsi="Times New Roman" w:cs="Times New Roman"/>
          <w:b w:val="0"/>
          <w:sz w:val="32"/>
          <w:szCs w:val="32"/>
        </w:rPr>
      </w:pPr>
      <w:bookmarkStart w:id="2" w:name="bookmark4"/>
      <w:bookmarkEnd w:id="2"/>
      <w:bookmarkStart w:id="3" w:name="_Toc23169549"/>
      <w:r>
        <w:rPr>
          <w:rFonts w:hint="default" w:ascii="Times New Roman" w:hAnsi="Times New Roman" w:cs="Times New Roman"/>
          <w:b w:val="0"/>
          <w:sz w:val="32"/>
          <w:szCs w:val="32"/>
        </w:rPr>
        <w:t>二、区域经济社会发展情况</w:t>
      </w:r>
      <w:bookmarkEnd w:id="3"/>
    </w:p>
    <w:p>
      <w:pPr>
        <w:pStyle w:val="3"/>
        <w:pageBreakBefore w:val="0"/>
        <w:widowControl w:val="0"/>
        <w:kinsoku/>
        <w:wordWrap/>
        <w:overflowPunct/>
        <w:topLinePunct w:val="0"/>
        <w:autoSpaceDE/>
        <w:autoSpaceDN/>
        <w:bidi w:val="0"/>
        <w:spacing w:before="0" w:beforeLines="0" w:after="0" w:afterLines="0" w:line="579" w:lineRule="exact"/>
        <w:ind w:firstLine="643" w:firstLineChars="200"/>
        <w:textAlignment w:val="auto"/>
        <w:rPr>
          <w:rFonts w:hint="eastAsia" w:ascii="楷体_GB2312" w:hAnsi="楷体_GB2312" w:eastAsia="楷体_GB2312" w:cs="楷体_GB2312"/>
          <w:b/>
          <w:bCs w:val="0"/>
          <w:sz w:val="32"/>
          <w:szCs w:val="32"/>
        </w:rPr>
      </w:pPr>
      <w:bookmarkStart w:id="4" w:name="_Toc23169550"/>
      <w:r>
        <w:rPr>
          <w:rFonts w:hint="eastAsia" w:ascii="楷体_GB2312" w:hAnsi="楷体_GB2312" w:eastAsia="楷体_GB2312" w:cs="楷体_GB2312"/>
          <w:b/>
          <w:bCs w:val="0"/>
          <w:sz w:val="32"/>
          <w:szCs w:val="32"/>
        </w:rPr>
        <w:t>（一）区域经济社会发展现状</w:t>
      </w:r>
      <w:bookmarkEnd w:id="4"/>
      <w:bookmarkStart w:id="5" w:name="bookmark5"/>
      <w:bookmarkEnd w:id="5"/>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龙港市，位于浙江八大水系之一鳌江入海口南岸，东濒东海，西与平阳县萧江镇、苍南灵溪片区为邻，南与江南平原的宜山镇、钱库、金乡片区为界，北与平阳县鳌江镇隔江相望。2018年，龙港市全市总人口达到38.2万人。龙港市辖3个社区、19个居民区，总面积183.99平方公里。2018</w:t>
      </w:r>
      <w:r>
        <w:rPr>
          <w:rFonts w:hint="eastAsia" w:ascii="Times New Roman" w:hAnsi="Times New Roman" w:eastAsia="仿宋_GB2312" w:cs="Times New Roman"/>
          <w:sz w:val="32"/>
          <w:szCs w:val="32"/>
        </w:rPr>
        <w:t>年，龙港地区生产总值达到</w:t>
      </w:r>
      <w:r>
        <w:rPr>
          <w:rFonts w:hint="default" w:ascii="Times New Roman" w:hAnsi="Times New Roman" w:eastAsia="仿宋_GB2312" w:cs="Times New Roman"/>
          <w:sz w:val="32"/>
          <w:szCs w:val="32"/>
        </w:rPr>
        <w:t>299.5</w:t>
      </w:r>
      <w:r>
        <w:rPr>
          <w:rFonts w:hint="eastAsia" w:ascii="Times New Roman" w:hAnsi="Times New Roman" w:eastAsia="仿宋_GB2312" w:cs="Times New Roman"/>
          <w:sz w:val="32"/>
          <w:szCs w:val="32"/>
        </w:rPr>
        <w:t>亿元，人均地区生产总值达到</w:t>
      </w:r>
      <w:r>
        <w:rPr>
          <w:rFonts w:hint="default" w:ascii="Times New Roman" w:hAnsi="Times New Roman" w:eastAsia="仿宋_GB2312" w:cs="Times New Roman"/>
          <w:sz w:val="32"/>
          <w:szCs w:val="32"/>
        </w:rPr>
        <w:t>7.86</w:t>
      </w:r>
      <w:r>
        <w:rPr>
          <w:rFonts w:hint="eastAsia" w:ascii="Times New Roman" w:hAnsi="Times New Roman" w:eastAsia="仿宋_GB2312" w:cs="Times New Roman"/>
          <w:sz w:val="32"/>
          <w:szCs w:val="32"/>
        </w:rPr>
        <w:t>万元，城镇化率达到</w:t>
      </w:r>
      <w:r>
        <w:rPr>
          <w:rFonts w:hint="default" w:ascii="Times New Roman" w:hAnsi="Times New Roman" w:eastAsia="仿宋_GB2312" w:cs="Times New Roman"/>
          <w:sz w:val="32"/>
          <w:szCs w:val="32"/>
        </w:rPr>
        <w:t>63.2%</w:t>
      </w:r>
      <w:r>
        <w:rPr>
          <w:rFonts w:hint="eastAsia" w:ascii="Times New Roman" w:hAnsi="Times New Roman" w:eastAsia="仿宋_GB2312" w:cs="Times New Roman"/>
          <w:sz w:val="32"/>
          <w:szCs w:val="32"/>
        </w:rPr>
        <w:t>，城镇和农村常住居民人均可支配收入分别为</w:t>
      </w:r>
      <w:r>
        <w:rPr>
          <w:rFonts w:hint="default" w:ascii="Times New Roman" w:hAnsi="Times New Roman" w:eastAsia="仿宋_GB2312" w:cs="Times New Roman"/>
          <w:sz w:val="32"/>
          <w:szCs w:val="32"/>
        </w:rPr>
        <w:t>5.45</w:t>
      </w:r>
      <w:r>
        <w:rPr>
          <w:rFonts w:hint="eastAsia" w:ascii="Times New Roman" w:hAnsi="Times New Roman" w:eastAsia="仿宋_GB2312" w:cs="Times New Roman"/>
          <w:sz w:val="32"/>
          <w:szCs w:val="32"/>
        </w:rPr>
        <w:t>万元、</w:t>
      </w:r>
      <w:r>
        <w:rPr>
          <w:rFonts w:hint="default" w:ascii="Times New Roman" w:hAnsi="Times New Roman" w:eastAsia="仿宋_GB2312" w:cs="Times New Roman"/>
          <w:sz w:val="32"/>
          <w:szCs w:val="32"/>
        </w:rPr>
        <w:t>2.83</w:t>
      </w:r>
      <w:r>
        <w:rPr>
          <w:rFonts w:hint="eastAsia" w:ascii="Times New Roman" w:hAnsi="Times New Roman" w:eastAsia="仿宋_GB2312" w:cs="Times New Roman"/>
          <w:sz w:val="32"/>
          <w:szCs w:val="32"/>
        </w:rPr>
        <w:t>万元。</w:t>
      </w:r>
    </w:p>
    <w:p>
      <w:pPr>
        <w:pStyle w:val="8"/>
        <w:kinsoku w:val="0"/>
        <w:overflowPunct w:val="0"/>
        <w:spacing w:before="0" w:line="200" w:lineRule="atLeast"/>
        <w:ind w:left="538"/>
        <w:jc w:val="center"/>
        <w:rPr>
          <w:sz w:val="20"/>
          <w:szCs w:val="20"/>
        </w:rPr>
      </w:pPr>
      <w:r>
        <w:rPr>
          <w:rFonts w:hint="eastAsia"/>
          <w:sz w:val="20"/>
          <w:szCs w:val="20"/>
        </w:rPr>
        <w:drawing>
          <wp:inline distT="0" distB="0" distL="0" distR="0">
            <wp:extent cx="4220845" cy="4752975"/>
            <wp:effectExtent l="0" t="0" r="825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42946" cy="4777424"/>
                    </a:xfrm>
                    <a:prstGeom prst="rect">
                      <a:avLst/>
                    </a:prstGeom>
                    <a:noFill/>
                    <a:ln>
                      <a:noFill/>
                    </a:ln>
                  </pic:spPr>
                </pic:pic>
              </a:graphicData>
            </a:graphic>
          </wp:inline>
        </w:drawing>
      </w:r>
    </w:p>
    <w:p>
      <w:pPr>
        <w:pStyle w:val="8"/>
        <w:kinsoku w:val="0"/>
        <w:overflowPunct w:val="0"/>
        <w:snapToGrid w:val="0"/>
        <w:spacing w:before="240" w:beforeLines="100"/>
        <w:ind w:left="947"/>
        <w:jc w:val="center"/>
        <w:rPr>
          <w:rFonts w:ascii="仿宋_GB2312" w:hAnsi="宋体" w:eastAsia="仿宋_GB2312" w:cs="Times New Roman"/>
          <w:kern w:val="2"/>
          <w:sz w:val="28"/>
          <w:szCs w:val="28"/>
        </w:rPr>
      </w:pPr>
      <w:r>
        <w:rPr>
          <w:rFonts w:hint="eastAsia" w:ascii="仿宋_GB2312" w:hAnsi="宋体" w:eastAsia="仿宋_GB2312" w:cs="Times New Roman"/>
          <w:kern w:val="2"/>
          <w:sz w:val="28"/>
          <w:szCs w:val="28"/>
        </w:rPr>
        <w:t>图2-1</w:t>
      </w:r>
      <w:r>
        <w:rPr>
          <w:rFonts w:ascii="仿宋_GB2312" w:hAnsi="宋体" w:eastAsia="仿宋_GB2312" w:cs="Times New Roman"/>
          <w:kern w:val="2"/>
          <w:sz w:val="28"/>
          <w:szCs w:val="28"/>
        </w:rPr>
        <w:t xml:space="preserve"> </w:t>
      </w:r>
      <w:r>
        <w:rPr>
          <w:rFonts w:hint="eastAsia" w:ascii="仿宋_GB2312" w:hAnsi="宋体" w:eastAsia="仿宋_GB2312" w:cs="Times New Roman"/>
          <w:kern w:val="2"/>
          <w:sz w:val="28"/>
          <w:szCs w:val="28"/>
        </w:rPr>
        <w:t>龙港地区地理位置图</w:t>
      </w:r>
    </w:p>
    <w:p>
      <w:pPr>
        <w:pStyle w:val="3"/>
        <w:pageBreakBefore w:val="0"/>
        <w:widowControl w:val="0"/>
        <w:kinsoku/>
        <w:wordWrap/>
        <w:overflowPunct/>
        <w:topLinePunct w:val="0"/>
        <w:autoSpaceDE/>
        <w:autoSpaceDN/>
        <w:bidi w:val="0"/>
        <w:spacing w:before="0" w:beforeLines="0" w:after="0" w:afterLines="0" w:line="579" w:lineRule="exact"/>
        <w:ind w:firstLine="643" w:firstLineChars="200"/>
        <w:textAlignment w:val="auto"/>
        <w:rPr>
          <w:rFonts w:hint="default" w:ascii="楷体_GB2312" w:hAnsi="楷体_GB2312" w:eastAsia="楷体_GB2312" w:cs="楷体_GB2312"/>
          <w:b/>
          <w:bCs w:val="0"/>
          <w:sz w:val="32"/>
          <w:szCs w:val="32"/>
        </w:rPr>
      </w:pPr>
      <w:bookmarkStart w:id="6" w:name="bookmark6"/>
      <w:bookmarkEnd w:id="6"/>
      <w:bookmarkStart w:id="7" w:name="_Toc23169551"/>
      <w:r>
        <w:rPr>
          <w:rFonts w:hint="eastAsia" w:ascii="楷体_GB2312" w:hAnsi="楷体_GB2312" w:eastAsia="楷体_GB2312" w:cs="楷体_GB2312"/>
          <w:b/>
          <w:bCs w:val="0"/>
          <w:sz w:val="32"/>
          <w:szCs w:val="32"/>
        </w:rPr>
        <w:t>（二）区域总体规划布局</w:t>
      </w:r>
      <w:bookmarkEnd w:id="7"/>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2018</w:t>
      </w:r>
      <w:r>
        <w:rPr>
          <w:rFonts w:hint="eastAsia" w:ascii="Times New Roman" w:hAnsi="Times New Roman" w:eastAsia="仿宋_GB2312" w:cs="Times New Roman"/>
          <w:sz w:val="32"/>
          <w:szCs w:val="32"/>
        </w:rPr>
        <w:t>年之前，温州市政府在保留龙港建制镇的同时，设立龙港综合功能区（龙港新区），进一步拉开城市发展框架，港口优势进一步扩大，产业结构空前优化，工贸业发展迎来新的契机。甬台温高速复线、苍南电厂、跨江大桥、城市综合体、体育馆等一批重大项目加快推进，城市硬实力稳步增强；中国</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龙港</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印刷礼品文化节、舥艚开渔节和社区文化节等品牌活动精彩纷呈；省级森林城镇、省级绿色城镇和市级生态镇“三镇联创”活动持续推进，全力打造“全国文明城镇”，城市软实力进一步提升。</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2019</w:t>
      </w:r>
      <w:r>
        <w:rPr>
          <w:rFonts w:hint="eastAsia" w:ascii="Times New Roman" w:hAnsi="Times New Roman" w:eastAsia="仿宋_GB2312" w:cs="Times New Roman"/>
          <w:sz w:val="32"/>
          <w:szCs w:val="32"/>
        </w:rPr>
        <w:t>年</w:t>
      </w:r>
      <w:r>
        <w:rPr>
          <w:rFonts w:hint="default" w:ascii="Times New Roman" w:hAnsi="Times New Roman" w:eastAsia="仿宋_GB2312" w:cs="Times New Roman"/>
          <w:sz w:val="32"/>
          <w:szCs w:val="32"/>
        </w:rPr>
        <w:t>8</w:t>
      </w:r>
      <w:r>
        <w:rPr>
          <w:rFonts w:hint="eastAsia" w:ascii="Times New Roman" w:hAnsi="Times New Roman" w:eastAsia="仿宋_GB2312" w:cs="Times New Roman"/>
          <w:sz w:val="32"/>
          <w:szCs w:val="32"/>
        </w:rPr>
        <w:t>月，经国务院批准，龙港撤镇设市。目前龙港市相关发展规划尚未发布。根据《苍南县龙港镇城市总体规划》、《苍南县龙港新城产业集聚区控制性详细规划》，龙港地区总体规划基本情况如下：</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bookmarkStart w:id="8" w:name="_Toc23169552"/>
      <w:r>
        <w:rPr>
          <w:rFonts w:hint="default" w:ascii="Times New Roman" w:hAnsi="Times New Roman" w:eastAsia="仿宋_GB2312" w:cs="Times New Roman"/>
          <w:sz w:val="32"/>
          <w:szCs w:val="32"/>
        </w:rPr>
        <w:t>1</w:t>
      </w:r>
      <w:r>
        <w:rPr>
          <w:rFonts w:hint="eastAsia" w:ascii="Times New Roman" w:hAnsi="Times New Roman" w:eastAsia="仿宋_GB2312" w:cs="Times New Roman"/>
          <w:sz w:val="32"/>
          <w:szCs w:val="32"/>
        </w:rPr>
        <w:t>．战略定位</w:t>
      </w:r>
      <w:bookmarkEnd w:id="8"/>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rPr>
        <w:t>龙港作为滨江发展的城市，起源于鳌江南岸的鳌江入海口附近。龙港将与鳌江共同构成鳌江流域的中心城市（包含鳌江镇在内，未来城市人口将突破百万），承担国家城镇改革示范基地、温州南部金融商贸中心、温州南部高教与技术培训基地、鳌江流域创意产业基地、苍南港口物流和制造业基地和苍南休闲旅游片区的众多区域职能。</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bookmarkStart w:id="9" w:name="_Toc23169553"/>
      <w:r>
        <w:rPr>
          <w:rFonts w:hint="default" w:ascii="Times New Roman" w:hAnsi="Times New Roman" w:eastAsia="仿宋_GB2312" w:cs="Times New Roman"/>
          <w:sz w:val="32"/>
          <w:szCs w:val="32"/>
        </w:rPr>
        <w:t>2</w:t>
      </w:r>
      <w:r>
        <w:rPr>
          <w:rFonts w:hint="eastAsia" w:ascii="Times New Roman" w:hAnsi="Times New Roman" w:eastAsia="仿宋_GB2312" w:cs="Times New Roman"/>
          <w:sz w:val="32"/>
          <w:szCs w:val="32"/>
        </w:rPr>
        <w:t>．总体规划</w:t>
      </w:r>
      <w:bookmarkEnd w:id="9"/>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rPr>
        <w:t>规划提出以龙港新城滨海中心区为核心，以“一横两纵”的发展轴和两条特色滨水景观带以及四大功能板块为基本骨架，形成“三轴、两带、四板块、多中心”的城市整体空间格局。其中，四大城市功能板块分别为滨江产业板块、滨江生活板块、滨海核心板块、滨海产业板块。</w:t>
      </w:r>
    </w:p>
    <w:p>
      <w:pPr>
        <w:pStyle w:val="8"/>
        <w:kinsoku w:val="0"/>
        <w:overflowPunct w:val="0"/>
        <w:snapToGrid w:val="0"/>
        <w:spacing w:before="0" w:line="331" w:lineRule="auto"/>
        <w:ind w:left="0"/>
        <w:jc w:val="center"/>
        <w:rPr>
          <w:sz w:val="20"/>
          <w:szCs w:val="20"/>
        </w:rPr>
      </w:pPr>
      <w:r>
        <w:rPr>
          <w:rFonts w:hint="eastAsia"/>
          <w:sz w:val="20"/>
          <w:szCs w:val="20"/>
        </w:rPr>
        <w:drawing>
          <wp:inline distT="0" distB="0" distL="0" distR="0">
            <wp:extent cx="3914775" cy="3843655"/>
            <wp:effectExtent l="0" t="0" r="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943873" cy="3872684"/>
                    </a:xfrm>
                    <a:prstGeom prst="rect">
                      <a:avLst/>
                    </a:prstGeom>
                    <a:noFill/>
                    <a:ln>
                      <a:noFill/>
                    </a:ln>
                  </pic:spPr>
                </pic:pic>
              </a:graphicData>
            </a:graphic>
          </wp:inline>
        </w:drawing>
      </w:r>
    </w:p>
    <w:p>
      <w:pPr>
        <w:pStyle w:val="8"/>
        <w:kinsoku w:val="0"/>
        <w:overflowPunct w:val="0"/>
        <w:snapToGrid w:val="0"/>
        <w:spacing w:before="240" w:beforeLines="100"/>
        <w:ind w:left="2699"/>
        <w:rPr>
          <w:rFonts w:hint="eastAsia" w:ascii="仿宋_GB2312" w:eastAsia="仿宋_GB2312"/>
          <w:spacing w:val="-1"/>
          <w:sz w:val="28"/>
          <w:szCs w:val="28"/>
        </w:rPr>
      </w:pPr>
      <w:r>
        <w:rPr>
          <w:rFonts w:hint="eastAsia" w:ascii="仿宋_GB2312" w:eastAsia="仿宋_GB2312"/>
          <w:sz w:val="28"/>
          <w:szCs w:val="28"/>
        </w:rPr>
        <w:t>图</w:t>
      </w:r>
      <w:r>
        <w:rPr>
          <w:rFonts w:hint="eastAsia" w:ascii="仿宋_GB2312" w:eastAsia="仿宋_GB2312"/>
          <w:spacing w:val="-1"/>
          <w:sz w:val="28"/>
          <w:szCs w:val="28"/>
        </w:rPr>
        <w:t>2-2</w:t>
      </w:r>
      <w:r>
        <w:rPr>
          <w:rFonts w:ascii="仿宋_GB2312" w:eastAsia="仿宋_GB2312"/>
          <w:spacing w:val="-1"/>
          <w:sz w:val="28"/>
          <w:szCs w:val="28"/>
        </w:rPr>
        <w:t xml:space="preserve"> </w:t>
      </w:r>
      <w:r>
        <w:rPr>
          <w:rFonts w:hint="eastAsia" w:ascii="仿宋_GB2312" w:eastAsia="仿宋_GB2312"/>
          <w:spacing w:val="-1"/>
          <w:sz w:val="28"/>
          <w:szCs w:val="28"/>
        </w:rPr>
        <w:t>龙港地区总体规划图</w:t>
      </w:r>
    </w:p>
    <w:p>
      <w:pPr>
        <w:pStyle w:val="8"/>
        <w:kinsoku w:val="0"/>
        <w:overflowPunct w:val="0"/>
        <w:snapToGrid w:val="0"/>
        <w:spacing w:before="240" w:beforeLines="100"/>
        <w:ind w:left="2699"/>
        <w:rPr>
          <w:rFonts w:hint="eastAsia" w:ascii="仿宋_GB2312" w:eastAsia="仿宋_GB2312"/>
          <w:spacing w:val="-1"/>
          <w:sz w:val="28"/>
          <w:szCs w:val="28"/>
        </w:rPr>
      </w:pPr>
    </w:p>
    <w:p>
      <w:pPr>
        <w:pStyle w:val="2"/>
        <w:pageBreakBefore w:val="0"/>
        <w:widowControl w:val="0"/>
        <w:kinsoku/>
        <w:wordWrap/>
        <w:overflowPunct/>
        <w:topLinePunct w:val="0"/>
        <w:autoSpaceDE/>
        <w:autoSpaceDN/>
        <w:bidi w:val="0"/>
        <w:spacing w:before="0" w:beforeLines="0" w:after="0" w:afterLines="0" w:line="579" w:lineRule="exact"/>
        <w:ind w:left="0" w:firstLine="640" w:firstLineChars="200"/>
        <w:textAlignment w:val="auto"/>
        <w:rPr>
          <w:rFonts w:hint="eastAsia" w:ascii="Times New Roman" w:hAnsi="Times New Roman" w:cs="Times New Roman"/>
          <w:b w:val="0"/>
          <w:sz w:val="32"/>
          <w:szCs w:val="32"/>
        </w:rPr>
      </w:pPr>
      <w:bookmarkStart w:id="10" w:name="bookmark7"/>
      <w:bookmarkEnd w:id="10"/>
      <w:bookmarkStart w:id="11" w:name="_Toc23169554"/>
      <w:r>
        <w:rPr>
          <w:rFonts w:hint="eastAsia" w:ascii="Times New Roman" w:hAnsi="Times New Roman" w:cs="Times New Roman"/>
          <w:b w:val="0"/>
          <w:sz w:val="32"/>
          <w:szCs w:val="32"/>
        </w:rPr>
        <w:t>三、区域电网发展情况</w:t>
      </w:r>
      <w:bookmarkEnd w:id="11"/>
    </w:p>
    <w:p>
      <w:pPr>
        <w:pStyle w:val="9"/>
        <w:pageBreakBefore w:val="0"/>
        <w:widowControl w:val="0"/>
        <w:kinsoku/>
        <w:wordWrap/>
        <w:overflowPunct/>
        <w:topLinePunct w:val="0"/>
        <w:autoSpaceDE/>
        <w:autoSpaceDN/>
        <w:bidi w:val="0"/>
        <w:spacing w:line="579" w:lineRule="exact"/>
        <w:ind w:firstLine="643" w:firstLineChars="200"/>
        <w:textAlignment w:val="auto"/>
        <w:rPr>
          <w:rFonts w:hint="eastAsia" w:ascii="楷体_GB2312" w:hAnsi="楷体_GB2312" w:eastAsia="楷体_GB2312" w:cs="楷体_GB2312"/>
          <w:b/>
          <w:bCs/>
          <w:sz w:val="32"/>
          <w:szCs w:val="32"/>
        </w:rPr>
      </w:pPr>
      <w:bookmarkStart w:id="12" w:name="bookmark8"/>
      <w:bookmarkEnd w:id="12"/>
      <w:bookmarkStart w:id="13" w:name="_Toc23169555"/>
      <w:r>
        <w:rPr>
          <w:rFonts w:hint="eastAsia" w:ascii="楷体_GB2312" w:hAnsi="楷体_GB2312" w:eastAsia="楷体_GB2312" w:cs="楷体_GB2312"/>
          <w:b/>
          <w:bCs/>
          <w:sz w:val="32"/>
          <w:szCs w:val="32"/>
        </w:rPr>
        <w:t>（一）周边区域电网现状和发展规划</w:t>
      </w:r>
      <w:bookmarkEnd w:id="13"/>
    </w:p>
    <w:p>
      <w:pPr>
        <w:pStyle w:val="9"/>
        <w:pageBreakBefore w:val="0"/>
        <w:widowControl w:val="0"/>
        <w:kinsoku/>
        <w:wordWrap/>
        <w:overflowPunct/>
        <w:topLinePunct w:val="0"/>
        <w:autoSpaceDE/>
        <w:autoSpaceDN/>
        <w:bidi w:val="0"/>
        <w:spacing w:line="579"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截至2018年底，苍南县有地方小电厂43座，总装机容量10.2815万千瓦，其中小水电厂38座，装机容量3.3245万千瓦；风电厂3座，装机容量5.549万千瓦；光伏电站2座，装机容量1.408万千瓦。</w:t>
      </w:r>
    </w:p>
    <w:p>
      <w:pPr>
        <w:pStyle w:val="9"/>
        <w:pageBreakBefore w:val="0"/>
        <w:widowControl w:val="0"/>
        <w:kinsoku/>
        <w:wordWrap/>
        <w:overflowPunct/>
        <w:topLinePunct w:val="0"/>
        <w:autoSpaceDE/>
        <w:autoSpaceDN/>
        <w:bidi w:val="0"/>
        <w:spacing w:line="579"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截至2018年底，苍南县有220千伏变电站4座，主变9台，变电容量171万千伏安；110千伏变电站21座，主变38台，主变容量189万千伏安；35千伏变电站7座，主变台数12台，主变容量18万千伏安；35千伏线路18条，线路长度208.59公里；20千伏线路12条，线路长度42.52公里；10千伏线路441条，线路长度2941.65公里。</w:t>
      </w:r>
    </w:p>
    <w:p>
      <w:pPr>
        <w:pStyle w:val="9"/>
        <w:pageBreakBefore w:val="0"/>
        <w:widowControl w:val="0"/>
        <w:kinsoku/>
        <w:wordWrap/>
        <w:overflowPunct/>
        <w:topLinePunct w:val="0"/>
        <w:autoSpaceDE/>
        <w:autoSpaceDN/>
        <w:bidi w:val="0"/>
        <w:spacing w:line="579"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2018年，苍南电网最大负荷达110.86万千瓦，同比增长8.2%；全社会用电量达57.94亿千瓦时，同比增长3.78%。</w:t>
      </w:r>
    </w:p>
    <w:p>
      <w:pPr>
        <w:pStyle w:val="9"/>
        <w:pageBreakBefore w:val="0"/>
        <w:widowControl w:val="0"/>
        <w:kinsoku/>
        <w:wordWrap/>
        <w:overflowPunct/>
        <w:topLinePunct w:val="0"/>
        <w:autoSpaceDE/>
        <w:autoSpaceDN/>
        <w:bidi w:val="0"/>
        <w:spacing w:line="579"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2018年苍南35千伏及以上电网地理接线图见图3-1。</w:t>
      </w:r>
    </w:p>
    <w:p>
      <w:pPr>
        <w:pStyle w:val="9"/>
        <w:pageBreakBefore w:val="0"/>
        <w:widowControl w:val="0"/>
        <w:kinsoku/>
        <w:wordWrap/>
        <w:overflowPunct/>
        <w:topLinePunct w:val="0"/>
        <w:autoSpaceDE/>
        <w:autoSpaceDN/>
        <w:bidi w:val="0"/>
        <w:spacing w:line="579" w:lineRule="exact"/>
        <w:ind w:firstLine="643" w:firstLineChars="200"/>
        <w:textAlignment w:val="auto"/>
        <w:rPr>
          <w:rFonts w:hint="eastAsia" w:ascii="楷体_GB2312" w:hAnsi="楷体_GB2312" w:eastAsia="楷体_GB2312" w:cs="楷体_GB2312"/>
          <w:b/>
          <w:bCs/>
          <w:sz w:val="32"/>
          <w:szCs w:val="32"/>
        </w:rPr>
      </w:pPr>
      <w:bookmarkStart w:id="14" w:name="_Toc23169558"/>
      <w:r>
        <w:rPr>
          <w:rFonts w:hint="eastAsia" w:ascii="楷体_GB2312" w:hAnsi="楷体_GB2312" w:eastAsia="楷体_GB2312" w:cs="楷体_GB2312"/>
          <w:b/>
          <w:bCs/>
          <w:sz w:val="32"/>
          <w:szCs w:val="32"/>
        </w:rPr>
        <w:t>（二）区域电网发展现状</w:t>
      </w:r>
      <w:bookmarkEnd w:id="14"/>
    </w:p>
    <w:p>
      <w:pPr>
        <w:pStyle w:val="9"/>
        <w:pageBreakBefore w:val="0"/>
        <w:widowControl w:val="0"/>
        <w:kinsoku/>
        <w:wordWrap/>
        <w:overflowPunct/>
        <w:topLinePunct w:val="0"/>
        <w:autoSpaceDE/>
        <w:autoSpaceDN/>
        <w:bidi w:val="0"/>
        <w:spacing w:line="579"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试点区域目前正处于彩虹智慧创业园建设阶段，除施工用电外，无其他用电负荷。试点区域现有1座35千伏瑞田变电站，主变容量为30兆伏安（20+10兆伏安）。现有35千伏变电站通过2回35千伏线路接入220千伏珠山变（山瑞3641线、山田3646线），线路长度2×12.7公里，导线截面240平方毫米</w:t>
      </w:r>
      <w:bookmarkStart w:id="15" w:name="bookmark10"/>
      <w:bookmarkEnd w:id="15"/>
      <w:r>
        <w:rPr>
          <w:rFonts w:hint="eastAsia" w:ascii="Times New Roman" w:hAnsi="Times New Roman" w:eastAsia="仿宋_GB2312" w:cs="Times New Roman"/>
          <w:sz w:val="32"/>
          <w:szCs w:val="32"/>
        </w:rPr>
        <w:t>。试点区域内35千伏变电站及接入线路均属于用户资产，原企业破产倒闭后，经拍卖，已由浙江龙兴彩虹置业有限公司（彩虹智慧创业园开发主体）完成收购。目前该35千伏变电站和线路均处于停运状态。</w:t>
      </w:r>
    </w:p>
    <w:p>
      <w:pPr>
        <w:pStyle w:val="9"/>
        <w:pageBreakBefore w:val="0"/>
        <w:widowControl w:val="0"/>
        <w:kinsoku/>
        <w:wordWrap/>
        <w:overflowPunct/>
        <w:topLinePunct w:val="0"/>
        <w:autoSpaceDE/>
        <w:autoSpaceDN/>
        <w:bidi w:val="0"/>
        <w:spacing w:line="579"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试点区域内35千伏输变电为收购相关破产企业的留存资产。2004年投运，主变目前处于无法运行的状态。2回35千伏接入线路，投运年限较长，设备状况较差，考虑到资源集约利用，需对现状2回35千伏线路进行检测和升级改造以满足试点区域的供电要求。</w:t>
      </w:r>
    </w:p>
    <w:p>
      <w:pPr>
        <w:pStyle w:val="9"/>
        <w:pageBreakBefore w:val="0"/>
        <w:widowControl w:val="0"/>
        <w:kinsoku/>
        <w:wordWrap/>
        <w:overflowPunct/>
        <w:topLinePunct w:val="0"/>
        <w:autoSpaceDE/>
        <w:autoSpaceDN/>
        <w:bidi w:val="0"/>
        <w:spacing w:line="579"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另外，试点区域目前正处于彩虹智慧创业园建设阶段，尚无建成的10千伏配电网，无法满足创业园建成后的用电需求，需结合企业用电需求，规划建设10千伏配电网。</w:t>
      </w:r>
    </w:p>
    <w:p>
      <w:pPr>
        <w:pStyle w:val="2"/>
        <w:pageBreakBefore w:val="0"/>
        <w:widowControl w:val="0"/>
        <w:kinsoku/>
        <w:wordWrap/>
        <w:overflowPunct/>
        <w:topLinePunct w:val="0"/>
        <w:autoSpaceDE/>
        <w:autoSpaceDN/>
        <w:bidi w:val="0"/>
        <w:spacing w:before="0" w:beforeLines="0" w:after="0" w:afterLines="0" w:line="579" w:lineRule="exact"/>
        <w:ind w:left="0" w:firstLine="640" w:firstLineChars="200"/>
        <w:textAlignment w:val="auto"/>
        <w:rPr>
          <w:rFonts w:hint="default" w:ascii="Times New Roman" w:hAnsi="Times New Roman" w:cs="Times New Roman"/>
          <w:b w:val="0"/>
          <w:sz w:val="32"/>
          <w:szCs w:val="32"/>
        </w:rPr>
      </w:pPr>
      <w:bookmarkStart w:id="16" w:name="bookmark11"/>
      <w:bookmarkEnd w:id="16"/>
      <w:bookmarkStart w:id="17" w:name="bookmark9"/>
      <w:bookmarkEnd w:id="17"/>
      <w:bookmarkStart w:id="18" w:name="_Toc23169560"/>
      <w:r>
        <w:rPr>
          <w:rFonts w:hint="default" w:ascii="Times New Roman" w:hAnsi="Times New Roman" w:cs="Times New Roman"/>
          <w:b w:val="0"/>
          <w:sz w:val="32"/>
          <w:szCs w:val="32"/>
        </w:rPr>
        <w:t>四、区域用电预测</w:t>
      </w:r>
      <w:bookmarkEnd w:id="18"/>
    </w:p>
    <w:p>
      <w:pPr>
        <w:pStyle w:val="3"/>
        <w:pageBreakBefore w:val="0"/>
        <w:widowControl w:val="0"/>
        <w:kinsoku/>
        <w:wordWrap/>
        <w:overflowPunct/>
        <w:topLinePunct w:val="0"/>
        <w:autoSpaceDE/>
        <w:autoSpaceDN/>
        <w:bidi w:val="0"/>
        <w:spacing w:before="0" w:beforeLines="0" w:after="0" w:afterLines="0" w:line="579" w:lineRule="exact"/>
        <w:ind w:firstLine="643" w:firstLineChars="200"/>
        <w:textAlignment w:val="auto"/>
        <w:rPr>
          <w:rFonts w:hint="eastAsia" w:ascii="楷体_GB2312" w:hAnsi="楷体_GB2312" w:eastAsia="楷体_GB2312" w:cs="楷体_GB2312"/>
          <w:b/>
          <w:bCs w:val="0"/>
          <w:sz w:val="32"/>
          <w:szCs w:val="32"/>
        </w:rPr>
      </w:pPr>
      <w:bookmarkStart w:id="19" w:name="bookmark12"/>
      <w:bookmarkEnd w:id="19"/>
      <w:bookmarkStart w:id="20" w:name="_Toc23169561"/>
      <w:r>
        <w:rPr>
          <w:rFonts w:hint="eastAsia" w:ascii="楷体_GB2312" w:hAnsi="楷体_GB2312" w:eastAsia="楷体_GB2312" w:cs="楷体_GB2312"/>
          <w:b/>
          <w:bCs w:val="0"/>
          <w:sz w:val="32"/>
          <w:szCs w:val="32"/>
        </w:rPr>
        <w:t>（一）区域负荷增长趋势分析、负荷特性分析</w:t>
      </w:r>
      <w:bookmarkEnd w:id="20"/>
    </w:p>
    <w:p>
      <w:pPr>
        <w:pStyle w:val="4"/>
        <w:pageBreakBefore w:val="0"/>
        <w:widowControl w:val="0"/>
        <w:kinsoku/>
        <w:wordWrap/>
        <w:overflowPunct/>
        <w:topLinePunct w:val="0"/>
        <w:autoSpaceDE/>
        <w:autoSpaceDN/>
        <w:bidi w:val="0"/>
        <w:spacing w:before="0" w:beforeLines="0" w:after="0" w:afterLines="0" w:line="579" w:lineRule="exact"/>
        <w:ind w:left="0" w:firstLine="640" w:firstLineChars="200"/>
        <w:textAlignment w:val="auto"/>
        <w:rPr>
          <w:rFonts w:hint="default" w:ascii="Times New Roman" w:hAnsi="Times New Roman" w:eastAsia="仿宋_GB2312" w:cs="Times New Roman"/>
          <w:sz w:val="32"/>
          <w:szCs w:val="32"/>
        </w:rPr>
      </w:pPr>
      <w:bookmarkStart w:id="21" w:name="_Toc23169562"/>
      <w:r>
        <w:rPr>
          <w:rFonts w:hint="default" w:ascii="Times New Roman" w:hAnsi="Times New Roman" w:eastAsia="仿宋_GB2312" w:cs="Times New Roman"/>
          <w:sz w:val="32"/>
          <w:szCs w:val="32"/>
        </w:rPr>
        <w:t>1．试点区域范围内电力需求的特点</w:t>
      </w:r>
      <w:bookmarkEnd w:id="21"/>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（1）现状中压电网基本为空白状况，无历史用电数据。</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（2）正在建设中和计划建设的用户集中而且相对明确，基本为印刷企业用电负荷。</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（3）试点区域增量配电网主要满足区域内小微企业的用电需求。</w:t>
      </w:r>
    </w:p>
    <w:p>
      <w:pPr>
        <w:pStyle w:val="4"/>
        <w:pageBreakBefore w:val="0"/>
        <w:widowControl w:val="0"/>
        <w:kinsoku/>
        <w:wordWrap/>
        <w:overflowPunct/>
        <w:topLinePunct w:val="0"/>
        <w:autoSpaceDE/>
        <w:autoSpaceDN/>
        <w:bidi w:val="0"/>
        <w:spacing w:before="0" w:beforeLines="0" w:after="0" w:afterLines="0" w:line="579" w:lineRule="exact"/>
        <w:ind w:left="0" w:firstLine="640" w:firstLineChars="200"/>
        <w:textAlignment w:val="auto"/>
        <w:rPr>
          <w:rFonts w:hint="default" w:ascii="Times New Roman" w:hAnsi="Times New Roman" w:eastAsia="仿宋_GB2312" w:cs="Times New Roman"/>
          <w:sz w:val="32"/>
          <w:szCs w:val="32"/>
        </w:rPr>
      </w:pPr>
      <w:bookmarkStart w:id="22" w:name="_Toc23169563"/>
      <w:r>
        <w:rPr>
          <w:rFonts w:hint="default" w:ascii="Times New Roman" w:hAnsi="Times New Roman" w:eastAsia="仿宋_GB2312" w:cs="Times New Roman"/>
          <w:sz w:val="32"/>
          <w:szCs w:val="32"/>
        </w:rPr>
        <w:t>2．电力电量需求预测思路</w:t>
      </w:r>
      <w:bookmarkEnd w:id="22"/>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考虑到规划区域历史用电数据基本为空白，基于历史趋势的常规电力需求预测方法如年均增长率法、产值单耗法、回归分析法、灰色系数法、电力弹性系数法、人均用电指标等方法均不适合本区域规划。因此，结合增量配电业务试点区域范围的电力需求特点，本试点区域规划电力电量需求预测思路考虑如下：</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试点区域负荷=[明确用户负荷需求×入驻比率+其他空间负荷×开发系数]×同时率</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其中，明确用户负荷是指已经基本确定入驻的小微企业用户，其他空间负荷是指用地目前尚处于项目规划阶段，尚未明确入驻的小微企业。明确用户负荷均有报装容量和实际负荷，可进行单独计算，其他空间负荷采用负荷密度类比法计算远景负荷。</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同时，在电力需求预测的基础上，电量需求采用最大负荷利用小时数法进行预测。</w:t>
      </w:r>
    </w:p>
    <w:p>
      <w:pPr>
        <w:pStyle w:val="3"/>
        <w:pageBreakBefore w:val="0"/>
        <w:widowControl w:val="0"/>
        <w:kinsoku/>
        <w:wordWrap/>
        <w:overflowPunct/>
        <w:topLinePunct w:val="0"/>
        <w:autoSpaceDE/>
        <w:autoSpaceDN/>
        <w:bidi w:val="0"/>
        <w:spacing w:before="0" w:beforeLines="0" w:after="0" w:afterLines="0" w:line="579" w:lineRule="exact"/>
        <w:ind w:firstLine="643" w:firstLineChars="200"/>
        <w:textAlignment w:val="auto"/>
        <w:rPr>
          <w:rFonts w:hint="eastAsia" w:ascii="楷体_GB2312" w:hAnsi="楷体_GB2312" w:eastAsia="楷体_GB2312" w:cs="楷体_GB2312"/>
          <w:b/>
          <w:bCs w:val="0"/>
          <w:sz w:val="32"/>
          <w:szCs w:val="32"/>
        </w:rPr>
      </w:pPr>
      <w:bookmarkStart w:id="23" w:name="bookmark13"/>
      <w:bookmarkEnd w:id="23"/>
      <w:bookmarkStart w:id="24" w:name="_Toc23169564"/>
      <w:r>
        <w:rPr>
          <w:rFonts w:hint="eastAsia" w:ascii="楷体_GB2312" w:hAnsi="楷体_GB2312" w:eastAsia="楷体_GB2312" w:cs="楷体_GB2312"/>
          <w:b/>
          <w:bCs w:val="0"/>
          <w:sz w:val="32"/>
          <w:szCs w:val="32"/>
        </w:rPr>
        <w:t>（二）区域用电量预测</w:t>
      </w:r>
      <w:bookmarkEnd w:id="24"/>
    </w:p>
    <w:p>
      <w:pPr>
        <w:pStyle w:val="4"/>
        <w:pageBreakBefore w:val="0"/>
        <w:widowControl w:val="0"/>
        <w:kinsoku/>
        <w:wordWrap/>
        <w:overflowPunct/>
        <w:topLinePunct w:val="0"/>
        <w:autoSpaceDE/>
        <w:autoSpaceDN/>
        <w:bidi w:val="0"/>
        <w:spacing w:before="0" w:beforeLines="0" w:after="0" w:afterLines="0" w:line="579" w:lineRule="exact"/>
        <w:ind w:left="0" w:firstLine="640" w:firstLineChars="200"/>
        <w:textAlignment w:val="auto"/>
        <w:rPr>
          <w:rFonts w:hint="default" w:ascii="Times New Roman" w:hAnsi="Times New Roman" w:eastAsia="仿宋_GB2312" w:cs="Times New Roman"/>
          <w:sz w:val="32"/>
          <w:szCs w:val="32"/>
        </w:rPr>
      </w:pPr>
      <w:bookmarkStart w:id="25" w:name="_Toc23169565"/>
      <w:r>
        <w:rPr>
          <w:rFonts w:hint="default" w:ascii="Times New Roman" w:hAnsi="Times New Roman" w:eastAsia="仿宋_GB2312" w:cs="Times New Roman"/>
          <w:sz w:val="32"/>
          <w:szCs w:val="32"/>
        </w:rPr>
        <w:t>1．明确小微用户负荷需求</w:t>
      </w:r>
      <w:bookmarkEnd w:id="25"/>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彩虹智慧创业园（一期）项目为县重点招商引资项目，列入省、市重点建设工程，主导产业定位为印刷包装和塑料制品制造业。彩虹智慧创业园一期项目用地15.04万平方米，建筑面积28.11万平方米，目前已完成招商引资工作。根据招商引资实际情况，入驻企业397家，上报最大负荷累计1.42万千瓦。彩虹智慧创业园一期项目计划于2020～2021年左右实现全部入驻。</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彩虹智慧创业园三期（龙港世纪科技创业园）项目为2019年县重点开工项目，列入省、市重点建设工程，主导产业定位为印刷和塑料制品制造业。项目用地13.81万平方米，建筑面积27.59万平方米，目前已基本完成招商引资工作。根据招商引资实际情况，已基本明确入驻企业400家，上报最大负荷累计1.45万千瓦。彩虹智慧创业园三期项目计划于2022～2025年左右实现全部入驻。</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试点区域企业用户负荷统计情况见附表2、附表3。</w:t>
      </w:r>
      <w:bookmarkStart w:id="26" w:name="_Toc23169566"/>
    </w:p>
    <w:p>
      <w:pPr>
        <w:pStyle w:val="9"/>
        <w:pageBreakBefore w:val="0"/>
        <w:widowControl w:val="0"/>
        <w:kinsoku/>
        <w:wordWrap/>
        <w:overflowPunct/>
        <w:topLinePunct w:val="0"/>
        <w:autoSpaceDE/>
        <w:autoSpaceDN/>
        <w:bidi w:val="0"/>
        <w:adjustRightInd w:val="0"/>
        <w:snapToGrid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2．其他空间负荷需求</w:t>
      </w:r>
      <w:bookmarkEnd w:id="26"/>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彩虹智慧创业园二期项目目前尚处于策划阶段，项目用地2.99万平方米，预计建筑面积约8万平方米。根据相关收资调研情况，彩虹智慧创业园二期项目招商引资企业基本与一期、三期项目类型相似，负荷密度一期为51瓦/平方米、三期为53瓦/平方米。因此，彩虹智慧创业园（二期）项目负荷密度暂按50瓦/平方米考虑，最大负荷约0.4万千瓦。彩虹智慧创业园（二期）项目计划于2024～2030年左右实现全部入驻。</w:t>
      </w:r>
    </w:p>
    <w:p>
      <w:pPr>
        <w:pStyle w:val="4"/>
        <w:pageBreakBefore w:val="0"/>
        <w:widowControl w:val="0"/>
        <w:kinsoku/>
        <w:wordWrap/>
        <w:overflowPunct/>
        <w:topLinePunct w:val="0"/>
        <w:autoSpaceDE/>
        <w:autoSpaceDN/>
        <w:bidi w:val="0"/>
        <w:spacing w:before="0" w:beforeLines="0" w:after="0" w:afterLines="0" w:line="579" w:lineRule="exact"/>
        <w:ind w:left="0" w:firstLine="640" w:firstLineChars="200"/>
        <w:textAlignment w:val="auto"/>
        <w:rPr>
          <w:rFonts w:hint="default" w:ascii="Times New Roman" w:hAnsi="Times New Roman" w:eastAsia="仿宋_GB2312" w:cs="Times New Roman"/>
          <w:sz w:val="32"/>
          <w:szCs w:val="32"/>
        </w:rPr>
      </w:pPr>
      <w:bookmarkStart w:id="27" w:name="_Toc23169567"/>
      <w:r>
        <w:rPr>
          <w:rFonts w:hint="default" w:ascii="Times New Roman" w:hAnsi="Times New Roman" w:eastAsia="仿宋_GB2312" w:cs="Times New Roman"/>
          <w:sz w:val="32"/>
          <w:szCs w:val="32"/>
        </w:rPr>
        <w:t>3．综合负荷预测</w:t>
      </w:r>
      <w:bookmarkEnd w:id="27"/>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考虑到彩虹智慧创业园入驻企业的属性、开工周期等基本类似，产业相关性较高，参考类似区域的供电负荷特性，结合经验统计数据，同时率可按0.8考虑。根据负荷预测结果，2020年，彩虹智慧创业园增量配电改革试点区域最大用电负荷将达到0.91万千瓦；2025年，彩虹智慧创业园增量配电改革试点区域最大用电负荷将达到2.36万千瓦；2030年，彩虹智慧创业园增量配电改革试点区域最大用电负荷将达到2.62万千瓦。</w:t>
      </w:r>
    </w:p>
    <w:p>
      <w:pPr>
        <w:pStyle w:val="9"/>
        <w:keepNext w:val="0"/>
        <w:keepLines w:val="0"/>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试点区域综合负荷预测结果见表4-1。</w:t>
      </w:r>
    </w:p>
    <w:p>
      <w:pPr>
        <w:pStyle w:val="9"/>
        <w:keepNext w:val="0"/>
        <w:keepLines w:val="0"/>
        <w:pageBreakBefore w:val="0"/>
        <w:widowControl w:val="0"/>
        <w:kinsoku/>
        <w:wordWrap/>
        <w:overflowPunct/>
        <w:topLinePunct w:val="0"/>
        <w:autoSpaceDE/>
        <w:autoSpaceDN/>
        <w:bidi w:val="0"/>
        <w:adjustRightInd w:val="0"/>
        <w:snapToGrid w:val="0"/>
        <w:spacing w:line="579" w:lineRule="exact"/>
        <w:ind w:firstLine="140" w:firstLineChars="50"/>
        <w:textAlignment w:val="auto"/>
        <w:rPr>
          <w:rFonts w:hint="default" w:ascii="Times New Roman" w:hAnsi="Times New Roman" w:eastAsia="仿宋_GB2312" w:cs="Times New Roman"/>
          <w:szCs w:val="28"/>
        </w:rPr>
      </w:pPr>
      <w:r>
        <w:rPr>
          <w:rFonts w:hint="default" w:ascii="Times New Roman" w:hAnsi="Times New Roman" w:eastAsia="仿宋_GB2312" w:cs="Times New Roman"/>
          <w:szCs w:val="28"/>
        </w:rPr>
        <w:t xml:space="preserve">表4-1           </w:t>
      </w:r>
      <w:r>
        <w:rPr>
          <w:rFonts w:hint="default" w:ascii="Times New Roman" w:hAnsi="Times New Roman" w:eastAsia="仿宋_GB2312" w:cs="Times New Roman"/>
        </w:rPr>
        <w:t xml:space="preserve">试点区域综合负荷预测结果        </w:t>
      </w:r>
      <w:r>
        <w:rPr>
          <w:rFonts w:hint="default" w:ascii="Times New Roman" w:hAnsi="Times New Roman" w:eastAsia="仿宋_GB2312" w:cs="Times New Roman"/>
          <w:szCs w:val="28"/>
        </w:rPr>
        <w:t>单位：万千瓦</w:t>
      </w:r>
    </w:p>
    <w:p>
      <w:pPr>
        <w:pStyle w:val="8"/>
        <w:kinsoku w:val="0"/>
        <w:overflowPunct w:val="0"/>
        <w:spacing w:before="3"/>
        <w:ind w:left="0"/>
        <w:rPr>
          <w:rFonts w:hint="default" w:ascii="Times New Roman" w:hAnsi="Times New Roman" w:cs="Times New Roman"/>
          <w:sz w:val="4"/>
          <w:szCs w:val="4"/>
        </w:rPr>
      </w:pPr>
    </w:p>
    <w:tbl>
      <w:tblPr>
        <w:tblStyle w:val="23"/>
        <w:tblW w:w="8437" w:type="dxa"/>
        <w:tblInd w:w="197" w:type="dxa"/>
        <w:tblLayout w:type="fixed"/>
        <w:tblCellMar>
          <w:top w:w="0" w:type="dxa"/>
          <w:left w:w="0" w:type="dxa"/>
          <w:bottom w:w="0" w:type="dxa"/>
          <w:right w:w="0" w:type="dxa"/>
        </w:tblCellMar>
      </w:tblPr>
      <w:tblGrid>
        <w:gridCol w:w="727"/>
        <w:gridCol w:w="1381"/>
        <w:gridCol w:w="808"/>
        <w:gridCol w:w="920"/>
        <w:gridCol w:w="922"/>
        <w:gridCol w:w="919"/>
        <w:gridCol w:w="921"/>
        <w:gridCol w:w="920"/>
        <w:gridCol w:w="919"/>
      </w:tblGrid>
      <w:tr>
        <w:tblPrEx>
          <w:tblLayout w:type="fixed"/>
          <w:tblCellMar>
            <w:top w:w="0" w:type="dxa"/>
            <w:left w:w="0" w:type="dxa"/>
            <w:bottom w:w="0" w:type="dxa"/>
            <w:right w:w="0" w:type="dxa"/>
          </w:tblCellMar>
        </w:tblPrEx>
        <w:trPr>
          <w:trHeight w:val="623" w:hRule="exact"/>
        </w:trPr>
        <w:tc>
          <w:tcPr>
            <w:tcW w:w="727" w:type="dxa"/>
            <w:tcBorders>
              <w:top w:val="single" w:color="000000" w:sz="12" w:space="0"/>
              <w:left w:val="single" w:color="000000" w:sz="12" w:space="0"/>
              <w:bottom w:val="single" w:color="000000" w:sz="4" w:space="0"/>
              <w:right w:val="single" w:color="000000" w:sz="4" w:space="0"/>
            </w:tcBorders>
            <w:vAlign w:val="center"/>
          </w:tcPr>
          <w:p>
            <w:pPr>
              <w:pStyle w:val="34"/>
              <w:kinsoku w:val="0"/>
              <w:overflowPunct w:val="0"/>
              <w:spacing w:before="63"/>
              <w:ind w:left="147"/>
              <w:rPr>
                <w:rFonts w:hint="default" w:ascii="Times New Roman" w:hAnsi="Times New Roman" w:eastAsia="宋体" w:cs="Times New Roman"/>
                <w:sz w:val="20"/>
                <w:szCs w:val="20"/>
              </w:rPr>
            </w:pPr>
            <w:r>
              <w:rPr>
                <w:rFonts w:hint="default" w:ascii="Times New Roman" w:hAnsi="Times New Roman" w:eastAsia="宋体" w:cs="Times New Roman"/>
                <w:sz w:val="20"/>
                <w:szCs w:val="20"/>
              </w:rPr>
              <w:t>区</w:t>
            </w:r>
            <w:r>
              <w:rPr>
                <w:rFonts w:hint="default" w:ascii="Times New Roman" w:hAnsi="Times New Roman" w:eastAsia="宋体" w:cs="Times New Roman"/>
                <w:spacing w:val="2"/>
                <w:sz w:val="20"/>
                <w:szCs w:val="20"/>
              </w:rPr>
              <w:t>块</w:t>
            </w:r>
          </w:p>
        </w:tc>
        <w:tc>
          <w:tcPr>
            <w:tcW w:w="1381" w:type="dxa"/>
            <w:tcBorders>
              <w:top w:val="single" w:color="000000" w:sz="18" w:space="0"/>
              <w:left w:val="single" w:color="000000" w:sz="4" w:space="0"/>
              <w:bottom w:val="single" w:color="000000" w:sz="4" w:space="0"/>
              <w:right w:val="single" w:color="000000" w:sz="4" w:space="0"/>
              <w:tl2br w:val="single" w:color="auto" w:sz="4" w:space="0"/>
            </w:tcBorders>
          </w:tcPr>
          <w:p>
            <w:pPr>
              <w:pStyle w:val="34"/>
              <w:kinsoku w:val="0"/>
              <w:overflowPunct w:val="0"/>
              <w:spacing w:before="63" w:line="200" w:lineRule="exact"/>
              <w:ind w:firstLine="200" w:firstLineChars="100"/>
              <w:rPr>
                <w:rFonts w:hint="default" w:ascii="Times New Roman" w:hAnsi="Times New Roman" w:eastAsia="宋体" w:cs="Times New Roman"/>
                <w:sz w:val="20"/>
                <w:szCs w:val="20"/>
              </w:rPr>
            </w:pPr>
            <w:r>
              <w:rPr>
                <w:rFonts w:hint="default" w:ascii="Times New Roman" w:hAnsi="Times New Roman" w:eastAsia="宋体" w:cs="Times New Roman"/>
                <w:sz w:val="20"/>
                <w:szCs w:val="20"/>
              </w:rPr>
              <w:t xml:space="preserve">     年份</w:t>
            </w:r>
          </w:p>
          <w:p>
            <w:pPr>
              <w:pStyle w:val="34"/>
              <w:kinsoku w:val="0"/>
              <w:overflowPunct w:val="0"/>
              <w:spacing w:before="63" w:line="200" w:lineRule="exact"/>
              <w:ind w:firstLine="200" w:firstLineChars="100"/>
              <w:rPr>
                <w:rFonts w:hint="default" w:ascii="Times New Roman" w:hAnsi="Times New Roman" w:eastAsia="宋体" w:cs="Times New Roman"/>
                <w:sz w:val="20"/>
                <w:szCs w:val="20"/>
              </w:rPr>
            </w:pPr>
            <w:r>
              <w:rPr>
                <w:rFonts w:hint="default" w:ascii="Times New Roman" w:hAnsi="Times New Roman" w:eastAsia="宋体" w:cs="Times New Roman"/>
                <w:sz w:val="20"/>
                <w:szCs w:val="20"/>
              </w:rPr>
              <w:t>项目</w:t>
            </w:r>
          </w:p>
        </w:tc>
        <w:tc>
          <w:tcPr>
            <w:tcW w:w="808" w:type="dxa"/>
            <w:tcBorders>
              <w:top w:val="single" w:color="000000" w:sz="12" w:space="0"/>
              <w:left w:val="single" w:color="000000" w:sz="4" w:space="0"/>
              <w:bottom w:val="single" w:color="000000" w:sz="4" w:space="0"/>
              <w:right w:val="single" w:color="000000" w:sz="4" w:space="0"/>
            </w:tcBorders>
            <w:vAlign w:val="center"/>
          </w:tcPr>
          <w:p>
            <w:pPr>
              <w:pStyle w:val="34"/>
              <w:kinsoku w:val="0"/>
              <w:overflowPunct w:val="0"/>
              <w:spacing w:before="63"/>
              <w:ind w:left="198"/>
              <w:rPr>
                <w:rFonts w:hint="default" w:ascii="Times New Roman" w:hAnsi="Times New Roman" w:eastAsia="宋体" w:cs="Times New Roman"/>
                <w:sz w:val="20"/>
                <w:szCs w:val="20"/>
              </w:rPr>
            </w:pPr>
            <w:r>
              <w:rPr>
                <w:rFonts w:hint="default" w:ascii="Times New Roman" w:hAnsi="Times New Roman" w:eastAsia="宋体" w:cs="Times New Roman"/>
                <w:sz w:val="20"/>
                <w:szCs w:val="20"/>
              </w:rPr>
              <w:t>2020</w:t>
            </w:r>
          </w:p>
        </w:tc>
        <w:tc>
          <w:tcPr>
            <w:tcW w:w="920" w:type="dxa"/>
            <w:tcBorders>
              <w:top w:val="single" w:color="000000" w:sz="12" w:space="0"/>
              <w:left w:val="single" w:color="000000" w:sz="4" w:space="0"/>
              <w:bottom w:val="single" w:color="000000" w:sz="4" w:space="0"/>
              <w:right w:val="single" w:color="000000" w:sz="4" w:space="0"/>
            </w:tcBorders>
            <w:vAlign w:val="center"/>
          </w:tcPr>
          <w:p>
            <w:pPr>
              <w:pStyle w:val="34"/>
              <w:kinsoku w:val="0"/>
              <w:overflowPunct w:val="0"/>
              <w:spacing w:before="63"/>
              <w:ind w:left="253"/>
              <w:rPr>
                <w:rFonts w:hint="default" w:ascii="Times New Roman" w:hAnsi="Times New Roman" w:eastAsia="宋体" w:cs="Times New Roman"/>
                <w:sz w:val="20"/>
                <w:szCs w:val="20"/>
              </w:rPr>
            </w:pPr>
            <w:r>
              <w:rPr>
                <w:rFonts w:hint="default" w:ascii="Times New Roman" w:hAnsi="Times New Roman" w:eastAsia="宋体" w:cs="Times New Roman"/>
                <w:sz w:val="20"/>
                <w:szCs w:val="20"/>
              </w:rPr>
              <w:t>2021</w:t>
            </w:r>
          </w:p>
        </w:tc>
        <w:tc>
          <w:tcPr>
            <w:tcW w:w="922" w:type="dxa"/>
            <w:tcBorders>
              <w:top w:val="single" w:color="000000" w:sz="12" w:space="0"/>
              <w:left w:val="single" w:color="000000" w:sz="4" w:space="0"/>
              <w:bottom w:val="single" w:color="000000" w:sz="4" w:space="0"/>
              <w:right w:val="single" w:color="000000" w:sz="4" w:space="0"/>
            </w:tcBorders>
            <w:vAlign w:val="center"/>
          </w:tcPr>
          <w:p>
            <w:pPr>
              <w:pStyle w:val="34"/>
              <w:kinsoku w:val="0"/>
              <w:overflowPunct w:val="0"/>
              <w:spacing w:before="63"/>
              <w:ind w:left="253"/>
              <w:rPr>
                <w:rFonts w:hint="default" w:ascii="Times New Roman" w:hAnsi="Times New Roman" w:eastAsia="宋体" w:cs="Times New Roman"/>
                <w:sz w:val="20"/>
                <w:szCs w:val="20"/>
              </w:rPr>
            </w:pPr>
            <w:r>
              <w:rPr>
                <w:rFonts w:hint="default" w:ascii="Times New Roman" w:hAnsi="Times New Roman" w:eastAsia="宋体" w:cs="Times New Roman"/>
                <w:sz w:val="20"/>
                <w:szCs w:val="20"/>
              </w:rPr>
              <w:t>2022</w:t>
            </w:r>
          </w:p>
        </w:tc>
        <w:tc>
          <w:tcPr>
            <w:tcW w:w="919" w:type="dxa"/>
            <w:tcBorders>
              <w:top w:val="single" w:color="000000" w:sz="12" w:space="0"/>
              <w:left w:val="single" w:color="000000" w:sz="4" w:space="0"/>
              <w:bottom w:val="single" w:color="000000" w:sz="4" w:space="0"/>
              <w:right w:val="single" w:color="000000" w:sz="4" w:space="0"/>
            </w:tcBorders>
            <w:vAlign w:val="center"/>
          </w:tcPr>
          <w:p>
            <w:pPr>
              <w:pStyle w:val="34"/>
              <w:kinsoku w:val="0"/>
              <w:overflowPunct w:val="0"/>
              <w:spacing w:before="63"/>
              <w:ind w:left="253"/>
              <w:rPr>
                <w:rFonts w:hint="default" w:ascii="Times New Roman" w:hAnsi="Times New Roman" w:eastAsia="宋体" w:cs="Times New Roman"/>
                <w:sz w:val="20"/>
                <w:szCs w:val="20"/>
              </w:rPr>
            </w:pPr>
            <w:r>
              <w:rPr>
                <w:rFonts w:hint="default" w:ascii="Times New Roman" w:hAnsi="Times New Roman" w:eastAsia="宋体" w:cs="Times New Roman"/>
                <w:sz w:val="20"/>
                <w:szCs w:val="20"/>
              </w:rPr>
              <w:t>2023</w:t>
            </w:r>
          </w:p>
        </w:tc>
        <w:tc>
          <w:tcPr>
            <w:tcW w:w="921" w:type="dxa"/>
            <w:tcBorders>
              <w:top w:val="single" w:color="000000" w:sz="12" w:space="0"/>
              <w:left w:val="single" w:color="000000" w:sz="4" w:space="0"/>
              <w:bottom w:val="single" w:color="000000" w:sz="4" w:space="0"/>
              <w:right w:val="single" w:color="000000" w:sz="4" w:space="0"/>
            </w:tcBorders>
            <w:vAlign w:val="center"/>
          </w:tcPr>
          <w:p>
            <w:pPr>
              <w:pStyle w:val="34"/>
              <w:kinsoku w:val="0"/>
              <w:overflowPunct w:val="0"/>
              <w:spacing w:before="63"/>
              <w:ind w:left="253"/>
              <w:rPr>
                <w:rFonts w:hint="default" w:ascii="Times New Roman" w:hAnsi="Times New Roman" w:eastAsia="宋体" w:cs="Times New Roman"/>
                <w:sz w:val="20"/>
                <w:szCs w:val="20"/>
              </w:rPr>
            </w:pPr>
            <w:r>
              <w:rPr>
                <w:rFonts w:hint="default" w:ascii="Times New Roman" w:hAnsi="Times New Roman" w:eastAsia="宋体" w:cs="Times New Roman"/>
                <w:sz w:val="20"/>
                <w:szCs w:val="20"/>
              </w:rPr>
              <w:t>2024</w:t>
            </w:r>
          </w:p>
        </w:tc>
        <w:tc>
          <w:tcPr>
            <w:tcW w:w="920" w:type="dxa"/>
            <w:tcBorders>
              <w:top w:val="single" w:color="000000" w:sz="12" w:space="0"/>
              <w:left w:val="single" w:color="000000" w:sz="4" w:space="0"/>
              <w:bottom w:val="single" w:color="000000" w:sz="4" w:space="0"/>
              <w:right w:val="single" w:color="000000" w:sz="4" w:space="0"/>
            </w:tcBorders>
            <w:vAlign w:val="center"/>
          </w:tcPr>
          <w:p>
            <w:pPr>
              <w:pStyle w:val="34"/>
              <w:kinsoku w:val="0"/>
              <w:overflowPunct w:val="0"/>
              <w:spacing w:before="63"/>
              <w:ind w:left="253"/>
              <w:rPr>
                <w:rFonts w:hint="default" w:ascii="Times New Roman" w:hAnsi="Times New Roman" w:eastAsia="宋体" w:cs="Times New Roman"/>
                <w:sz w:val="20"/>
                <w:szCs w:val="20"/>
              </w:rPr>
            </w:pPr>
            <w:r>
              <w:rPr>
                <w:rFonts w:hint="default" w:ascii="Times New Roman" w:hAnsi="Times New Roman" w:eastAsia="宋体" w:cs="Times New Roman"/>
                <w:sz w:val="20"/>
                <w:szCs w:val="20"/>
              </w:rPr>
              <w:t>2025</w:t>
            </w:r>
          </w:p>
        </w:tc>
        <w:tc>
          <w:tcPr>
            <w:tcW w:w="919" w:type="dxa"/>
            <w:tcBorders>
              <w:top w:val="single" w:color="000000" w:sz="12" w:space="0"/>
              <w:left w:val="single" w:color="000000" w:sz="4" w:space="0"/>
              <w:bottom w:val="single" w:color="000000" w:sz="4" w:space="0"/>
              <w:right w:val="single" w:color="000000" w:sz="12" w:space="0"/>
            </w:tcBorders>
            <w:vAlign w:val="center"/>
          </w:tcPr>
          <w:p>
            <w:pPr>
              <w:pStyle w:val="34"/>
              <w:kinsoku w:val="0"/>
              <w:overflowPunct w:val="0"/>
              <w:spacing w:before="63"/>
              <w:ind w:left="253"/>
              <w:rPr>
                <w:rFonts w:hint="default" w:ascii="Times New Roman" w:hAnsi="Times New Roman" w:eastAsia="宋体" w:cs="Times New Roman"/>
                <w:sz w:val="20"/>
                <w:szCs w:val="20"/>
              </w:rPr>
            </w:pPr>
            <w:r>
              <w:rPr>
                <w:rFonts w:hint="default" w:ascii="Times New Roman" w:hAnsi="Times New Roman" w:eastAsia="宋体" w:cs="Times New Roman"/>
                <w:sz w:val="20"/>
                <w:szCs w:val="20"/>
              </w:rPr>
              <w:t>2030</w:t>
            </w:r>
          </w:p>
        </w:tc>
      </w:tr>
      <w:tr>
        <w:tblPrEx>
          <w:tblLayout w:type="fixed"/>
          <w:tblCellMar>
            <w:top w:w="0" w:type="dxa"/>
            <w:left w:w="0" w:type="dxa"/>
            <w:bottom w:w="0" w:type="dxa"/>
            <w:right w:w="0" w:type="dxa"/>
          </w:tblCellMar>
        </w:tblPrEx>
        <w:trPr>
          <w:trHeight w:val="466" w:hRule="exact"/>
        </w:trPr>
        <w:tc>
          <w:tcPr>
            <w:tcW w:w="727" w:type="dxa"/>
            <w:vMerge w:val="restart"/>
            <w:tcBorders>
              <w:top w:val="single" w:color="000000" w:sz="4" w:space="0"/>
              <w:left w:val="single" w:color="000000" w:sz="12" w:space="0"/>
              <w:bottom w:val="single" w:color="000000" w:sz="4" w:space="0"/>
              <w:right w:val="single" w:color="000000" w:sz="4" w:space="0"/>
            </w:tcBorders>
          </w:tcPr>
          <w:p>
            <w:pPr>
              <w:pStyle w:val="34"/>
              <w:kinsoku w:val="0"/>
              <w:overflowPunct w:val="0"/>
              <w:rPr>
                <w:rFonts w:hint="default" w:ascii="Times New Roman" w:hAnsi="Times New Roman" w:eastAsia="宋体" w:cs="Times New Roman"/>
                <w:sz w:val="20"/>
                <w:szCs w:val="20"/>
              </w:rPr>
            </w:pPr>
          </w:p>
          <w:p>
            <w:pPr>
              <w:pStyle w:val="34"/>
              <w:kinsoku w:val="0"/>
              <w:overflowPunct w:val="0"/>
              <w:rPr>
                <w:rFonts w:hint="default" w:ascii="Times New Roman" w:hAnsi="Times New Roman" w:eastAsia="宋体" w:cs="Times New Roman"/>
                <w:sz w:val="20"/>
                <w:szCs w:val="20"/>
              </w:rPr>
            </w:pPr>
          </w:p>
          <w:p>
            <w:pPr>
              <w:pStyle w:val="34"/>
              <w:kinsoku w:val="0"/>
              <w:overflowPunct w:val="0"/>
              <w:spacing w:before="134" w:line="260" w:lineRule="exact"/>
              <w:ind w:left="147" w:right="55"/>
              <w:rPr>
                <w:rFonts w:hint="default" w:ascii="Times New Roman" w:hAnsi="Times New Roman" w:eastAsia="宋体" w:cs="Times New Roman"/>
                <w:sz w:val="20"/>
                <w:szCs w:val="20"/>
              </w:rPr>
            </w:pPr>
            <w:r>
              <w:rPr>
                <w:rFonts w:hint="default" w:ascii="Times New Roman" w:hAnsi="Times New Roman" w:eastAsia="宋体" w:cs="Times New Roman"/>
                <w:sz w:val="20"/>
                <w:szCs w:val="20"/>
              </w:rPr>
              <w:t>明</w:t>
            </w:r>
            <w:r>
              <w:rPr>
                <w:rFonts w:hint="default" w:ascii="Times New Roman" w:hAnsi="Times New Roman" w:eastAsia="宋体" w:cs="Times New Roman"/>
                <w:spacing w:val="2"/>
                <w:sz w:val="20"/>
                <w:szCs w:val="20"/>
              </w:rPr>
              <w:t>确</w:t>
            </w:r>
            <w:r>
              <w:rPr>
                <w:rFonts w:hint="default" w:ascii="Times New Roman" w:hAnsi="Times New Roman" w:eastAsia="宋体" w:cs="Times New Roman"/>
                <w:sz w:val="20"/>
                <w:szCs w:val="20"/>
              </w:rPr>
              <w:t>用</w:t>
            </w:r>
            <w:r>
              <w:rPr>
                <w:rFonts w:hint="default" w:ascii="Times New Roman" w:hAnsi="Times New Roman" w:eastAsia="宋体" w:cs="Times New Roman"/>
                <w:spacing w:val="2"/>
                <w:sz w:val="20"/>
                <w:szCs w:val="20"/>
              </w:rPr>
              <w:t>户</w:t>
            </w:r>
          </w:p>
        </w:tc>
        <w:tc>
          <w:tcPr>
            <w:tcW w:w="1381"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65"/>
              <w:ind w:left="284"/>
              <w:rPr>
                <w:rFonts w:hint="default" w:ascii="Times New Roman" w:hAnsi="Times New Roman" w:eastAsia="宋体" w:cs="Times New Roman"/>
                <w:sz w:val="20"/>
                <w:szCs w:val="20"/>
              </w:rPr>
            </w:pPr>
            <w:r>
              <w:rPr>
                <w:rFonts w:hint="default" w:ascii="Times New Roman" w:hAnsi="Times New Roman" w:eastAsia="宋体" w:cs="Times New Roman"/>
                <w:sz w:val="20"/>
                <w:szCs w:val="20"/>
              </w:rPr>
              <w:t>一期项目</w:t>
            </w:r>
          </w:p>
        </w:tc>
        <w:tc>
          <w:tcPr>
            <w:tcW w:w="808"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65"/>
              <w:ind w:left="198"/>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1.42</w:t>
            </w:r>
          </w:p>
        </w:tc>
        <w:tc>
          <w:tcPr>
            <w:tcW w:w="920"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65"/>
              <w:ind w:left="253"/>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1.42</w:t>
            </w:r>
          </w:p>
        </w:tc>
        <w:tc>
          <w:tcPr>
            <w:tcW w:w="922"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65"/>
              <w:ind w:left="253"/>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1.42</w:t>
            </w:r>
          </w:p>
        </w:tc>
        <w:tc>
          <w:tcPr>
            <w:tcW w:w="919"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65"/>
              <w:ind w:left="253"/>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1.42</w:t>
            </w:r>
          </w:p>
        </w:tc>
        <w:tc>
          <w:tcPr>
            <w:tcW w:w="921"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65"/>
              <w:ind w:left="253"/>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1.42</w:t>
            </w:r>
          </w:p>
        </w:tc>
        <w:tc>
          <w:tcPr>
            <w:tcW w:w="920"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65"/>
              <w:ind w:left="253"/>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1.42</w:t>
            </w:r>
          </w:p>
        </w:tc>
        <w:tc>
          <w:tcPr>
            <w:tcW w:w="919" w:type="dxa"/>
            <w:tcBorders>
              <w:top w:val="single" w:color="000000" w:sz="4" w:space="0"/>
              <w:left w:val="single" w:color="000000" w:sz="4" w:space="0"/>
              <w:bottom w:val="single" w:color="000000" w:sz="4" w:space="0"/>
              <w:right w:val="single" w:color="000000" w:sz="12" w:space="0"/>
            </w:tcBorders>
          </w:tcPr>
          <w:p>
            <w:pPr>
              <w:pStyle w:val="34"/>
              <w:kinsoku w:val="0"/>
              <w:overflowPunct w:val="0"/>
              <w:spacing w:before="65"/>
              <w:ind w:left="253"/>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1.42</w:t>
            </w:r>
          </w:p>
        </w:tc>
      </w:tr>
      <w:tr>
        <w:tblPrEx>
          <w:tblLayout w:type="fixed"/>
          <w:tblCellMar>
            <w:top w:w="0" w:type="dxa"/>
            <w:left w:w="0" w:type="dxa"/>
            <w:bottom w:w="0" w:type="dxa"/>
            <w:right w:w="0" w:type="dxa"/>
          </w:tblCellMar>
        </w:tblPrEx>
        <w:trPr>
          <w:trHeight w:val="463" w:hRule="exact"/>
        </w:trPr>
        <w:tc>
          <w:tcPr>
            <w:tcW w:w="727" w:type="dxa"/>
            <w:vMerge w:val="continue"/>
            <w:tcBorders>
              <w:top w:val="single" w:color="000000" w:sz="4" w:space="0"/>
              <w:left w:val="single" w:color="000000" w:sz="12" w:space="0"/>
              <w:bottom w:val="single" w:color="000000" w:sz="4" w:space="0"/>
              <w:right w:val="single" w:color="000000" w:sz="4" w:space="0"/>
            </w:tcBorders>
          </w:tcPr>
          <w:p>
            <w:pPr>
              <w:pStyle w:val="34"/>
              <w:kinsoku w:val="0"/>
              <w:overflowPunct w:val="0"/>
              <w:spacing w:before="65"/>
              <w:ind w:left="253"/>
              <w:rPr>
                <w:rFonts w:hint="default" w:ascii="Times New Roman" w:hAnsi="Times New Roman" w:eastAsia="宋体" w:cs="Times New Roman"/>
                <w:sz w:val="20"/>
                <w:szCs w:val="20"/>
              </w:rPr>
            </w:pPr>
          </w:p>
        </w:tc>
        <w:tc>
          <w:tcPr>
            <w:tcW w:w="1381"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63"/>
              <w:ind w:left="382"/>
              <w:rPr>
                <w:rFonts w:hint="default" w:ascii="Times New Roman" w:hAnsi="Times New Roman" w:eastAsia="宋体" w:cs="Times New Roman"/>
                <w:sz w:val="20"/>
                <w:szCs w:val="20"/>
              </w:rPr>
            </w:pPr>
            <w:r>
              <w:rPr>
                <w:rFonts w:hint="default" w:ascii="Times New Roman" w:hAnsi="Times New Roman" w:eastAsia="宋体" w:cs="Times New Roman"/>
                <w:sz w:val="20"/>
                <w:szCs w:val="20"/>
              </w:rPr>
              <w:t>入驻率</w:t>
            </w:r>
          </w:p>
        </w:tc>
        <w:tc>
          <w:tcPr>
            <w:tcW w:w="808"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63"/>
              <w:ind w:left="248"/>
              <w:rPr>
                <w:rFonts w:hint="default" w:ascii="Times New Roman" w:hAnsi="Times New Roman" w:eastAsia="宋体" w:cs="Times New Roman"/>
                <w:sz w:val="20"/>
                <w:szCs w:val="20"/>
              </w:rPr>
            </w:pPr>
            <w:r>
              <w:rPr>
                <w:rFonts w:hint="default" w:ascii="Times New Roman" w:hAnsi="Times New Roman" w:eastAsia="宋体" w:cs="Times New Roman"/>
                <w:sz w:val="20"/>
                <w:szCs w:val="20"/>
              </w:rPr>
              <w:t>0.8</w:t>
            </w:r>
          </w:p>
        </w:tc>
        <w:tc>
          <w:tcPr>
            <w:tcW w:w="920"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63"/>
              <w:ind w:left="303"/>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1.0</w:t>
            </w:r>
          </w:p>
        </w:tc>
        <w:tc>
          <w:tcPr>
            <w:tcW w:w="922"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63"/>
              <w:ind w:left="303"/>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1.0</w:t>
            </w:r>
          </w:p>
        </w:tc>
        <w:tc>
          <w:tcPr>
            <w:tcW w:w="919"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63"/>
              <w:ind w:left="303"/>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1.0</w:t>
            </w:r>
          </w:p>
        </w:tc>
        <w:tc>
          <w:tcPr>
            <w:tcW w:w="921"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63"/>
              <w:ind w:left="303"/>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1.0</w:t>
            </w:r>
          </w:p>
        </w:tc>
        <w:tc>
          <w:tcPr>
            <w:tcW w:w="920"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63"/>
              <w:ind w:left="304"/>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1.0</w:t>
            </w:r>
          </w:p>
        </w:tc>
        <w:tc>
          <w:tcPr>
            <w:tcW w:w="919" w:type="dxa"/>
            <w:tcBorders>
              <w:top w:val="single" w:color="000000" w:sz="4" w:space="0"/>
              <w:left w:val="single" w:color="000000" w:sz="4" w:space="0"/>
              <w:bottom w:val="single" w:color="000000" w:sz="4" w:space="0"/>
              <w:right w:val="single" w:color="000000" w:sz="12" w:space="0"/>
            </w:tcBorders>
          </w:tcPr>
          <w:p>
            <w:pPr>
              <w:pStyle w:val="34"/>
              <w:kinsoku w:val="0"/>
              <w:overflowPunct w:val="0"/>
              <w:spacing w:before="63"/>
              <w:ind w:left="303"/>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1.0</w:t>
            </w:r>
          </w:p>
        </w:tc>
      </w:tr>
      <w:tr>
        <w:tblPrEx>
          <w:tblLayout w:type="fixed"/>
          <w:tblCellMar>
            <w:top w:w="0" w:type="dxa"/>
            <w:left w:w="0" w:type="dxa"/>
            <w:bottom w:w="0" w:type="dxa"/>
            <w:right w:w="0" w:type="dxa"/>
          </w:tblCellMar>
        </w:tblPrEx>
        <w:trPr>
          <w:trHeight w:val="463" w:hRule="exact"/>
        </w:trPr>
        <w:tc>
          <w:tcPr>
            <w:tcW w:w="727" w:type="dxa"/>
            <w:vMerge w:val="continue"/>
            <w:tcBorders>
              <w:top w:val="single" w:color="000000" w:sz="4" w:space="0"/>
              <w:left w:val="single" w:color="000000" w:sz="12" w:space="0"/>
              <w:bottom w:val="single" w:color="000000" w:sz="4" w:space="0"/>
              <w:right w:val="single" w:color="000000" w:sz="4" w:space="0"/>
            </w:tcBorders>
          </w:tcPr>
          <w:p>
            <w:pPr>
              <w:pStyle w:val="34"/>
              <w:kinsoku w:val="0"/>
              <w:overflowPunct w:val="0"/>
              <w:spacing w:before="63"/>
              <w:ind w:left="303"/>
              <w:rPr>
                <w:rFonts w:hint="default" w:ascii="Times New Roman" w:hAnsi="Times New Roman" w:eastAsia="宋体" w:cs="Times New Roman"/>
                <w:sz w:val="20"/>
                <w:szCs w:val="20"/>
              </w:rPr>
            </w:pPr>
          </w:p>
        </w:tc>
        <w:tc>
          <w:tcPr>
            <w:tcW w:w="1381"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65"/>
              <w:ind w:left="284"/>
              <w:rPr>
                <w:rFonts w:hint="default" w:ascii="Times New Roman" w:hAnsi="Times New Roman" w:eastAsia="宋体" w:cs="Times New Roman"/>
                <w:sz w:val="20"/>
                <w:szCs w:val="20"/>
              </w:rPr>
            </w:pPr>
            <w:r>
              <w:rPr>
                <w:rFonts w:hint="default" w:ascii="Times New Roman" w:hAnsi="Times New Roman" w:eastAsia="宋体" w:cs="Times New Roman"/>
                <w:sz w:val="20"/>
                <w:szCs w:val="20"/>
              </w:rPr>
              <w:t>三期项目</w:t>
            </w:r>
          </w:p>
        </w:tc>
        <w:tc>
          <w:tcPr>
            <w:tcW w:w="808"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65"/>
              <w:ind w:left="97"/>
              <w:jc w:val="center"/>
              <w:rPr>
                <w:rFonts w:hint="default" w:ascii="Times New Roman" w:hAnsi="Times New Roman" w:eastAsia="宋体" w:cs="Times New Roman"/>
                <w:sz w:val="20"/>
                <w:szCs w:val="20"/>
              </w:rPr>
            </w:pPr>
          </w:p>
        </w:tc>
        <w:tc>
          <w:tcPr>
            <w:tcW w:w="920"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65"/>
              <w:ind w:left="101"/>
              <w:jc w:val="center"/>
              <w:rPr>
                <w:rFonts w:hint="default" w:ascii="Times New Roman" w:hAnsi="Times New Roman" w:eastAsia="宋体" w:cs="Times New Roman"/>
                <w:sz w:val="20"/>
                <w:szCs w:val="20"/>
              </w:rPr>
            </w:pPr>
          </w:p>
        </w:tc>
        <w:tc>
          <w:tcPr>
            <w:tcW w:w="922"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65"/>
              <w:ind w:left="253"/>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1.45</w:t>
            </w:r>
          </w:p>
        </w:tc>
        <w:tc>
          <w:tcPr>
            <w:tcW w:w="919"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65"/>
              <w:ind w:left="253"/>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1.45</w:t>
            </w:r>
          </w:p>
        </w:tc>
        <w:tc>
          <w:tcPr>
            <w:tcW w:w="921"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65"/>
              <w:ind w:left="253"/>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1.45</w:t>
            </w:r>
          </w:p>
        </w:tc>
        <w:tc>
          <w:tcPr>
            <w:tcW w:w="920"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65"/>
              <w:ind w:left="253"/>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1.45</w:t>
            </w:r>
          </w:p>
        </w:tc>
        <w:tc>
          <w:tcPr>
            <w:tcW w:w="919" w:type="dxa"/>
            <w:tcBorders>
              <w:top w:val="single" w:color="000000" w:sz="4" w:space="0"/>
              <w:left w:val="single" w:color="000000" w:sz="4" w:space="0"/>
              <w:bottom w:val="single" w:color="000000" w:sz="4" w:space="0"/>
              <w:right w:val="single" w:color="000000" w:sz="12" w:space="0"/>
            </w:tcBorders>
          </w:tcPr>
          <w:p>
            <w:pPr>
              <w:pStyle w:val="34"/>
              <w:kinsoku w:val="0"/>
              <w:overflowPunct w:val="0"/>
              <w:spacing w:before="65"/>
              <w:ind w:left="253"/>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1.45</w:t>
            </w:r>
          </w:p>
        </w:tc>
      </w:tr>
      <w:tr>
        <w:tblPrEx>
          <w:tblLayout w:type="fixed"/>
          <w:tblCellMar>
            <w:top w:w="0" w:type="dxa"/>
            <w:left w:w="0" w:type="dxa"/>
            <w:bottom w:w="0" w:type="dxa"/>
            <w:right w:w="0" w:type="dxa"/>
          </w:tblCellMar>
        </w:tblPrEx>
        <w:trPr>
          <w:trHeight w:val="466" w:hRule="exact"/>
        </w:trPr>
        <w:tc>
          <w:tcPr>
            <w:tcW w:w="727" w:type="dxa"/>
            <w:vMerge w:val="continue"/>
            <w:tcBorders>
              <w:top w:val="single" w:color="000000" w:sz="4" w:space="0"/>
              <w:left w:val="single" w:color="000000" w:sz="12" w:space="0"/>
              <w:bottom w:val="single" w:color="000000" w:sz="4" w:space="0"/>
              <w:right w:val="single" w:color="000000" w:sz="4" w:space="0"/>
            </w:tcBorders>
          </w:tcPr>
          <w:p>
            <w:pPr>
              <w:pStyle w:val="34"/>
              <w:kinsoku w:val="0"/>
              <w:overflowPunct w:val="0"/>
              <w:spacing w:before="65"/>
              <w:ind w:left="253"/>
              <w:rPr>
                <w:rFonts w:hint="default" w:ascii="Times New Roman" w:hAnsi="Times New Roman" w:eastAsia="宋体" w:cs="Times New Roman"/>
                <w:sz w:val="20"/>
                <w:szCs w:val="20"/>
              </w:rPr>
            </w:pPr>
          </w:p>
        </w:tc>
        <w:tc>
          <w:tcPr>
            <w:tcW w:w="1381"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65"/>
              <w:ind w:left="382"/>
              <w:rPr>
                <w:rFonts w:hint="default" w:ascii="Times New Roman" w:hAnsi="Times New Roman" w:eastAsia="宋体" w:cs="Times New Roman"/>
                <w:sz w:val="20"/>
                <w:szCs w:val="20"/>
              </w:rPr>
            </w:pPr>
            <w:r>
              <w:rPr>
                <w:rFonts w:hint="default" w:ascii="Times New Roman" w:hAnsi="Times New Roman" w:eastAsia="宋体" w:cs="Times New Roman"/>
                <w:sz w:val="20"/>
                <w:szCs w:val="20"/>
              </w:rPr>
              <w:t>入驻率</w:t>
            </w:r>
          </w:p>
        </w:tc>
        <w:tc>
          <w:tcPr>
            <w:tcW w:w="808"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65"/>
              <w:ind w:left="97"/>
              <w:jc w:val="center"/>
              <w:rPr>
                <w:rFonts w:hint="default" w:ascii="Times New Roman" w:hAnsi="Times New Roman" w:eastAsia="宋体" w:cs="Times New Roman"/>
                <w:sz w:val="20"/>
                <w:szCs w:val="20"/>
              </w:rPr>
            </w:pPr>
          </w:p>
        </w:tc>
        <w:tc>
          <w:tcPr>
            <w:tcW w:w="920"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65"/>
              <w:ind w:left="101"/>
              <w:jc w:val="center"/>
              <w:rPr>
                <w:rFonts w:hint="default" w:ascii="Times New Roman" w:hAnsi="Times New Roman" w:eastAsia="宋体" w:cs="Times New Roman"/>
                <w:sz w:val="20"/>
                <w:szCs w:val="20"/>
              </w:rPr>
            </w:pPr>
          </w:p>
        </w:tc>
        <w:tc>
          <w:tcPr>
            <w:tcW w:w="922"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65"/>
              <w:ind w:left="303"/>
              <w:rPr>
                <w:rFonts w:hint="default" w:ascii="Times New Roman" w:hAnsi="Times New Roman" w:eastAsia="宋体" w:cs="Times New Roman"/>
                <w:sz w:val="20"/>
                <w:szCs w:val="20"/>
              </w:rPr>
            </w:pPr>
            <w:r>
              <w:rPr>
                <w:rFonts w:hint="default" w:ascii="Times New Roman" w:hAnsi="Times New Roman" w:eastAsia="宋体" w:cs="Times New Roman"/>
                <w:sz w:val="20"/>
                <w:szCs w:val="20"/>
              </w:rPr>
              <w:t>0.3</w:t>
            </w:r>
          </w:p>
        </w:tc>
        <w:tc>
          <w:tcPr>
            <w:tcW w:w="919"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65"/>
              <w:ind w:left="303"/>
              <w:rPr>
                <w:rFonts w:hint="default" w:ascii="Times New Roman" w:hAnsi="Times New Roman" w:eastAsia="宋体" w:cs="Times New Roman"/>
                <w:sz w:val="20"/>
                <w:szCs w:val="20"/>
              </w:rPr>
            </w:pPr>
            <w:r>
              <w:rPr>
                <w:rFonts w:hint="default" w:ascii="Times New Roman" w:hAnsi="Times New Roman" w:eastAsia="宋体" w:cs="Times New Roman"/>
                <w:sz w:val="20"/>
                <w:szCs w:val="20"/>
              </w:rPr>
              <w:t>0.5</w:t>
            </w:r>
          </w:p>
        </w:tc>
        <w:tc>
          <w:tcPr>
            <w:tcW w:w="921"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65"/>
              <w:ind w:left="303"/>
              <w:rPr>
                <w:rFonts w:hint="default" w:ascii="Times New Roman" w:hAnsi="Times New Roman" w:eastAsia="宋体" w:cs="Times New Roman"/>
                <w:sz w:val="20"/>
                <w:szCs w:val="20"/>
              </w:rPr>
            </w:pPr>
            <w:r>
              <w:rPr>
                <w:rFonts w:hint="default" w:ascii="Times New Roman" w:hAnsi="Times New Roman" w:eastAsia="宋体" w:cs="Times New Roman"/>
                <w:sz w:val="20"/>
                <w:szCs w:val="20"/>
              </w:rPr>
              <w:t>0.7</w:t>
            </w:r>
          </w:p>
        </w:tc>
        <w:tc>
          <w:tcPr>
            <w:tcW w:w="920"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65"/>
              <w:ind w:left="304"/>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1.0</w:t>
            </w:r>
          </w:p>
        </w:tc>
        <w:tc>
          <w:tcPr>
            <w:tcW w:w="919" w:type="dxa"/>
            <w:tcBorders>
              <w:top w:val="single" w:color="000000" w:sz="4" w:space="0"/>
              <w:left w:val="single" w:color="000000" w:sz="4" w:space="0"/>
              <w:bottom w:val="single" w:color="000000" w:sz="4" w:space="0"/>
              <w:right w:val="single" w:color="000000" w:sz="12" w:space="0"/>
            </w:tcBorders>
          </w:tcPr>
          <w:p>
            <w:pPr>
              <w:pStyle w:val="34"/>
              <w:kinsoku w:val="0"/>
              <w:overflowPunct w:val="0"/>
              <w:spacing w:before="65"/>
              <w:ind w:left="303"/>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1.0</w:t>
            </w:r>
          </w:p>
        </w:tc>
      </w:tr>
      <w:tr>
        <w:tblPrEx>
          <w:tblLayout w:type="fixed"/>
          <w:tblCellMar>
            <w:top w:w="0" w:type="dxa"/>
            <w:left w:w="0" w:type="dxa"/>
            <w:bottom w:w="0" w:type="dxa"/>
            <w:right w:w="0" w:type="dxa"/>
          </w:tblCellMar>
        </w:tblPrEx>
        <w:trPr>
          <w:trHeight w:val="464" w:hRule="exact"/>
        </w:trPr>
        <w:tc>
          <w:tcPr>
            <w:tcW w:w="727" w:type="dxa"/>
            <w:vMerge w:val="restart"/>
            <w:tcBorders>
              <w:top w:val="single" w:color="000000" w:sz="4" w:space="0"/>
              <w:left w:val="single" w:color="000000" w:sz="12" w:space="0"/>
              <w:bottom w:val="single" w:color="000000" w:sz="4" w:space="0"/>
              <w:right w:val="single" w:color="000000" w:sz="4" w:space="0"/>
            </w:tcBorders>
          </w:tcPr>
          <w:p>
            <w:pPr>
              <w:pStyle w:val="34"/>
              <w:kinsoku w:val="0"/>
              <w:overflowPunct w:val="0"/>
              <w:spacing w:before="63" w:line="260" w:lineRule="exact"/>
              <w:ind w:left="147" w:right="55"/>
              <w:rPr>
                <w:rFonts w:hint="default" w:ascii="Times New Roman" w:hAnsi="Times New Roman" w:eastAsia="宋体" w:cs="Times New Roman"/>
                <w:sz w:val="20"/>
                <w:szCs w:val="20"/>
              </w:rPr>
            </w:pPr>
            <w:r>
              <w:rPr>
                <w:rFonts w:hint="default" w:ascii="Times New Roman" w:hAnsi="Times New Roman" w:eastAsia="宋体" w:cs="Times New Roman"/>
                <w:sz w:val="20"/>
                <w:szCs w:val="20"/>
              </w:rPr>
              <w:t>其</w:t>
            </w:r>
            <w:r>
              <w:rPr>
                <w:rFonts w:hint="default" w:ascii="Times New Roman" w:hAnsi="Times New Roman" w:eastAsia="宋体" w:cs="Times New Roman"/>
                <w:spacing w:val="2"/>
                <w:sz w:val="20"/>
                <w:szCs w:val="20"/>
              </w:rPr>
              <w:t>他</w:t>
            </w:r>
            <w:r>
              <w:rPr>
                <w:rFonts w:hint="default" w:ascii="Times New Roman" w:hAnsi="Times New Roman" w:eastAsia="宋体" w:cs="Times New Roman"/>
                <w:sz w:val="20"/>
                <w:szCs w:val="20"/>
              </w:rPr>
              <w:t>空间负</w:t>
            </w:r>
            <w:r>
              <w:rPr>
                <w:rFonts w:hint="default" w:ascii="Times New Roman" w:hAnsi="Times New Roman" w:eastAsia="宋体" w:cs="Times New Roman"/>
                <w:spacing w:val="2"/>
                <w:sz w:val="20"/>
                <w:szCs w:val="20"/>
              </w:rPr>
              <w:t>荷</w:t>
            </w:r>
          </w:p>
        </w:tc>
        <w:tc>
          <w:tcPr>
            <w:tcW w:w="1381"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63"/>
              <w:ind w:left="284"/>
              <w:rPr>
                <w:rFonts w:hint="default" w:ascii="Times New Roman" w:hAnsi="Times New Roman" w:eastAsia="宋体" w:cs="Times New Roman"/>
                <w:sz w:val="20"/>
                <w:szCs w:val="20"/>
              </w:rPr>
            </w:pPr>
            <w:r>
              <w:rPr>
                <w:rFonts w:hint="default" w:ascii="Times New Roman" w:hAnsi="Times New Roman" w:eastAsia="宋体" w:cs="Times New Roman"/>
                <w:sz w:val="20"/>
                <w:szCs w:val="20"/>
              </w:rPr>
              <w:t>二期项目</w:t>
            </w:r>
          </w:p>
        </w:tc>
        <w:tc>
          <w:tcPr>
            <w:tcW w:w="808"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63"/>
              <w:ind w:left="97"/>
              <w:jc w:val="center"/>
              <w:rPr>
                <w:rFonts w:hint="default" w:ascii="Times New Roman" w:hAnsi="Times New Roman" w:eastAsia="宋体" w:cs="Times New Roman"/>
                <w:sz w:val="20"/>
                <w:szCs w:val="20"/>
              </w:rPr>
            </w:pPr>
          </w:p>
        </w:tc>
        <w:tc>
          <w:tcPr>
            <w:tcW w:w="920"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63"/>
              <w:ind w:left="101"/>
              <w:jc w:val="center"/>
              <w:rPr>
                <w:rFonts w:hint="default" w:ascii="Times New Roman" w:hAnsi="Times New Roman" w:eastAsia="宋体" w:cs="Times New Roman"/>
                <w:sz w:val="20"/>
                <w:szCs w:val="20"/>
              </w:rPr>
            </w:pPr>
          </w:p>
        </w:tc>
        <w:tc>
          <w:tcPr>
            <w:tcW w:w="922"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63"/>
              <w:ind w:left="99"/>
              <w:jc w:val="center"/>
              <w:rPr>
                <w:rFonts w:hint="default" w:ascii="Times New Roman" w:hAnsi="Times New Roman" w:eastAsia="宋体" w:cs="Times New Roman"/>
                <w:sz w:val="20"/>
                <w:szCs w:val="20"/>
              </w:rPr>
            </w:pPr>
          </w:p>
        </w:tc>
        <w:tc>
          <w:tcPr>
            <w:tcW w:w="919"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63"/>
              <w:ind w:left="97"/>
              <w:jc w:val="center"/>
              <w:rPr>
                <w:rFonts w:hint="default" w:ascii="Times New Roman" w:hAnsi="Times New Roman" w:eastAsia="宋体" w:cs="Times New Roman"/>
                <w:sz w:val="20"/>
                <w:szCs w:val="20"/>
              </w:rPr>
            </w:pPr>
          </w:p>
        </w:tc>
        <w:tc>
          <w:tcPr>
            <w:tcW w:w="921"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63"/>
              <w:ind w:left="303"/>
              <w:rPr>
                <w:rFonts w:hint="default" w:ascii="Times New Roman" w:hAnsi="Times New Roman" w:eastAsia="宋体" w:cs="Times New Roman"/>
                <w:sz w:val="20"/>
                <w:szCs w:val="20"/>
              </w:rPr>
            </w:pPr>
            <w:r>
              <w:rPr>
                <w:rFonts w:hint="default" w:ascii="Times New Roman" w:hAnsi="Times New Roman" w:eastAsia="宋体" w:cs="Times New Roman"/>
                <w:sz w:val="20"/>
                <w:szCs w:val="20"/>
              </w:rPr>
              <w:t>0.4</w:t>
            </w:r>
          </w:p>
        </w:tc>
        <w:tc>
          <w:tcPr>
            <w:tcW w:w="920"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63"/>
              <w:ind w:left="304"/>
              <w:rPr>
                <w:rFonts w:hint="default" w:ascii="Times New Roman" w:hAnsi="Times New Roman" w:eastAsia="宋体" w:cs="Times New Roman"/>
                <w:sz w:val="20"/>
                <w:szCs w:val="20"/>
              </w:rPr>
            </w:pPr>
            <w:r>
              <w:rPr>
                <w:rFonts w:hint="default" w:ascii="Times New Roman" w:hAnsi="Times New Roman" w:eastAsia="宋体" w:cs="Times New Roman"/>
                <w:sz w:val="20"/>
                <w:szCs w:val="20"/>
              </w:rPr>
              <w:t>0.4</w:t>
            </w:r>
          </w:p>
        </w:tc>
        <w:tc>
          <w:tcPr>
            <w:tcW w:w="919" w:type="dxa"/>
            <w:tcBorders>
              <w:top w:val="single" w:color="000000" w:sz="4" w:space="0"/>
              <w:left w:val="single" w:color="000000" w:sz="4" w:space="0"/>
              <w:bottom w:val="single" w:color="000000" w:sz="4" w:space="0"/>
              <w:right w:val="single" w:color="000000" w:sz="12" w:space="0"/>
            </w:tcBorders>
          </w:tcPr>
          <w:p>
            <w:pPr>
              <w:pStyle w:val="34"/>
              <w:kinsoku w:val="0"/>
              <w:overflowPunct w:val="0"/>
              <w:spacing w:before="63"/>
              <w:ind w:left="303"/>
              <w:rPr>
                <w:rFonts w:hint="default" w:ascii="Times New Roman" w:hAnsi="Times New Roman" w:eastAsia="宋体" w:cs="Times New Roman"/>
                <w:sz w:val="20"/>
                <w:szCs w:val="20"/>
              </w:rPr>
            </w:pPr>
            <w:r>
              <w:rPr>
                <w:rFonts w:hint="default" w:ascii="Times New Roman" w:hAnsi="Times New Roman" w:eastAsia="宋体" w:cs="Times New Roman"/>
                <w:sz w:val="20"/>
                <w:szCs w:val="20"/>
              </w:rPr>
              <w:t>0.4</w:t>
            </w:r>
          </w:p>
        </w:tc>
      </w:tr>
      <w:tr>
        <w:tblPrEx>
          <w:tblLayout w:type="fixed"/>
          <w:tblCellMar>
            <w:top w:w="0" w:type="dxa"/>
            <w:left w:w="0" w:type="dxa"/>
            <w:bottom w:w="0" w:type="dxa"/>
            <w:right w:w="0" w:type="dxa"/>
          </w:tblCellMar>
        </w:tblPrEx>
        <w:trPr>
          <w:trHeight w:val="463" w:hRule="exact"/>
        </w:trPr>
        <w:tc>
          <w:tcPr>
            <w:tcW w:w="727" w:type="dxa"/>
            <w:vMerge w:val="continue"/>
            <w:tcBorders>
              <w:top w:val="single" w:color="000000" w:sz="4" w:space="0"/>
              <w:left w:val="single" w:color="000000" w:sz="12" w:space="0"/>
              <w:bottom w:val="single" w:color="000000" w:sz="4" w:space="0"/>
              <w:right w:val="single" w:color="000000" w:sz="4" w:space="0"/>
            </w:tcBorders>
          </w:tcPr>
          <w:p>
            <w:pPr>
              <w:pStyle w:val="34"/>
              <w:kinsoku w:val="0"/>
              <w:overflowPunct w:val="0"/>
              <w:spacing w:before="63"/>
              <w:ind w:left="303"/>
              <w:rPr>
                <w:rFonts w:hint="default" w:ascii="Times New Roman" w:hAnsi="Times New Roman" w:eastAsia="宋体" w:cs="Times New Roman"/>
                <w:sz w:val="20"/>
                <w:szCs w:val="20"/>
              </w:rPr>
            </w:pPr>
          </w:p>
        </w:tc>
        <w:tc>
          <w:tcPr>
            <w:tcW w:w="1381"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65"/>
              <w:ind w:left="284"/>
              <w:rPr>
                <w:rFonts w:hint="default" w:ascii="Times New Roman" w:hAnsi="Times New Roman" w:eastAsia="宋体" w:cs="Times New Roman"/>
                <w:sz w:val="20"/>
                <w:szCs w:val="20"/>
              </w:rPr>
            </w:pPr>
            <w:r>
              <w:rPr>
                <w:rFonts w:hint="default" w:ascii="Times New Roman" w:hAnsi="Times New Roman" w:eastAsia="宋体" w:cs="Times New Roman"/>
                <w:sz w:val="20"/>
                <w:szCs w:val="20"/>
              </w:rPr>
              <w:t>开发系数</w:t>
            </w:r>
          </w:p>
        </w:tc>
        <w:tc>
          <w:tcPr>
            <w:tcW w:w="808"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65"/>
              <w:ind w:left="97"/>
              <w:jc w:val="center"/>
              <w:rPr>
                <w:rFonts w:hint="default" w:ascii="Times New Roman" w:hAnsi="Times New Roman" w:eastAsia="宋体" w:cs="Times New Roman"/>
                <w:sz w:val="20"/>
                <w:szCs w:val="20"/>
              </w:rPr>
            </w:pPr>
          </w:p>
        </w:tc>
        <w:tc>
          <w:tcPr>
            <w:tcW w:w="920"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65"/>
              <w:ind w:left="101"/>
              <w:jc w:val="center"/>
              <w:rPr>
                <w:rFonts w:hint="default" w:ascii="Times New Roman" w:hAnsi="Times New Roman" w:eastAsia="宋体" w:cs="Times New Roman"/>
                <w:sz w:val="20"/>
                <w:szCs w:val="20"/>
              </w:rPr>
            </w:pPr>
          </w:p>
        </w:tc>
        <w:tc>
          <w:tcPr>
            <w:tcW w:w="922"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65"/>
              <w:ind w:left="99"/>
              <w:jc w:val="center"/>
              <w:rPr>
                <w:rFonts w:hint="default" w:ascii="Times New Roman" w:hAnsi="Times New Roman" w:eastAsia="宋体" w:cs="Times New Roman"/>
                <w:sz w:val="20"/>
                <w:szCs w:val="20"/>
              </w:rPr>
            </w:pPr>
          </w:p>
        </w:tc>
        <w:tc>
          <w:tcPr>
            <w:tcW w:w="919"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65"/>
              <w:ind w:left="97"/>
              <w:jc w:val="center"/>
              <w:rPr>
                <w:rFonts w:hint="default" w:ascii="Times New Roman" w:hAnsi="Times New Roman" w:eastAsia="宋体" w:cs="Times New Roman"/>
                <w:sz w:val="20"/>
                <w:szCs w:val="20"/>
              </w:rPr>
            </w:pPr>
          </w:p>
        </w:tc>
        <w:tc>
          <w:tcPr>
            <w:tcW w:w="921"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65"/>
              <w:ind w:left="303"/>
              <w:rPr>
                <w:rFonts w:hint="default" w:ascii="Times New Roman" w:hAnsi="Times New Roman" w:eastAsia="宋体" w:cs="Times New Roman"/>
                <w:sz w:val="20"/>
                <w:szCs w:val="20"/>
              </w:rPr>
            </w:pPr>
            <w:r>
              <w:rPr>
                <w:rFonts w:hint="default" w:ascii="Times New Roman" w:hAnsi="Times New Roman" w:eastAsia="宋体" w:cs="Times New Roman"/>
                <w:sz w:val="20"/>
                <w:szCs w:val="20"/>
              </w:rPr>
              <w:t>0.1</w:t>
            </w:r>
          </w:p>
        </w:tc>
        <w:tc>
          <w:tcPr>
            <w:tcW w:w="920"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65"/>
              <w:ind w:left="304"/>
              <w:rPr>
                <w:rFonts w:hint="default" w:ascii="Times New Roman" w:hAnsi="Times New Roman" w:eastAsia="宋体" w:cs="Times New Roman"/>
                <w:sz w:val="20"/>
                <w:szCs w:val="20"/>
              </w:rPr>
            </w:pPr>
            <w:r>
              <w:rPr>
                <w:rFonts w:hint="default" w:ascii="Times New Roman" w:hAnsi="Times New Roman" w:eastAsia="宋体" w:cs="Times New Roman"/>
                <w:sz w:val="20"/>
                <w:szCs w:val="20"/>
              </w:rPr>
              <w:t>0.2</w:t>
            </w:r>
          </w:p>
        </w:tc>
        <w:tc>
          <w:tcPr>
            <w:tcW w:w="919" w:type="dxa"/>
            <w:tcBorders>
              <w:top w:val="single" w:color="000000" w:sz="4" w:space="0"/>
              <w:left w:val="single" w:color="000000" w:sz="4" w:space="0"/>
              <w:bottom w:val="single" w:color="000000" w:sz="4" w:space="0"/>
              <w:right w:val="single" w:color="000000" w:sz="12" w:space="0"/>
            </w:tcBorders>
          </w:tcPr>
          <w:p>
            <w:pPr>
              <w:pStyle w:val="34"/>
              <w:kinsoku w:val="0"/>
              <w:overflowPunct w:val="0"/>
              <w:spacing w:before="65"/>
              <w:ind w:left="303"/>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1.0</w:t>
            </w:r>
          </w:p>
        </w:tc>
      </w:tr>
      <w:tr>
        <w:tblPrEx>
          <w:tblLayout w:type="fixed"/>
          <w:tblCellMar>
            <w:top w:w="0" w:type="dxa"/>
            <w:left w:w="0" w:type="dxa"/>
            <w:bottom w:w="0" w:type="dxa"/>
            <w:right w:w="0" w:type="dxa"/>
          </w:tblCellMar>
        </w:tblPrEx>
        <w:trPr>
          <w:trHeight w:val="466" w:hRule="exact"/>
        </w:trPr>
        <w:tc>
          <w:tcPr>
            <w:tcW w:w="2108" w:type="dxa"/>
            <w:gridSpan w:val="2"/>
            <w:tcBorders>
              <w:top w:val="single" w:color="000000" w:sz="4" w:space="0"/>
              <w:left w:val="single" w:color="000000" w:sz="12" w:space="0"/>
              <w:bottom w:val="single" w:color="000000" w:sz="4" w:space="0"/>
              <w:right w:val="single" w:color="000000" w:sz="4" w:space="0"/>
            </w:tcBorders>
          </w:tcPr>
          <w:p>
            <w:pPr>
              <w:pStyle w:val="34"/>
              <w:kinsoku w:val="0"/>
              <w:overflowPunct w:val="0"/>
              <w:spacing w:before="65"/>
              <w:ind w:left="738"/>
              <w:rPr>
                <w:rFonts w:hint="default" w:ascii="Times New Roman" w:hAnsi="Times New Roman" w:eastAsia="宋体" w:cs="Times New Roman"/>
                <w:sz w:val="20"/>
                <w:szCs w:val="20"/>
              </w:rPr>
            </w:pPr>
            <w:r>
              <w:rPr>
                <w:rFonts w:hint="default" w:ascii="Times New Roman" w:hAnsi="Times New Roman" w:eastAsia="宋体" w:cs="Times New Roman"/>
                <w:sz w:val="20"/>
                <w:szCs w:val="20"/>
              </w:rPr>
              <w:t>同时率</w:t>
            </w:r>
          </w:p>
        </w:tc>
        <w:tc>
          <w:tcPr>
            <w:tcW w:w="808"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65"/>
              <w:ind w:left="248"/>
              <w:rPr>
                <w:rFonts w:hint="default" w:ascii="Times New Roman" w:hAnsi="Times New Roman" w:eastAsia="宋体" w:cs="Times New Roman"/>
                <w:sz w:val="20"/>
                <w:szCs w:val="20"/>
              </w:rPr>
            </w:pPr>
            <w:r>
              <w:rPr>
                <w:rFonts w:hint="default" w:ascii="Times New Roman" w:hAnsi="Times New Roman" w:eastAsia="宋体" w:cs="Times New Roman"/>
                <w:sz w:val="20"/>
                <w:szCs w:val="20"/>
              </w:rPr>
              <w:t>0.8</w:t>
            </w:r>
          </w:p>
        </w:tc>
        <w:tc>
          <w:tcPr>
            <w:tcW w:w="920"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65"/>
              <w:ind w:left="303"/>
              <w:rPr>
                <w:rFonts w:hint="default" w:ascii="Times New Roman" w:hAnsi="Times New Roman" w:eastAsia="宋体" w:cs="Times New Roman"/>
                <w:sz w:val="20"/>
                <w:szCs w:val="20"/>
              </w:rPr>
            </w:pPr>
            <w:r>
              <w:rPr>
                <w:rFonts w:hint="default" w:ascii="Times New Roman" w:hAnsi="Times New Roman" w:eastAsia="宋体" w:cs="Times New Roman"/>
                <w:sz w:val="20"/>
                <w:szCs w:val="20"/>
              </w:rPr>
              <w:t>0.8</w:t>
            </w:r>
          </w:p>
        </w:tc>
        <w:tc>
          <w:tcPr>
            <w:tcW w:w="922"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65"/>
              <w:ind w:left="303"/>
              <w:rPr>
                <w:rFonts w:hint="default" w:ascii="Times New Roman" w:hAnsi="Times New Roman" w:eastAsia="宋体" w:cs="Times New Roman"/>
                <w:sz w:val="20"/>
                <w:szCs w:val="20"/>
              </w:rPr>
            </w:pPr>
            <w:r>
              <w:rPr>
                <w:rFonts w:hint="default" w:ascii="Times New Roman" w:hAnsi="Times New Roman" w:eastAsia="宋体" w:cs="Times New Roman"/>
                <w:sz w:val="20"/>
                <w:szCs w:val="20"/>
              </w:rPr>
              <w:t>0.8</w:t>
            </w:r>
          </w:p>
        </w:tc>
        <w:tc>
          <w:tcPr>
            <w:tcW w:w="919"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65"/>
              <w:ind w:left="303"/>
              <w:rPr>
                <w:rFonts w:hint="default" w:ascii="Times New Roman" w:hAnsi="Times New Roman" w:eastAsia="宋体" w:cs="Times New Roman"/>
                <w:sz w:val="20"/>
                <w:szCs w:val="20"/>
              </w:rPr>
            </w:pPr>
            <w:r>
              <w:rPr>
                <w:rFonts w:hint="default" w:ascii="Times New Roman" w:hAnsi="Times New Roman" w:eastAsia="宋体" w:cs="Times New Roman"/>
                <w:sz w:val="20"/>
                <w:szCs w:val="20"/>
              </w:rPr>
              <w:t>0.8</w:t>
            </w:r>
          </w:p>
        </w:tc>
        <w:tc>
          <w:tcPr>
            <w:tcW w:w="921"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65"/>
              <w:ind w:left="303"/>
              <w:rPr>
                <w:rFonts w:hint="default" w:ascii="Times New Roman" w:hAnsi="Times New Roman" w:eastAsia="宋体" w:cs="Times New Roman"/>
                <w:sz w:val="20"/>
                <w:szCs w:val="20"/>
              </w:rPr>
            </w:pPr>
            <w:r>
              <w:rPr>
                <w:rFonts w:hint="default" w:ascii="Times New Roman" w:hAnsi="Times New Roman" w:eastAsia="宋体" w:cs="Times New Roman"/>
                <w:sz w:val="20"/>
                <w:szCs w:val="20"/>
              </w:rPr>
              <w:t>0.8</w:t>
            </w:r>
          </w:p>
        </w:tc>
        <w:tc>
          <w:tcPr>
            <w:tcW w:w="920"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65"/>
              <w:ind w:left="304"/>
              <w:rPr>
                <w:rFonts w:hint="default" w:ascii="Times New Roman" w:hAnsi="Times New Roman" w:eastAsia="宋体" w:cs="Times New Roman"/>
                <w:sz w:val="20"/>
                <w:szCs w:val="20"/>
              </w:rPr>
            </w:pPr>
            <w:r>
              <w:rPr>
                <w:rFonts w:hint="default" w:ascii="Times New Roman" w:hAnsi="Times New Roman" w:eastAsia="宋体" w:cs="Times New Roman"/>
                <w:sz w:val="20"/>
                <w:szCs w:val="20"/>
              </w:rPr>
              <w:t>0.8</w:t>
            </w:r>
          </w:p>
        </w:tc>
        <w:tc>
          <w:tcPr>
            <w:tcW w:w="919" w:type="dxa"/>
            <w:tcBorders>
              <w:top w:val="single" w:color="000000" w:sz="4" w:space="0"/>
              <w:left w:val="single" w:color="000000" w:sz="4" w:space="0"/>
              <w:bottom w:val="single" w:color="000000" w:sz="4" w:space="0"/>
              <w:right w:val="single" w:color="000000" w:sz="12" w:space="0"/>
            </w:tcBorders>
          </w:tcPr>
          <w:p>
            <w:pPr>
              <w:pStyle w:val="34"/>
              <w:kinsoku w:val="0"/>
              <w:overflowPunct w:val="0"/>
              <w:spacing w:before="65"/>
              <w:ind w:left="303"/>
              <w:rPr>
                <w:rFonts w:hint="default" w:ascii="Times New Roman" w:hAnsi="Times New Roman" w:eastAsia="宋体" w:cs="Times New Roman"/>
                <w:sz w:val="20"/>
                <w:szCs w:val="20"/>
              </w:rPr>
            </w:pPr>
            <w:r>
              <w:rPr>
                <w:rFonts w:hint="default" w:ascii="Times New Roman" w:hAnsi="Times New Roman" w:eastAsia="宋体" w:cs="Times New Roman"/>
                <w:sz w:val="20"/>
                <w:szCs w:val="20"/>
              </w:rPr>
              <w:t>0.8</w:t>
            </w:r>
          </w:p>
        </w:tc>
      </w:tr>
      <w:tr>
        <w:tblPrEx>
          <w:tblLayout w:type="fixed"/>
          <w:tblCellMar>
            <w:top w:w="0" w:type="dxa"/>
            <w:left w:w="0" w:type="dxa"/>
            <w:bottom w:w="0" w:type="dxa"/>
            <w:right w:w="0" w:type="dxa"/>
          </w:tblCellMar>
        </w:tblPrEx>
        <w:trPr>
          <w:trHeight w:val="473" w:hRule="exact"/>
        </w:trPr>
        <w:tc>
          <w:tcPr>
            <w:tcW w:w="2108" w:type="dxa"/>
            <w:gridSpan w:val="2"/>
            <w:tcBorders>
              <w:top w:val="single" w:color="000000" w:sz="4" w:space="0"/>
              <w:left w:val="single" w:color="000000" w:sz="12" w:space="0"/>
              <w:bottom w:val="single" w:color="000000" w:sz="12" w:space="0"/>
              <w:right w:val="single" w:color="000000" w:sz="4" w:space="0"/>
            </w:tcBorders>
          </w:tcPr>
          <w:p>
            <w:pPr>
              <w:pStyle w:val="34"/>
              <w:kinsoku w:val="0"/>
              <w:overflowPunct w:val="0"/>
              <w:spacing w:before="63"/>
              <w:ind w:left="637"/>
              <w:rPr>
                <w:rFonts w:hint="default" w:ascii="Times New Roman" w:hAnsi="Times New Roman" w:eastAsia="宋体" w:cs="Times New Roman"/>
                <w:sz w:val="20"/>
                <w:szCs w:val="20"/>
              </w:rPr>
            </w:pPr>
            <w:r>
              <w:rPr>
                <w:rFonts w:hint="default" w:ascii="Times New Roman" w:hAnsi="Times New Roman" w:eastAsia="宋体" w:cs="Times New Roman"/>
                <w:sz w:val="20"/>
                <w:szCs w:val="20"/>
              </w:rPr>
              <w:t>负荷合计</w:t>
            </w:r>
          </w:p>
        </w:tc>
        <w:tc>
          <w:tcPr>
            <w:tcW w:w="808" w:type="dxa"/>
            <w:tcBorders>
              <w:top w:val="single" w:color="000000" w:sz="4" w:space="0"/>
              <w:left w:val="single" w:color="000000" w:sz="4" w:space="0"/>
              <w:bottom w:val="single" w:color="000000" w:sz="12" w:space="0"/>
              <w:right w:val="single" w:color="000000" w:sz="4" w:space="0"/>
            </w:tcBorders>
          </w:tcPr>
          <w:p>
            <w:pPr>
              <w:pStyle w:val="34"/>
              <w:kinsoku w:val="0"/>
              <w:overflowPunct w:val="0"/>
              <w:spacing w:before="63"/>
              <w:ind w:left="198"/>
              <w:rPr>
                <w:rFonts w:hint="default" w:ascii="Times New Roman" w:hAnsi="Times New Roman" w:eastAsia="宋体" w:cs="Times New Roman"/>
                <w:sz w:val="20"/>
                <w:szCs w:val="20"/>
              </w:rPr>
            </w:pPr>
            <w:r>
              <w:rPr>
                <w:rFonts w:hint="default" w:ascii="Times New Roman" w:hAnsi="Times New Roman" w:eastAsia="宋体" w:cs="Times New Roman"/>
                <w:sz w:val="20"/>
                <w:szCs w:val="20"/>
              </w:rPr>
              <w:t>0.91</w:t>
            </w:r>
          </w:p>
        </w:tc>
        <w:tc>
          <w:tcPr>
            <w:tcW w:w="920" w:type="dxa"/>
            <w:tcBorders>
              <w:top w:val="single" w:color="000000" w:sz="4" w:space="0"/>
              <w:left w:val="single" w:color="000000" w:sz="4" w:space="0"/>
              <w:bottom w:val="single" w:color="000000" w:sz="12" w:space="0"/>
              <w:right w:val="single" w:color="000000" w:sz="4" w:space="0"/>
            </w:tcBorders>
          </w:tcPr>
          <w:p>
            <w:pPr>
              <w:pStyle w:val="34"/>
              <w:kinsoku w:val="0"/>
              <w:overflowPunct w:val="0"/>
              <w:spacing w:before="63"/>
              <w:ind w:left="253"/>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1.14</w:t>
            </w:r>
          </w:p>
        </w:tc>
        <w:tc>
          <w:tcPr>
            <w:tcW w:w="922" w:type="dxa"/>
            <w:tcBorders>
              <w:top w:val="single" w:color="000000" w:sz="4" w:space="0"/>
              <w:left w:val="single" w:color="000000" w:sz="4" w:space="0"/>
              <w:bottom w:val="single" w:color="000000" w:sz="12" w:space="0"/>
              <w:right w:val="single" w:color="000000" w:sz="4" w:space="0"/>
            </w:tcBorders>
          </w:tcPr>
          <w:p>
            <w:pPr>
              <w:pStyle w:val="34"/>
              <w:kinsoku w:val="0"/>
              <w:overflowPunct w:val="0"/>
              <w:spacing w:before="63"/>
              <w:ind w:left="253"/>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1.48</w:t>
            </w:r>
          </w:p>
        </w:tc>
        <w:tc>
          <w:tcPr>
            <w:tcW w:w="919" w:type="dxa"/>
            <w:tcBorders>
              <w:top w:val="single" w:color="000000" w:sz="4" w:space="0"/>
              <w:left w:val="single" w:color="000000" w:sz="4" w:space="0"/>
              <w:bottom w:val="single" w:color="000000" w:sz="12" w:space="0"/>
              <w:right w:val="single" w:color="000000" w:sz="4" w:space="0"/>
            </w:tcBorders>
          </w:tcPr>
          <w:p>
            <w:pPr>
              <w:pStyle w:val="34"/>
              <w:kinsoku w:val="0"/>
              <w:overflowPunct w:val="0"/>
              <w:spacing w:before="63"/>
              <w:ind w:left="253"/>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1.72</w:t>
            </w:r>
          </w:p>
        </w:tc>
        <w:tc>
          <w:tcPr>
            <w:tcW w:w="921" w:type="dxa"/>
            <w:tcBorders>
              <w:top w:val="single" w:color="000000" w:sz="4" w:space="0"/>
              <w:left w:val="single" w:color="000000" w:sz="4" w:space="0"/>
              <w:bottom w:val="single" w:color="000000" w:sz="12" w:space="0"/>
              <w:right w:val="single" w:color="000000" w:sz="4" w:space="0"/>
            </w:tcBorders>
          </w:tcPr>
          <w:p>
            <w:pPr>
              <w:pStyle w:val="34"/>
              <w:kinsoku w:val="0"/>
              <w:overflowPunct w:val="0"/>
              <w:spacing w:before="63"/>
              <w:ind w:left="253"/>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1.98</w:t>
            </w:r>
          </w:p>
        </w:tc>
        <w:tc>
          <w:tcPr>
            <w:tcW w:w="920" w:type="dxa"/>
            <w:tcBorders>
              <w:top w:val="single" w:color="000000" w:sz="4" w:space="0"/>
              <w:left w:val="single" w:color="000000" w:sz="4" w:space="0"/>
              <w:bottom w:val="single" w:color="000000" w:sz="12" w:space="0"/>
              <w:right w:val="single" w:color="000000" w:sz="4" w:space="0"/>
            </w:tcBorders>
          </w:tcPr>
          <w:p>
            <w:pPr>
              <w:pStyle w:val="34"/>
              <w:kinsoku w:val="0"/>
              <w:overflowPunct w:val="0"/>
              <w:spacing w:before="63"/>
              <w:ind w:left="253"/>
              <w:rPr>
                <w:rFonts w:hint="default" w:ascii="Times New Roman" w:hAnsi="Times New Roman" w:eastAsia="宋体" w:cs="Times New Roman"/>
                <w:sz w:val="20"/>
                <w:szCs w:val="20"/>
              </w:rPr>
            </w:pPr>
            <w:r>
              <w:rPr>
                <w:rFonts w:hint="default" w:ascii="Times New Roman" w:hAnsi="Times New Roman" w:eastAsia="宋体" w:cs="Times New Roman"/>
                <w:sz w:val="20"/>
                <w:szCs w:val="20"/>
              </w:rPr>
              <w:t>2.36</w:t>
            </w:r>
          </w:p>
        </w:tc>
        <w:tc>
          <w:tcPr>
            <w:tcW w:w="919" w:type="dxa"/>
            <w:tcBorders>
              <w:top w:val="single" w:color="000000" w:sz="4" w:space="0"/>
              <w:left w:val="single" w:color="000000" w:sz="4" w:space="0"/>
              <w:bottom w:val="single" w:color="000000" w:sz="12" w:space="0"/>
              <w:right w:val="single" w:color="000000" w:sz="12" w:space="0"/>
            </w:tcBorders>
          </w:tcPr>
          <w:p>
            <w:pPr>
              <w:pStyle w:val="34"/>
              <w:kinsoku w:val="0"/>
              <w:overflowPunct w:val="0"/>
              <w:spacing w:before="63"/>
              <w:ind w:left="253"/>
              <w:rPr>
                <w:rFonts w:hint="default" w:ascii="Times New Roman" w:hAnsi="Times New Roman" w:eastAsia="宋体" w:cs="Times New Roman"/>
                <w:sz w:val="20"/>
                <w:szCs w:val="20"/>
              </w:rPr>
            </w:pPr>
            <w:r>
              <w:rPr>
                <w:rFonts w:hint="default" w:ascii="Times New Roman" w:hAnsi="Times New Roman" w:eastAsia="宋体" w:cs="Times New Roman"/>
                <w:sz w:val="20"/>
                <w:szCs w:val="20"/>
              </w:rPr>
              <w:t>2.62</w:t>
            </w:r>
          </w:p>
        </w:tc>
      </w:tr>
    </w:tbl>
    <w:p>
      <w:pPr>
        <w:pStyle w:val="4"/>
        <w:pageBreakBefore w:val="0"/>
        <w:widowControl w:val="0"/>
        <w:wordWrap/>
        <w:topLinePunct w:val="0"/>
        <w:bidi w:val="0"/>
        <w:spacing w:before="0" w:beforeLines="0" w:after="0" w:afterLines="0" w:line="579" w:lineRule="exact"/>
        <w:ind w:left="0" w:firstLine="640" w:firstLineChars="200"/>
        <w:textAlignment w:val="auto"/>
        <w:rPr>
          <w:rFonts w:hint="default" w:ascii="Times New Roman" w:hAnsi="Times New Roman" w:eastAsia="仿宋_GB2312" w:cs="Times New Roman"/>
          <w:sz w:val="32"/>
          <w:szCs w:val="32"/>
        </w:rPr>
      </w:pPr>
      <w:bookmarkStart w:id="28" w:name="_Toc23169568"/>
      <w:r>
        <w:rPr>
          <w:rFonts w:hint="default" w:ascii="Times New Roman" w:hAnsi="Times New Roman" w:eastAsia="仿宋_GB2312" w:cs="Times New Roman"/>
          <w:sz w:val="32"/>
          <w:szCs w:val="32"/>
        </w:rPr>
        <w:t>4．电量预测</w:t>
      </w:r>
      <w:bookmarkEnd w:id="28"/>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电量需求采用最大负荷利用小时数法进行预测。考虑到彩虹智慧创业园入驻企业基本为印刷包装和塑料制品制造业企业，属于制造行业。通过对龙港地区数家经营稳定且相对成熟的相关企业进行实地考察和调研，并根据苍南县印刷包装行业协会提供的相关数据（印刷企业日均负荷利用小时数约13.7小时，年最大负荷利用小时数约5000.5小时），因此，本规划中彩虹智慧创业园增量配电试点区域最大负荷利用小时数暂按5000小时考虑。</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龙港地区相关印刷企业负荷利用小时数情况见附表4。</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上述负荷预测结果，2020年，彩虹智慧创业园增量配电改革试点区域电量将达到0.46亿千瓦时；2025年，彩虹智慧创业园增量配电改革试点区域电量将达到1.18亿千瓦时；2030年，彩虹智慧创业园增量配电改革试点区域电量将达到1.31亿千瓦时。</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sz w:val="32"/>
          <w:szCs w:val="32"/>
        </w:rPr>
        <w:t>试点区域电量预测结果见表4-2。</w:t>
      </w:r>
    </w:p>
    <w:p>
      <w:pPr>
        <w:pStyle w:val="9"/>
        <w:pageBreakBefore w:val="0"/>
        <w:widowControl w:val="0"/>
        <w:wordWrap/>
        <w:topLinePunct w:val="0"/>
        <w:bidi w:val="0"/>
        <w:adjustRightInd w:val="0"/>
        <w:snapToGrid w:val="0"/>
        <w:spacing w:line="579" w:lineRule="exact"/>
        <w:ind w:firstLine="0"/>
        <w:textAlignment w:val="auto"/>
        <w:rPr>
          <w:rFonts w:hint="default" w:ascii="Times New Roman" w:hAnsi="Times New Roman" w:eastAsia="仿宋_GB2312" w:cs="Times New Roman"/>
          <w:szCs w:val="28"/>
        </w:rPr>
      </w:pPr>
      <w:bookmarkStart w:id="29" w:name="bookmark14"/>
      <w:bookmarkEnd w:id="29"/>
      <w:r>
        <w:rPr>
          <w:rFonts w:hint="default" w:ascii="Times New Roman" w:hAnsi="Times New Roman" w:eastAsia="仿宋_GB2312" w:cs="Times New Roman"/>
          <w:szCs w:val="28"/>
        </w:rPr>
        <w:t>表4-2             试点区域用电量预测结果       单位：亿千瓦时</w:t>
      </w:r>
    </w:p>
    <w:tbl>
      <w:tblPr>
        <w:tblStyle w:val="23"/>
        <w:tblW w:w="864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7"/>
        <w:gridCol w:w="1416"/>
        <w:gridCol w:w="829"/>
        <w:gridCol w:w="942"/>
        <w:gridCol w:w="942"/>
        <w:gridCol w:w="942"/>
        <w:gridCol w:w="942"/>
        <w:gridCol w:w="942"/>
        <w:gridCol w:w="9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trPr>
        <w:tc>
          <w:tcPr>
            <w:tcW w:w="747" w:type="dxa"/>
            <w:shd w:val="clear" w:color="000000" w:fill="FFFFFF"/>
            <w:vAlign w:val="center"/>
          </w:tcPr>
          <w:p>
            <w:pPr>
              <w:widowControl/>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区块</w:t>
            </w:r>
          </w:p>
        </w:tc>
        <w:tc>
          <w:tcPr>
            <w:tcW w:w="1416" w:type="dxa"/>
            <w:tcBorders>
              <w:top w:val="single" w:color="auto" w:sz="12" w:space="0"/>
              <w:bottom w:val="single" w:color="auto" w:sz="4" w:space="0"/>
              <w:tl2br w:val="single" w:color="auto" w:sz="4" w:space="0"/>
            </w:tcBorders>
            <w:shd w:val="clear" w:color="000000" w:fill="FFFFFF"/>
            <w:vAlign w:val="center"/>
          </w:tcPr>
          <w:p>
            <w:pPr>
              <w:widowControl/>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 xml:space="preserve">     年份</w:t>
            </w:r>
          </w:p>
          <w:p>
            <w:pPr>
              <w:widowControl/>
              <w:ind w:firstLine="200" w:firstLineChars="100"/>
              <w:rPr>
                <w:rFonts w:hint="default" w:ascii="Times New Roman" w:hAnsi="Times New Roman" w:eastAsia="宋体" w:cs="Times New Roman"/>
                <w:sz w:val="20"/>
                <w:szCs w:val="20"/>
              </w:rPr>
            </w:pPr>
            <w:r>
              <w:rPr>
                <w:rFonts w:hint="default" w:ascii="Times New Roman" w:hAnsi="Times New Roman" w:eastAsia="宋体" w:cs="Times New Roman"/>
                <w:sz w:val="20"/>
                <w:szCs w:val="20"/>
              </w:rPr>
              <w:t>项目</w:t>
            </w:r>
          </w:p>
        </w:tc>
        <w:tc>
          <w:tcPr>
            <w:tcW w:w="829" w:type="dxa"/>
            <w:shd w:val="clear" w:color="000000" w:fill="FFFFFF"/>
            <w:vAlign w:val="center"/>
          </w:tcPr>
          <w:p>
            <w:pPr>
              <w:widowControl/>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2020</w:t>
            </w:r>
          </w:p>
        </w:tc>
        <w:tc>
          <w:tcPr>
            <w:tcW w:w="942" w:type="dxa"/>
            <w:shd w:val="clear" w:color="000000" w:fill="FFFFFF"/>
            <w:vAlign w:val="center"/>
          </w:tcPr>
          <w:p>
            <w:pPr>
              <w:widowControl/>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2021</w:t>
            </w:r>
          </w:p>
        </w:tc>
        <w:tc>
          <w:tcPr>
            <w:tcW w:w="942" w:type="dxa"/>
            <w:shd w:val="clear" w:color="000000" w:fill="FFFFFF"/>
            <w:vAlign w:val="center"/>
          </w:tcPr>
          <w:p>
            <w:pPr>
              <w:widowControl/>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2022</w:t>
            </w:r>
          </w:p>
        </w:tc>
        <w:tc>
          <w:tcPr>
            <w:tcW w:w="942" w:type="dxa"/>
            <w:shd w:val="clear" w:color="000000" w:fill="FFFFFF"/>
            <w:vAlign w:val="center"/>
          </w:tcPr>
          <w:p>
            <w:pPr>
              <w:widowControl/>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2023</w:t>
            </w:r>
          </w:p>
        </w:tc>
        <w:tc>
          <w:tcPr>
            <w:tcW w:w="942" w:type="dxa"/>
            <w:shd w:val="clear" w:color="000000" w:fill="FFFFFF"/>
            <w:vAlign w:val="center"/>
          </w:tcPr>
          <w:p>
            <w:pPr>
              <w:widowControl/>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2024</w:t>
            </w:r>
          </w:p>
        </w:tc>
        <w:tc>
          <w:tcPr>
            <w:tcW w:w="942" w:type="dxa"/>
            <w:shd w:val="clear" w:color="000000" w:fill="FFFFFF"/>
            <w:vAlign w:val="center"/>
          </w:tcPr>
          <w:p>
            <w:pPr>
              <w:widowControl/>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2025</w:t>
            </w:r>
          </w:p>
        </w:tc>
        <w:tc>
          <w:tcPr>
            <w:tcW w:w="938" w:type="dxa"/>
            <w:shd w:val="clear" w:color="000000" w:fill="FFFFFF"/>
            <w:vAlign w:val="center"/>
          </w:tcPr>
          <w:p>
            <w:pPr>
              <w:widowControl/>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2030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163" w:type="dxa"/>
            <w:gridSpan w:val="2"/>
            <w:shd w:val="clear" w:color="000000" w:fill="FFFFFF"/>
            <w:vAlign w:val="center"/>
          </w:tcPr>
          <w:p>
            <w:pPr>
              <w:widowControl/>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最大负荷</w:t>
            </w:r>
          </w:p>
        </w:tc>
        <w:tc>
          <w:tcPr>
            <w:tcW w:w="829" w:type="dxa"/>
            <w:shd w:val="clear" w:color="000000" w:fill="FFFFFF"/>
            <w:vAlign w:val="center"/>
          </w:tcPr>
          <w:p>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0.91</w:t>
            </w:r>
          </w:p>
        </w:tc>
        <w:tc>
          <w:tcPr>
            <w:tcW w:w="942" w:type="dxa"/>
            <w:shd w:val="clear" w:color="000000" w:fill="FFFFFF"/>
            <w:vAlign w:val="center"/>
          </w:tcPr>
          <w:p>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1.14</w:t>
            </w:r>
          </w:p>
        </w:tc>
        <w:tc>
          <w:tcPr>
            <w:tcW w:w="942" w:type="dxa"/>
            <w:shd w:val="clear" w:color="000000" w:fill="FFFFFF"/>
            <w:vAlign w:val="center"/>
          </w:tcPr>
          <w:p>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1.48</w:t>
            </w:r>
          </w:p>
        </w:tc>
        <w:tc>
          <w:tcPr>
            <w:tcW w:w="942" w:type="dxa"/>
            <w:shd w:val="clear" w:color="000000" w:fill="FFFFFF"/>
            <w:vAlign w:val="center"/>
          </w:tcPr>
          <w:p>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1.72</w:t>
            </w:r>
          </w:p>
        </w:tc>
        <w:tc>
          <w:tcPr>
            <w:tcW w:w="942" w:type="dxa"/>
            <w:shd w:val="clear" w:color="000000" w:fill="FFFFFF"/>
            <w:vAlign w:val="center"/>
          </w:tcPr>
          <w:p>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1.98</w:t>
            </w:r>
          </w:p>
        </w:tc>
        <w:tc>
          <w:tcPr>
            <w:tcW w:w="942" w:type="dxa"/>
            <w:shd w:val="clear" w:color="000000" w:fill="FFFFFF"/>
            <w:vAlign w:val="center"/>
          </w:tcPr>
          <w:p>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2.36</w:t>
            </w:r>
          </w:p>
        </w:tc>
        <w:tc>
          <w:tcPr>
            <w:tcW w:w="938" w:type="dxa"/>
            <w:shd w:val="clear" w:color="000000" w:fill="FFFFFF"/>
            <w:vAlign w:val="center"/>
          </w:tcPr>
          <w:p>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2.62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163" w:type="dxa"/>
            <w:gridSpan w:val="2"/>
            <w:shd w:val="clear" w:color="000000" w:fill="FFFFFF"/>
            <w:vAlign w:val="center"/>
          </w:tcPr>
          <w:p>
            <w:pPr>
              <w:widowControl/>
              <w:ind w:left="-120" w:leftChars="-5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最大负荷利用小时</w:t>
            </w:r>
          </w:p>
        </w:tc>
        <w:tc>
          <w:tcPr>
            <w:tcW w:w="829" w:type="dxa"/>
            <w:shd w:val="clear" w:color="000000" w:fill="FFFFFF"/>
            <w:vAlign w:val="center"/>
          </w:tcPr>
          <w:p>
            <w:pPr>
              <w:widowControl/>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5000</w:t>
            </w:r>
          </w:p>
        </w:tc>
        <w:tc>
          <w:tcPr>
            <w:tcW w:w="942" w:type="dxa"/>
            <w:shd w:val="clear" w:color="000000" w:fill="FFFFFF"/>
            <w:vAlign w:val="center"/>
          </w:tcPr>
          <w:p>
            <w:pPr>
              <w:widowControl/>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5000</w:t>
            </w:r>
          </w:p>
        </w:tc>
        <w:tc>
          <w:tcPr>
            <w:tcW w:w="942" w:type="dxa"/>
            <w:shd w:val="clear" w:color="000000" w:fill="FFFFFF"/>
            <w:vAlign w:val="center"/>
          </w:tcPr>
          <w:p>
            <w:pPr>
              <w:widowControl/>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5000</w:t>
            </w:r>
          </w:p>
        </w:tc>
        <w:tc>
          <w:tcPr>
            <w:tcW w:w="942" w:type="dxa"/>
            <w:shd w:val="clear" w:color="000000" w:fill="FFFFFF"/>
            <w:vAlign w:val="center"/>
          </w:tcPr>
          <w:p>
            <w:pPr>
              <w:widowControl/>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5000</w:t>
            </w:r>
          </w:p>
        </w:tc>
        <w:tc>
          <w:tcPr>
            <w:tcW w:w="942" w:type="dxa"/>
            <w:shd w:val="clear" w:color="000000" w:fill="FFFFFF"/>
            <w:vAlign w:val="center"/>
          </w:tcPr>
          <w:p>
            <w:pPr>
              <w:widowControl/>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5000</w:t>
            </w:r>
          </w:p>
        </w:tc>
        <w:tc>
          <w:tcPr>
            <w:tcW w:w="942" w:type="dxa"/>
            <w:shd w:val="clear" w:color="000000" w:fill="FFFFFF"/>
            <w:vAlign w:val="center"/>
          </w:tcPr>
          <w:p>
            <w:pPr>
              <w:widowControl/>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5000</w:t>
            </w:r>
          </w:p>
        </w:tc>
        <w:tc>
          <w:tcPr>
            <w:tcW w:w="938" w:type="dxa"/>
            <w:shd w:val="clear" w:color="000000" w:fill="FFFFFF"/>
            <w:vAlign w:val="center"/>
          </w:tcPr>
          <w:p>
            <w:pPr>
              <w:widowControl/>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5000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163" w:type="dxa"/>
            <w:gridSpan w:val="2"/>
            <w:shd w:val="clear" w:color="000000" w:fill="FFFFFF"/>
            <w:vAlign w:val="center"/>
          </w:tcPr>
          <w:p>
            <w:pPr>
              <w:widowControl/>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用电量</w:t>
            </w:r>
          </w:p>
        </w:tc>
        <w:tc>
          <w:tcPr>
            <w:tcW w:w="829" w:type="dxa"/>
            <w:shd w:val="clear" w:color="000000" w:fill="FFFFFF"/>
            <w:vAlign w:val="center"/>
          </w:tcPr>
          <w:p>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0.46</w:t>
            </w:r>
          </w:p>
        </w:tc>
        <w:tc>
          <w:tcPr>
            <w:tcW w:w="942" w:type="dxa"/>
            <w:shd w:val="clear" w:color="000000" w:fill="FFFFFF"/>
            <w:vAlign w:val="center"/>
          </w:tcPr>
          <w:p>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0.57</w:t>
            </w:r>
          </w:p>
        </w:tc>
        <w:tc>
          <w:tcPr>
            <w:tcW w:w="942" w:type="dxa"/>
            <w:shd w:val="clear" w:color="000000" w:fill="FFFFFF"/>
            <w:vAlign w:val="center"/>
          </w:tcPr>
          <w:p>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0.74</w:t>
            </w:r>
          </w:p>
        </w:tc>
        <w:tc>
          <w:tcPr>
            <w:tcW w:w="942" w:type="dxa"/>
            <w:shd w:val="clear" w:color="000000" w:fill="FFFFFF"/>
            <w:vAlign w:val="center"/>
          </w:tcPr>
          <w:p>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0.86</w:t>
            </w:r>
          </w:p>
        </w:tc>
        <w:tc>
          <w:tcPr>
            <w:tcW w:w="942" w:type="dxa"/>
            <w:shd w:val="clear" w:color="000000" w:fill="FFFFFF"/>
            <w:vAlign w:val="center"/>
          </w:tcPr>
          <w:p>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0.99</w:t>
            </w:r>
          </w:p>
        </w:tc>
        <w:tc>
          <w:tcPr>
            <w:tcW w:w="942" w:type="dxa"/>
            <w:shd w:val="clear" w:color="000000" w:fill="FFFFFF"/>
            <w:vAlign w:val="center"/>
          </w:tcPr>
          <w:p>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1.18</w:t>
            </w:r>
          </w:p>
        </w:tc>
        <w:tc>
          <w:tcPr>
            <w:tcW w:w="938" w:type="dxa"/>
            <w:shd w:val="clear" w:color="000000" w:fill="FFFFFF"/>
            <w:vAlign w:val="center"/>
          </w:tcPr>
          <w:p>
            <w:pPr>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1.31</w:t>
            </w:r>
          </w:p>
        </w:tc>
      </w:tr>
    </w:tbl>
    <w:p>
      <w:pPr>
        <w:pStyle w:val="3"/>
        <w:pageBreakBefore w:val="0"/>
        <w:widowControl w:val="0"/>
        <w:kinsoku/>
        <w:wordWrap/>
        <w:overflowPunct/>
        <w:topLinePunct w:val="0"/>
        <w:autoSpaceDE/>
        <w:autoSpaceDN/>
        <w:bidi w:val="0"/>
        <w:spacing w:before="0" w:beforeLines="0" w:after="0" w:afterLines="0" w:line="579" w:lineRule="exact"/>
        <w:ind w:firstLine="643" w:firstLineChars="200"/>
        <w:textAlignment w:val="auto"/>
        <w:rPr>
          <w:rFonts w:hint="default" w:ascii="楷体_GB2312" w:hAnsi="楷体_GB2312" w:eastAsia="楷体_GB2312" w:cs="楷体_GB2312"/>
          <w:b/>
          <w:bCs w:val="0"/>
          <w:sz w:val="32"/>
          <w:szCs w:val="32"/>
        </w:rPr>
      </w:pPr>
      <w:bookmarkStart w:id="30" w:name="_Toc23169569"/>
      <w:r>
        <w:rPr>
          <w:rFonts w:hint="default" w:ascii="楷体_GB2312" w:hAnsi="楷体_GB2312" w:eastAsia="楷体_GB2312" w:cs="楷体_GB2312"/>
          <w:b/>
          <w:bCs w:val="0"/>
          <w:sz w:val="32"/>
          <w:szCs w:val="32"/>
        </w:rPr>
        <w:t>（三）区域电源增长预测</w:t>
      </w:r>
      <w:bookmarkEnd w:id="30"/>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试点区域内没有常规电源。考虑到试点区域将建设大规模的厂房，厂房屋顶可以结合实际情况考虑建设屋顶光伏项目。</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根据相关调研收资情况：</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彩虹智慧创业园（一期）项目建设37幢厂房、2个车间、2幢宿舍，屋顶面积合计6.63万平方米。</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彩虹智慧创业园（三期）项目建设20幢厂房，屋顶面积合计10.69万平方米。</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cs="Times New Roman"/>
          <w:sz w:val="8"/>
          <w:szCs w:val="8"/>
        </w:rPr>
      </w:pPr>
      <w:r>
        <w:rPr>
          <w:rFonts w:hint="default" w:ascii="Times New Roman" w:hAnsi="Times New Roman" w:eastAsia="仿宋_GB2312" w:cs="Times New Roman"/>
          <w:sz w:val="32"/>
          <w:szCs w:val="32"/>
        </w:rPr>
        <w:t>彩虹智慧创业园屋顶面积合计约17.32万平方米，考虑75%的屋顶面积具备开发屋顶光伏的可行性，同时，类比浙江其他区域屋顶光伏开发情况，水泥屋顶每万平方米可开发屋顶光伏容量约800千瓦，因此，本规划中，可开发屋顶光伏规模约1.0万千瓦。</w:t>
      </w:r>
    </w:p>
    <w:p>
      <w:pPr>
        <w:pStyle w:val="3"/>
        <w:pageBreakBefore w:val="0"/>
        <w:widowControl w:val="0"/>
        <w:kinsoku/>
        <w:wordWrap/>
        <w:overflowPunct/>
        <w:topLinePunct w:val="0"/>
        <w:autoSpaceDE/>
        <w:autoSpaceDN/>
        <w:bidi w:val="0"/>
        <w:spacing w:before="0" w:beforeLines="0" w:after="0" w:afterLines="0" w:line="579" w:lineRule="exact"/>
        <w:ind w:firstLine="643" w:firstLineChars="200"/>
        <w:textAlignment w:val="auto"/>
        <w:rPr>
          <w:rFonts w:hint="default" w:ascii="楷体_GB2312" w:hAnsi="楷体_GB2312" w:eastAsia="楷体_GB2312" w:cs="楷体_GB2312"/>
          <w:b/>
          <w:bCs w:val="0"/>
          <w:sz w:val="32"/>
          <w:szCs w:val="32"/>
        </w:rPr>
      </w:pPr>
      <w:bookmarkStart w:id="31" w:name="bookmark15"/>
      <w:bookmarkEnd w:id="31"/>
      <w:bookmarkStart w:id="32" w:name="_Toc23169570"/>
      <w:r>
        <w:rPr>
          <w:rFonts w:hint="default" w:ascii="楷体_GB2312" w:hAnsi="楷体_GB2312" w:eastAsia="楷体_GB2312" w:cs="楷体_GB2312"/>
          <w:b/>
          <w:bCs w:val="0"/>
          <w:sz w:val="32"/>
          <w:szCs w:val="32"/>
        </w:rPr>
        <w:t>（四）区域外网供负荷、电量预测</w:t>
      </w:r>
      <w:bookmarkEnd w:id="32"/>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试点区内，除规划光伏发电外，均从国家电网公司受电，为测算所需区域外网供负荷及电量，首先对区域内的电力电量做一平衡分析。</w:t>
      </w:r>
    </w:p>
    <w:p>
      <w:pPr>
        <w:pStyle w:val="4"/>
        <w:pageBreakBefore w:val="0"/>
        <w:widowControl w:val="0"/>
        <w:kinsoku/>
        <w:wordWrap/>
        <w:overflowPunct/>
        <w:topLinePunct w:val="0"/>
        <w:autoSpaceDE/>
        <w:autoSpaceDN/>
        <w:bidi w:val="0"/>
        <w:spacing w:before="0" w:beforeLines="0" w:after="0" w:afterLines="0" w:line="579" w:lineRule="exact"/>
        <w:ind w:left="0" w:firstLine="640" w:firstLineChars="200"/>
        <w:textAlignment w:val="auto"/>
        <w:rPr>
          <w:rFonts w:hint="default" w:ascii="Times New Roman" w:hAnsi="Times New Roman" w:eastAsia="仿宋_GB2312" w:cs="Times New Roman"/>
          <w:sz w:val="32"/>
          <w:szCs w:val="32"/>
        </w:rPr>
      </w:pPr>
      <w:bookmarkStart w:id="33" w:name="_Toc23169571"/>
      <w:r>
        <w:rPr>
          <w:rFonts w:hint="default" w:ascii="Times New Roman" w:hAnsi="Times New Roman" w:eastAsia="仿宋_GB2312" w:cs="Times New Roman"/>
          <w:sz w:val="32"/>
          <w:szCs w:val="32"/>
        </w:rPr>
        <w:t>1．平衡原则</w:t>
      </w:r>
      <w:bookmarkEnd w:id="33"/>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（1）报告对彩虹智慧创业园增量配电业务改革试点区域范围进行电力平衡分析。</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（2）考虑到试点区域内屋顶光伏出力的不确定性，屋顶光伏出力按照装机规模的10%考虑。屋顶装机规模按照可开发规模乘以逐年开发率计算。</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（3）屋顶光伏年发电利用小时数参考苍南地区同类屋顶光伏利用小时数，暂按900小时考虑。</w:t>
      </w:r>
    </w:p>
    <w:p>
      <w:pPr>
        <w:pStyle w:val="4"/>
        <w:pageBreakBefore w:val="0"/>
        <w:widowControl w:val="0"/>
        <w:kinsoku/>
        <w:wordWrap/>
        <w:overflowPunct/>
        <w:topLinePunct w:val="0"/>
        <w:autoSpaceDE/>
        <w:autoSpaceDN/>
        <w:bidi w:val="0"/>
        <w:spacing w:before="0" w:beforeLines="0" w:after="0" w:afterLines="0" w:line="579" w:lineRule="exact"/>
        <w:ind w:left="0" w:firstLine="640" w:firstLineChars="200"/>
        <w:textAlignment w:val="auto"/>
        <w:rPr>
          <w:rFonts w:hint="default" w:ascii="Times New Roman" w:hAnsi="Times New Roman" w:eastAsia="仿宋_GB2312" w:cs="Times New Roman"/>
          <w:sz w:val="32"/>
          <w:szCs w:val="32"/>
        </w:rPr>
      </w:pPr>
      <w:bookmarkStart w:id="34" w:name="_Toc23169572"/>
      <w:r>
        <w:rPr>
          <w:rFonts w:hint="default" w:ascii="Times New Roman" w:hAnsi="Times New Roman" w:eastAsia="仿宋_GB2312" w:cs="Times New Roman"/>
          <w:sz w:val="32"/>
          <w:szCs w:val="32"/>
        </w:rPr>
        <w:t>2．电力平衡分析</w:t>
      </w:r>
      <w:bookmarkEnd w:id="34"/>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试点区域各年度电力平衡情况见表4-3。</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2020年，彩虹智慧创业园增量配电业务改革试点区域需从外部受电0.91万千瓦；2025年，彩虹智慧创业园增量配电业务改革试点区域需从外部受电2.31万千瓦；2030年，彩虹智慧创业园增量配电业务改革试点区域需从外部受电2.52万千瓦。</w:t>
      </w:r>
    </w:p>
    <w:p>
      <w:pPr>
        <w:pStyle w:val="9"/>
        <w:pageBreakBefore w:val="0"/>
        <w:widowControl w:val="0"/>
        <w:kinsoku/>
        <w:wordWrap/>
        <w:overflowPunct/>
        <w:topLinePunct w:val="0"/>
        <w:autoSpaceDE/>
        <w:autoSpaceDN/>
        <w:bidi w:val="0"/>
        <w:adjustRightInd w:val="0"/>
        <w:snapToGrid w:val="0"/>
        <w:spacing w:line="579" w:lineRule="exact"/>
        <w:ind w:firstLine="0"/>
        <w:textAlignment w:val="auto"/>
        <w:rPr>
          <w:rFonts w:hint="default" w:ascii="Times New Roman" w:hAnsi="Times New Roman" w:eastAsia="仿宋_GB2312" w:cs="Times New Roman"/>
        </w:rPr>
      </w:pPr>
      <w:r>
        <w:rPr>
          <w:rFonts w:hint="default" w:ascii="Times New Roman" w:hAnsi="Times New Roman" w:eastAsia="仿宋_GB2312" w:cs="Times New Roman"/>
          <w:szCs w:val="28"/>
        </w:rPr>
        <w:t>表4-3               试点区域电力平衡情况        单位：万千瓦</w:t>
      </w:r>
    </w:p>
    <w:tbl>
      <w:tblPr>
        <w:tblStyle w:val="23"/>
        <w:tblW w:w="864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34"/>
        <w:gridCol w:w="1058"/>
        <w:gridCol w:w="1058"/>
        <w:gridCol w:w="1058"/>
        <w:gridCol w:w="1058"/>
        <w:gridCol w:w="1058"/>
        <w:gridCol w:w="1058"/>
        <w:gridCol w:w="10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92" w:hRule="atLeast"/>
          <w:jc w:val="center"/>
        </w:trPr>
        <w:tc>
          <w:tcPr>
            <w:tcW w:w="1234" w:type="dxa"/>
            <w:tcBorders>
              <w:top w:val="single" w:color="auto" w:sz="12" w:space="0"/>
              <w:bottom w:val="single" w:color="auto" w:sz="4" w:space="0"/>
              <w:tl2br w:val="single" w:color="auto" w:sz="4" w:space="0"/>
            </w:tcBorders>
            <w:shd w:val="clear" w:color="auto" w:fill="auto"/>
            <w:vAlign w:val="center"/>
          </w:tcPr>
          <w:p>
            <w:pPr>
              <w:pStyle w:val="34"/>
              <w:kinsoku w:val="0"/>
              <w:overflowPunct w:val="0"/>
              <w:spacing w:before="63" w:line="200" w:lineRule="exact"/>
              <w:ind w:firstLine="600" w:firstLineChars="300"/>
              <w:rPr>
                <w:rFonts w:ascii="宋体" w:hAnsi="宋体" w:eastAsia="宋体" w:cs="宋体"/>
                <w:sz w:val="20"/>
                <w:szCs w:val="20"/>
              </w:rPr>
            </w:pPr>
            <w:r>
              <w:rPr>
                <w:rFonts w:hint="eastAsia" w:ascii="宋体" w:hAnsi="宋体" w:eastAsia="宋体" w:cs="宋体"/>
                <w:sz w:val="20"/>
                <w:szCs w:val="20"/>
              </w:rPr>
              <w:t>年份</w:t>
            </w:r>
          </w:p>
          <w:p>
            <w:pPr>
              <w:widowControl/>
              <w:ind w:firstLine="200" w:firstLineChars="100"/>
              <w:rPr>
                <w:rFonts w:ascii="宋体" w:hAnsi="宋体" w:eastAsia="宋体" w:cs="宋体"/>
                <w:sz w:val="20"/>
                <w:szCs w:val="20"/>
              </w:rPr>
            </w:pPr>
            <w:r>
              <w:rPr>
                <w:rFonts w:hint="eastAsia" w:ascii="宋体" w:hAnsi="宋体" w:eastAsia="宋体" w:cs="宋体"/>
                <w:sz w:val="20"/>
                <w:szCs w:val="20"/>
              </w:rPr>
              <w:t>项目</w:t>
            </w:r>
          </w:p>
        </w:tc>
        <w:tc>
          <w:tcPr>
            <w:tcW w:w="1058"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2020</w:t>
            </w:r>
          </w:p>
        </w:tc>
        <w:tc>
          <w:tcPr>
            <w:tcW w:w="1058"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2021</w:t>
            </w:r>
          </w:p>
        </w:tc>
        <w:tc>
          <w:tcPr>
            <w:tcW w:w="1058"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2022</w:t>
            </w:r>
          </w:p>
        </w:tc>
        <w:tc>
          <w:tcPr>
            <w:tcW w:w="1058"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2023</w:t>
            </w:r>
          </w:p>
        </w:tc>
        <w:tc>
          <w:tcPr>
            <w:tcW w:w="1058"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2024</w:t>
            </w:r>
          </w:p>
        </w:tc>
        <w:tc>
          <w:tcPr>
            <w:tcW w:w="1058"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2025</w:t>
            </w:r>
          </w:p>
        </w:tc>
        <w:tc>
          <w:tcPr>
            <w:tcW w:w="1058"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2030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34" w:type="dxa"/>
            <w:tcBorders>
              <w:top w:val="single" w:color="auto" w:sz="4" w:space="0"/>
            </w:tcBorders>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供电负荷</w:t>
            </w:r>
          </w:p>
        </w:tc>
        <w:tc>
          <w:tcPr>
            <w:tcW w:w="1058" w:type="dxa"/>
            <w:shd w:val="clear" w:color="auto" w:fill="auto"/>
            <w:vAlign w:val="center"/>
          </w:tcPr>
          <w:p>
            <w:pPr>
              <w:jc w:val="center"/>
              <w:rPr>
                <w:rFonts w:ascii="宋体" w:hAnsi="宋体" w:eastAsia="宋体" w:cs="宋体"/>
                <w:sz w:val="20"/>
                <w:szCs w:val="20"/>
              </w:rPr>
            </w:pPr>
            <w:r>
              <w:rPr>
                <w:rFonts w:ascii="宋体" w:hAnsi="宋体" w:eastAsia="宋体" w:cs="宋体"/>
                <w:sz w:val="20"/>
                <w:szCs w:val="20"/>
              </w:rPr>
              <w:t>0.91</w:t>
            </w:r>
          </w:p>
        </w:tc>
        <w:tc>
          <w:tcPr>
            <w:tcW w:w="1058" w:type="dxa"/>
            <w:shd w:val="clear" w:color="auto" w:fill="auto"/>
            <w:vAlign w:val="center"/>
          </w:tcPr>
          <w:p>
            <w:pPr>
              <w:jc w:val="center"/>
              <w:rPr>
                <w:rFonts w:ascii="宋体" w:hAnsi="宋体" w:eastAsia="宋体" w:cs="宋体"/>
                <w:sz w:val="20"/>
                <w:szCs w:val="20"/>
              </w:rPr>
            </w:pPr>
            <w:r>
              <w:rPr>
                <w:rFonts w:hint="eastAsia" w:ascii="宋体" w:hAnsi="宋体" w:eastAsia="宋体" w:cs="宋体"/>
                <w:sz w:val="20"/>
                <w:szCs w:val="20"/>
              </w:rPr>
              <w:t>1.</w:t>
            </w:r>
            <w:r>
              <w:rPr>
                <w:rFonts w:ascii="宋体" w:hAnsi="宋体" w:eastAsia="宋体" w:cs="宋体"/>
                <w:sz w:val="20"/>
                <w:szCs w:val="20"/>
              </w:rPr>
              <w:t>14</w:t>
            </w:r>
          </w:p>
        </w:tc>
        <w:tc>
          <w:tcPr>
            <w:tcW w:w="1058" w:type="dxa"/>
            <w:shd w:val="clear" w:color="auto" w:fill="auto"/>
            <w:vAlign w:val="center"/>
          </w:tcPr>
          <w:p>
            <w:pPr>
              <w:jc w:val="center"/>
              <w:rPr>
                <w:rFonts w:ascii="宋体" w:hAnsi="宋体" w:eastAsia="宋体" w:cs="宋体"/>
                <w:sz w:val="20"/>
                <w:szCs w:val="20"/>
              </w:rPr>
            </w:pPr>
            <w:r>
              <w:rPr>
                <w:rFonts w:ascii="宋体" w:hAnsi="宋体" w:eastAsia="宋体" w:cs="宋体"/>
                <w:sz w:val="20"/>
                <w:szCs w:val="20"/>
              </w:rPr>
              <w:t>1.48</w:t>
            </w:r>
          </w:p>
        </w:tc>
        <w:tc>
          <w:tcPr>
            <w:tcW w:w="1058" w:type="dxa"/>
            <w:shd w:val="clear" w:color="auto" w:fill="auto"/>
            <w:vAlign w:val="center"/>
          </w:tcPr>
          <w:p>
            <w:pPr>
              <w:jc w:val="center"/>
              <w:rPr>
                <w:rFonts w:ascii="宋体" w:hAnsi="宋体" w:eastAsia="宋体" w:cs="宋体"/>
                <w:sz w:val="20"/>
                <w:szCs w:val="20"/>
              </w:rPr>
            </w:pPr>
            <w:r>
              <w:rPr>
                <w:rFonts w:ascii="宋体" w:hAnsi="宋体" w:eastAsia="宋体" w:cs="宋体"/>
                <w:sz w:val="20"/>
                <w:szCs w:val="20"/>
              </w:rPr>
              <w:t>1.72</w:t>
            </w:r>
          </w:p>
        </w:tc>
        <w:tc>
          <w:tcPr>
            <w:tcW w:w="1058" w:type="dxa"/>
            <w:shd w:val="clear" w:color="auto" w:fill="auto"/>
            <w:vAlign w:val="center"/>
          </w:tcPr>
          <w:p>
            <w:pPr>
              <w:jc w:val="center"/>
              <w:rPr>
                <w:rFonts w:ascii="宋体" w:hAnsi="宋体" w:eastAsia="宋体" w:cs="宋体"/>
                <w:sz w:val="20"/>
                <w:szCs w:val="20"/>
              </w:rPr>
            </w:pPr>
            <w:r>
              <w:rPr>
                <w:rFonts w:ascii="宋体" w:hAnsi="宋体" w:eastAsia="宋体" w:cs="宋体"/>
                <w:sz w:val="20"/>
                <w:szCs w:val="20"/>
              </w:rPr>
              <w:t>1.98</w:t>
            </w:r>
          </w:p>
        </w:tc>
        <w:tc>
          <w:tcPr>
            <w:tcW w:w="1058" w:type="dxa"/>
            <w:shd w:val="clear" w:color="auto" w:fill="auto"/>
            <w:vAlign w:val="center"/>
          </w:tcPr>
          <w:p>
            <w:pPr>
              <w:jc w:val="center"/>
              <w:rPr>
                <w:rFonts w:ascii="宋体" w:hAnsi="宋体" w:eastAsia="宋体" w:cs="宋体"/>
                <w:sz w:val="20"/>
                <w:szCs w:val="20"/>
              </w:rPr>
            </w:pPr>
            <w:r>
              <w:rPr>
                <w:rFonts w:ascii="宋体" w:hAnsi="宋体" w:eastAsia="宋体" w:cs="宋体"/>
                <w:sz w:val="20"/>
                <w:szCs w:val="20"/>
              </w:rPr>
              <w:t>2.36</w:t>
            </w:r>
          </w:p>
        </w:tc>
        <w:tc>
          <w:tcPr>
            <w:tcW w:w="1058" w:type="dxa"/>
            <w:shd w:val="clear" w:color="auto" w:fill="auto"/>
            <w:vAlign w:val="center"/>
          </w:tcPr>
          <w:p>
            <w:pPr>
              <w:jc w:val="center"/>
              <w:rPr>
                <w:rFonts w:ascii="宋体" w:hAnsi="宋体" w:eastAsia="宋体" w:cs="宋体"/>
                <w:sz w:val="20"/>
                <w:szCs w:val="20"/>
              </w:rPr>
            </w:pPr>
            <w:r>
              <w:rPr>
                <w:rFonts w:ascii="宋体" w:hAnsi="宋体" w:eastAsia="宋体" w:cs="宋体"/>
                <w:sz w:val="20"/>
                <w:szCs w:val="20"/>
              </w:rPr>
              <w:t>2.62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34"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光伏装机</w:t>
            </w:r>
          </w:p>
        </w:tc>
        <w:tc>
          <w:tcPr>
            <w:tcW w:w="1058"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1.0</w:t>
            </w:r>
          </w:p>
        </w:tc>
        <w:tc>
          <w:tcPr>
            <w:tcW w:w="1058"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1.0</w:t>
            </w:r>
          </w:p>
        </w:tc>
        <w:tc>
          <w:tcPr>
            <w:tcW w:w="1058"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1.0</w:t>
            </w:r>
          </w:p>
        </w:tc>
        <w:tc>
          <w:tcPr>
            <w:tcW w:w="1058"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1.0</w:t>
            </w:r>
          </w:p>
        </w:tc>
        <w:tc>
          <w:tcPr>
            <w:tcW w:w="1058"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1.0</w:t>
            </w:r>
          </w:p>
        </w:tc>
        <w:tc>
          <w:tcPr>
            <w:tcW w:w="1058"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1.0</w:t>
            </w:r>
          </w:p>
        </w:tc>
        <w:tc>
          <w:tcPr>
            <w:tcW w:w="1058"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34"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开发率</w:t>
            </w:r>
          </w:p>
        </w:tc>
        <w:tc>
          <w:tcPr>
            <w:tcW w:w="1058"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0</w:t>
            </w:r>
          </w:p>
        </w:tc>
        <w:tc>
          <w:tcPr>
            <w:tcW w:w="1058"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0.1</w:t>
            </w:r>
          </w:p>
        </w:tc>
        <w:tc>
          <w:tcPr>
            <w:tcW w:w="1058"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0.2</w:t>
            </w:r>
          </w:p>
        </w:tc>
        <w:tc>
          <w:tcPr>
            <w:tcW w:w="1058"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0.3</w:t>
            </w:r>
          </w:p>
        </w:tc>
        <w:tc>
          <w:tcPr>
            <w:tcW w:w="1058"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0.4</w:t>
            </w:r>
          </w:p>
        </w:tc>
        <w:tc>
          <w:tcPr>
            <w:tcW w:w="1058"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0.5</w:t>
            </w:r>
          </w:p>
        </w:tc>
        <w:tc>
          <w:tcPr>
            <w:tcW w:w="1058"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34"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光伏出力</w:t>
            </w:r>
          </w:p>
        </w:tc>
        <w:tc>
          <w:tcPr>
            <w:tcW w:w="1058"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0</w:t>
            </w:r>
          </w:p>
        </w:tc>
        <w:tc>
          <w:tcPr>
            <w:tcW w:w="1058"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0.01</w:t>
            </w:r>
          </w:p>
        </w:tc>
        <w:tc>
          <w:tcPr>
            <w:tcW w:w="1058"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0.02</w:t>
            </w:r>
          </w:p>
        </w:tc>
        <w:tc>
          <w:tcPr>
            <w:tcW w:w="1058"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0.03</w:t>
            </w:r>
          </w:p>
        </w:tc>
        <w:tc>
          <w:tcPr>
            <w:tcW w:w="1058"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0.04</w:t>
            </w:r>
          </w:p>
        </w:tc>
        <w:tc>
          <w:tcPr>
            <w:tcW w:w="1058"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0.05</w:t>
            </w:r>
          </w:p>
        </w:tc>
        <w:tc>
          <w:tcPr>
            <w:tcW w:w="1058"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34"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电力盈亏</w:t>
            </w:r>
          </w:p>
        </w:tc>
        <w:tc>
          <w:tcPr>
            <w:tcW w:w="1058" w:type="dxa"/>
            <w:shd w:val="clear" w:color="auto" w:fill="auto"/>
            <w:vAlign w:val="center"/>
          </w:tcPr>
          <w:p>
            <w:pPr>
              <w:jc w:val="center"/>
              <w:rPr>
                <w:rFonts w:ascii="宋体" w:hAnsi="宋体" w:eastAsia="宋体"/>
                <w:sz w:val="20"/>
                <w:szCs w:val="20"/>
              </w:rPr>
            </w:pPr>
            <w:r>
              <w:rPr>
                <w:rFonts w:ascii="宋体" w:hAnsi="宋体" w:eastAsia="宋体"/>
                <w:sz w:val="20"/>
                <w:szCs w:val="20"/>
              </w:rPr>
              <w:t>0.91</w:t>
            </w:r>
          </w:p>
        </w:tc>
        <w:tc>
          <w:tcPr>
            <w:tcW w:w="1058" w:type="dxa"/>
            <w:shd w:val="clear" w:color="auto" w:fill="auto"/>
            <w:vAlign w:val="center"/>
          </w:tcPr>
          <w:p>
            <w:pPr>
              <w:jc w:val="center"/>
              <w:rPr>
                <w:rFonts w:ascii="宋体" w:hAnsi="宋体" w:eastAsia="宋体"/>
                <w:sz w:val="20"/>
                <w:szCs w:val="20"/>
              </w:rPr>
            </w:pPr>
            <w:r>
              <w:rPr>
                <w:rFonts w:ascii="宋体" w:hAnsi="宋体" w:eastAsia="宋体"/>
                <w:sz w:val="20"/>
                <w:szCs w:val="20"/>
              </w:rPr>
              <w:t>1.13</w:t>
            </w:r>
          </w:p>
        </w:tc>
        <w:tc>
          <w:tcPr>
            <w:tcW w:w="1058" w:type="dxa"/>
            <w:shd w:val="clear" w:color="auto" w:fill="auto"/>
            <w:vAlign w:val="center"/>
          </w:tcPr>
          <w:p>
            <w:pPr>
              <w:jc w:val="center"/>
              <w:rPr>
                <w:rFonts w:ascii="宋体" w:hAnsi="宋体" w:eastAsia="宋体"/>
                <w:sz w:val="20"/>
                <w:szCs w:val="20"/>
              </w:rPr>
            </w:pPr>
            <w:r>
              <w:rPr>
                <w:rFonts w:ascii="宋体" w:hAnsi="宋体" w:eastAsia="宋体"/>
                <w:sz w:val="20"/>
                <w:szCs w:val="20"/>
              </w:rPr>
              <w:t>1.46</w:t>
            </w:r>
          </w:p>
        </w:tc>
        <w:tc>
          <w:tcPr>
            <w:tcW w:w="1058" w:type="dxa"/>
            <w:shd w:val="clear" w:color="auto" w:fill="auto"/>
            <w:vAlign w:val="center"/>
          </w:tcPr>
          <w:p>
            <w:pPr>
              <w:jc w:val="center"/>
              <w:rPr>
                <w:rFonts w:ascii="宋体" w:hAnsi="宋体" w:eastAsia="宋体"/>
                <w:sz w:val="20"/>
                <w:szCs w:val="20"/>
              </w:rPr>
            </w:pPr>
            <w:r>
              <w:rPr>
                <w:rFonts w:ascii="宋体" w:hAnsi="宋体" w:eastAsia="宋体"/>
                <w:sz w:val="20"/>
                <w:szCs w:val="20"/>
              </w:rPr>
              <w:t>1.69</w:t>
            </w:r>
          </w:p>
        </w:tc>
        <w:tc>
          <w:tcPr>
            <w:tcW w:w="1058" w:type="dxa"/>
            <w:shd w:val="clear" w:color="auto" w:fill="auto"/>
            <w:vAlign w:val="center"/>
          </w:tcPr>
          <w:p>
            <w:pPr>
              <w:jc w:val="center"/>
              <w:rPr>
                <w:rFonts w:ascii="宋体" w:hAnsi="宋体" w:eastAsia="宋体"/>
                <w:sz w:val="20"/>
                <w:szCs w:val="20"/>
              </w:rPr>
            </w:pPr>
            <w:r>
              <w:rPr>
                <w:rFonts w:ascii="宋体" w:hAnsi="宋体" w:eastAsia="宋体"/>
                <w:sz w:val="20"/>
                <w:szCs w:val="20"/>
              </w:rPr>
              <w:t>1.94</w:t>
            </w:r>
          </w:p>
        </w:tc>
        <w:tc>
          <w:tcPr>
            <w:tcW w:w="1058" w:type="dxa"/>
            <w:shd w:val="clear" w:color="auto" w:fill="auto"/>
            <w:vAlign w:val="center"/>
          </w:tcPr>
          <w:p>
            <w:pPr>
              <w:jc w:val="center"/>
              <w:rPr>
                <w:rFonts w:ascii="宋体" w:hAnsi="宋体" w:eastAsia="宋体"/>
                <w:sz w:val="20"/>
                <w:szCs w:val="20"/>
              </w:rPr>
            </w:pPr>
            <w:r>
              <w:rPr>
                <w:rFonts w:ascii="宋体" w:hAnsi="宋体" w:eastAsia="宋体"/>
                <w:sz w:val="20"/>
                <w:szCs w:val="20"/>
              </w:rPr>
              <w:t>2.31</w:t>
            </w:r>
          </w:p>
        </w:tc>
        <w:tc>
          <w:tcPr>
            <w:tcW w:w="1058" w:type="dxa"/>
            <w:shd w:val="clear" w:color="auto" w:fill="auto"/>
            <w:vAlign w:val="center"/>
          </w:tcPr>
          <w:p>
            <w:pPr>
              <w:jc w:val="center"/>
              <w:rPr>
                <w:rFonts w:ascii="宋体" w:hAnsi="宋体" w:eastAsia="宋体"/>
                <w:sz w:val="20"/>
                <w:szCs w:val="20"/>
              </w:rPr>
            </w:pPr>
            <w:r>
              <w:rPr>
                <w:rFonts w:ascii="宋体" w:hAnsi="宋体" w:eastAsia="宋体"/>
                <w:sz w:val="20"/>
                <w:szCs w:val="20"/>
              </w:rPr>
              <w:t>2.52</w:t>
            </w:r>
          </w:p>
        </w:tc>
      </w:tr>
    </w:tbl>
    <w:p>
      <w:pPr>
        <w:pStyle w:val="8"/>
        <w:kinsoku w:val="0"/>
        <w:overflowPunct w:val="0"/>
        <w:spacing w:before="7"/>
        <w:ind w:left="0"/>
        <w:rPr>
          <w:sz w:val="10"/>
          <w:szCs w:val="10"/>
        </w:rPr>
      </w:pP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bookmarkStart w:id="35" w:name="_Toc23169573"/>
      <w:r>
        <w:rPr>
          <w:rFonts w:hint="default" w:ascii="Times New Roman" w:hAnsi="Times New Roman" w:eastAsia="仿宋_GB2312" w:cs="Times New Roman"/>
          <w:sz w:val="32"/>
          <w:szCs w:val="32"/>
        </w:rPr>
        <w:t>3</w:t>
      </w:r>
      <w:r>
        <w:rPr>
          <w:rFonts w:hint="eastAsia" w:ascii="Times New Roman" w:hAnsi="Times New Roman" w:eastAsia="仿宋_GB2312" w:cs="Times New Roman"/>
          <w:sz w:val="32"/>
          <w:szCs w:val="32"/>
        </w:rPr>
        <w:t>．电量平衡分析</w:t>
      </w:r>
      <w:bookmarkEnd w:id="35"/>
    </w:p>
    <w:p>
      <w:pPr>
        <w:pStyle w:val="9"/>
        <w:keepNext w:val="0"/>
        <w:keepLines w:val="0"/>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2020</w:t>
      </w:r>
      <w:r>
        <w:rPr>
          <w:rFonts w:hint="eastAsia" w:ascii="Times New Roman" w:hAnsi="Times New Roman" w:eastAsia="仿宋_GB2312" w:cs="Times New Roman"/>
          <w:sz w:val="32"/>
          <w:szCs w:val="32"/>
        </w:rPr>
        <w:t>年，彩虹智慧创业园增量配电业务改革试点区域需从外部受电</w:t>
      </w:r>
      <w:r>
        <w:rPr>
          <w:rFonts w:hint="default" w:ascii="Times New Roman" w:hAnsi="Times New Roman" w:eastAsia="仿宋_GB2312" w:cs="Times New Roman"/>
          <w:sz w:val="32"/>
          <w:szCs w:val="32"/>
        </w:rPr>
        <w:t>0.46</w:t>
      </w:r>
      <w:r>
        <w:rPr>
          <w:rFonts w:hint="eastAsia" w:ascii="Times New Roman" w:hAnsi="Times New Roman" w:eastAsia="仿宋_GB2312" w:cs="Times New Roman"/>
          <w:sz w:val="32"/>
          <w:szCs w:val="32"/>
        </w:rPr>
        <w:t>亿千瓦时；</w:t>
      </w:r>
      <w:r>
        <w:rPr>
          <w:rFonts w:hint="default" w:ascii="Times New Roman" w:hAnsi="Times New Roman" w:eastAsia="仿宋_GB2312" w:cs="Times New Roman"/>
          <w:sz w:val="32"/>
          <w:szCs w:val="32"/>
        </w:rPr>
        <w:t>2025</w:t>
      </w:r>
      <w:r>
        <w:rPr>
          <w:rFonts w:hint="eastAsia" w:ascii="Times New Roman" w:hAnsi="Times New Roman" w:eastAsia="仿宋_GB2312" w:cs="Times New Roman"/>
          <w:sz w:val="32"/>
          <w:szCs w:val="32"/>
        </w:rPr>
        <w:t>年，彩虹智慧创业园增量配电业务改革试点区域需从外部受电</w:t>
      </w:r>
      <w:r>
        <w:rPr>
          <w:rFonts w:hint="default" w:ascii="Times New Roman" w:hAnsi="Times New Roman" w:eastAsia="仿宋_GB2312" w:cs="Times New Roman"/>
          <w:sz w:val="32"/>
          <w:szCs w:val="32"/>
        </w:rPr>
        <w:t>1.14</w:t>
      </w:r>
      <w:r>
        <w:rPr>
          <w:rFonts w:hint="eastAsia" w:ascii="Times New Roman" w:hAnsi="Times New Roman" w:eastAsia="仿宋_GB2312" w:cs="Times New Roman"/>
          <w:sz w:val="32"/>
          <w:szCs w:val="32"/>
        </w:rPr>
        <w:t>亿千瓦时；</w:t>
      </w:r>
      <w:r>
        <w:rPr>
          <w:rFonts w:hint="default" w:ascii="Times New Roman" w:hAnsi="Times New Roman" w:eastAsia="仿宋_GB2312" w:cs="Times New Roman"/>
          <w:sz w:val="32"/>
          <w:szCs w:val="32"/>
        </w:rPr>
        <w:t>2030</w:t>
      </w:r>
      <w:r>
        <w:rPr>
          <w:rFonts w:hint="eastAsia" w:ascii="Times New Roman" w:hAnsi="Times New Roman" w:eastAsia="仿宋_GB2312" w:cs="Times New Roman"/>
          <w:sz w:val="32"/>
          <w:szCs w:val="32"/>
        </w:rPr>
        <w:t>年，彩虹智慧创业园增量配电业务改革试点区域需从外部受电</w:t>
      </w:r>
      <w:r>
        <w:rPr>
          <w:rFonts w:hint="default" w:ascii="Times New Roman" w:hAnsi="Times New Roman" w:eastAsia="仿宋_GB2312" w:cs="Times New Roman"/>
          <w:sz w:val="32"/>
          <w:szCs w:val="32"/>
        </w:rPr>
        <w:t>1.22</w:t>
      </w:r>
      <w:r>
        <w:rPr>
          <w:rFonts w:hint="eastAsia" w:ascii="Times New Roman" w:hAnsi="Times New Roman" w:eastAsia="仿宋_GB2312" w:cs="Times New Roman"/>
          <w:sz w:val="32"/>
          <w:szCs w:val="32"/>
        </w:rPr>
        <w:t>亿千瓦时。试点区域电量平衡情况见表</w:t>
      </w:r>
      <w:r>
        <w:rPr>
          <w:rFonts w:hint="default" w:ascii="Times New Roman" w:hAnsi="Times New Roman" w:eastAsia="仿宋_GB2312" w:cs="Times New Roman"/>
          <w:sz w:val="32"/>
          <w:szCs w:val="32"/>
        </w:rPr>
        <w:t>4-4</w:t>
      </w:r>
      <w:r>
        <w:rPr>
          <w:rFonts w:hint="eastAsia" w:ascii="Times New Roman" w:hAnsi="Times New Roman" w:eastAsia="仿宋_GB2312" w:cs="Times New Roman"/>
          <w:sz w:val="32"/>
          <w:szCs w:val="32"/>
        </w:rPr>
        <w:t>。</w:t>
      </w:r>
    </w:p>
    <w:p>
      <w:pPr>
        <w:pStyle w:val="9"/>
        <w:keepNext w:val="0"/>
        <w:keepLines w:val="0"/>
        <w:pageBreakBefore w:val="0"/>
        <w:widowControl w:val="0"/>
        <w:kinsoku/>
        <w:wordWrap/>
        <w:overflowPunct/>
        <w:topLinePunct w:val="0"/>
        <w:autoSpaceDE/>
        <w:autoSpaceDN/>
        <w:bidi w:val="0"/>
        <w:adjustRightInd w:val="0"/>
        <w:snapToGrid w:val="0"/>
        <w:spacing w:line="579" w:lineRule="exact"/>
        <w:ind w:firstLine="0"/>
        <w:textAlignment w:val="auto"/>
        <w:rPr>
          <w:rFonts w:ascii="仿宋_GB2312" w:hAnsi="宋体" w:eastAsia="仿宋_GB2312"/>
          <w:szCs w:val="28"/>
        </w:rPr>
      </w:pPr>
      <w:r>
        <w:rPr>
          <w:rFonts w:hint="eastAsia" w:ascii="仿宋_GB2312" w:hAnsi="宋体" w:eastAsia="仿宋_GB2312"/>
          <w:szCs w:val="28"/>
        </w:rPr>
        <w:t>表4-</w:t>
      </w:r>
      <w:r>
        <w:rPr>
          <w:rFonts w:ascii="仿宋_GB2312" w:hAnsi="宋体" w:eastAsia="仿宋_GB2312"/>
          <w:szCs w:val="28"/>
        </w:rPr>
        <w:t xml:space="preserve">4             </w:t>
      </w:r>
      <w:r>
        <w:rPr>
          <w:rFonts w:hint="eastAsia" w:ascii="仿宋_GB2312" w:hAnsi="宋体" w:eastAsia="仿宋_GB2312"/>
          <w:szCs w:val="28"/>
        </w:rPr>
        <w:t xml:space="preserve">试点区域电量平衡情况 </w:t>
      </w:r>
      <w:r>
        <w:rPr>
          <w:rFonts w:ascii="仿宋_GB2312" w:hAnsi="宋体" w:eastAsia="仿宋_GB2312"/>
          <w:szCs w:val="28"/>
        </w:rPr>
        <w:t xml:space="preserve">        </w:t>
      </w:r>
      <w:r>
        <w:rPr>
          <w:rFonts w:hint="eastAsia" w:ascii="仿宋_GB2312" w:hAnsi="宋体" w:eastAsia="仿宋_GB2312"/>
          <w:szCs w:val="28"/>
        </w:rPr>
        <w:t>单位：亿千瓦时</w:t>
      </w:r>
    </w:p>
    <w:tbl>
      <w:tblPr>
        <w:tblStyle w:val="23"/>
        <w:tblW w:w="864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34"/>
        <w:gridCol w:w="956"/>
        <w:gridCol w:w="1075"/>
        <w:gridCol w:w="1075"/>
        <w:gridCol w:w="1075"/>
        <w:gridCol w:w="1075"/>
        <w:gridCol w:w="1075"/>
        <w:gridCol w:w="10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34" w:type="dxa"/>
            <w:tcBorders>
              <w:top w:val="single" w:color="auto" w:sz="12" w:space="0"/>
              <w:bottom w:val="single" w:color="auto" w:sz="4" w:space="0"/>
              <w:tl2br w:val="single" w:color="auto" w:sz="4" w:space="0"/>
            </w:tcBorders>
            <w:shd w:val="clear" w:color="auto" w:fill="auto"/>
            <w:vAlign w:val="center"/>
          </w:tcPr>
          <w:p>
            <w:pPr>
              <w:pStyle w:val="34"/>
              <w:kinsoku w:val="0"/>
              <w:overflowPunct w:val="0"/>
              <w:spacing w:before="63" w:line="200" w:lineRule="exact"/>
              <w:ind w:firstLine="600" w:firstLineChars="300"/>
              <w:rPr>
                <w:rFonts w:ascii="宋体" w:hAnsi="宋体" w:eastAsia="宋体" w:cs="宋体"/>
                <w:sz w:val="20"/>
                <w:szCs w:val="20"/>
              </w:rPr>
            </w:pPr>
            <w:r>
              <w:rPr>
                <w:rFonts w:hint="eastAsia" w:ascii="宋体" w:hAnsi="宋体" w:eastAsia="宋体" w:cs="宋体"/>
                <w:sz w:val="20"/>
                <w:szCs w:val="20"/>
              </w:rPr>
              <w:t>年份</w:t>
            </w:r>
          </w:p>
          <w:p>
            <w:pPr>
              <w:widowControl/>
              <w:ind w:firstLine="200" w:firstLineChars="100"/>
              <w:rPr>
                <w:rFonts w:ascii="宋体" w:hAnsi="宋体" w:eastAsia="宋体" w:cs="宋体"/>
                <w:sz w:val="20"/>
                <w:szCs w:val="20"/>
              </w:rPr>
            </w:pPr>
            <w:r>
              <w:rPr>
                <w:rFonts w:hint="eastAsia" w:ascii="宋体" w:hAnsi="宋体" w:eastAsia="宋体" w:cs="宋体"/>
                <w:sz w:val="20"/>
                <w:szCs w:val="20"/>
              </w:rPr>
              <w:t>项目</w:t>
            </w:r>
          </w:p>
        </w:tc>
        <w:tc>
          <w:tcPr>
            <w:tcW w:w="956"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2020</w:t>
            </w:r>
          </w:p>
        </w:tc>
        <w:tc>
          <w:tcPr>
            <w:tcW w:w="1075"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2021</w:t>
            </w:r>
          </w:p>
        </w:tc>
        <w:tc>
          <w:tcPr>
            <w:tcW w:w="1075"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2022</w:t>
            </w:r>
          </w:p>
        </w:tc>
        <w:tc>
          <w:tcPr>
            <w:tcW w:w="1075"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2023</w:t>
            </w:r>
          </w:p>
        </w:tc>
        <w:tc>
          <w:tcPr>
            <w:tcW w:w="1075"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2024</w:t>
            </w:r>
          </w:p>
        </w:tc>
        <w:tc>
          <w:tcPr>
            <w:tcW w:w="1075"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2025</w:t>
            </w:r>
          </w:p>
        </w:tc>
        <w:tc>
          <w:tcPr>
            <w:tcW w:w="1075"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2030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34" w:type="dxa"/>
            <w:tcBorders>
              <w:top w:val="single" w:color="auto" w:sz="4" w:space="0"/>
            </w:tcBorders>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供电电量</w:t>
            </w:r>
          </w:p>
        </w:tc>
        <w:tc>
          <w:tcPr>
            <w:tcW w:w="956" w:type="dxa"/>
            <w:shd w:val="clear" w:color="auto" w:fill="auto"/>
            <w:vAlign w:val="center"/>
          </w:tcPr>
          <w:p>
            <w:pPr>
              <w:jc w:val="center"/>
              <w:rPr>
                <w:rFonts w:ascii="宋体" w:hAnsi="宋体" w:eastAsia="宋体" w:cs="宋体"/>
                <w:sz w:val="20"/>
                <w:szCs w:val="20"/>
              </w:rPr>
            </w:pPr>
            <w:r>
              <w:rPr>
                <w:rFonts w:hint="eastAsia" w:ascii="宋体" w:hAnsi="宋体" w:eastAsia="宋体" w:cs="宋体"/>
                <w:sz w:val="20"/>
                <w:szCs w:val="20"/>
              </w:rPr>
              <w:t>0.</w:t>
            </w:r>
            <w:r>
              <w:rPr>
                <w:rFonts w:ascii="宋体" w:hAnsi="宋体" w:eastAsia="宋体" w:cs="宋体"/>
                <w:sz w:val="20"/>
                <w:szCs w:val="20"/>
              </w:rPr>
              <w:t>46</w:t>
            </w:r>
          </w:p>
        </w:tc>
        <w:tc>
          <w:tcPr>
            <w:tcW w:w="1075" w:type="dxa"/>
            <w:shd w:val="clear" w:color="auto" w:fill="auto"/>
            <w:vAlign w:val="center"/>
          </w:tcPr>
          <w:p>
            <w:pPr>
              <w:jc w:val="center"/>
              <w:rPr>
                <w:rFonts w:ascii="宋体" w:hAnsi="宋体" w:eastAsia="宋体" w:cs="宋体"/>
                <w:sz w:val="20"/>
                <w:szCs w:val="20"/>
              </w:rPr>
            </w:pPr>
            <w:r>
              <w:rPr>
                <w:rFonts w:hint="eastAsia" w:ascii="宋体" w:hAnsi="宋体" w:eastAsia="宋体" w:cs="宋体"/>
                <w:sz w:val="20"/>
                <w:szCs w:val="20"/>
              </w:rPr>
              <w:t>0.</w:t>
            </w:r>
            <w:r>
              <w:rPr>
                <w:rFonts w:ascii="宋体" w:hAnsi="宋体" w:eastAsia="宋体" w:cs="宋体"/>
                <w:sz w:val="20"/>
                <w:szCs w:val="20"/>
              </w:rPr>
              <w:t>57</w:t>
            </w:r>
          </w:p>
        </w:tc>
        <w:tc>
          <w:tcPr>
            <w:tcW w:w="1075" w:type="dxa"/>
            <w:shd w:val="clear" w:color="auto" w:fill="auto"/>
            <w:vAlign w:val="center"/>
          </w:tcPr>
          <w:p>
            <w:pPr>
              <w:jc w:val="center"/>
              <w:rPr>
                <w:rFonts w:ascii="宋体" w:hAnsi="宋体" w:eastAsia="宋体" w:cs="宋体"/>
                <w:sz w:val="20"/>
                <w:szCs w:val="20"/>
              </w:rPr>
            </w:pPr>
            <w:r>
              <w:rPr>
                <w:rFonts w:ascii="宋体" w:hAnsi="宋体" w:eastAsia="宋体" w:cs="宋体"/>
                <w:sz w:val="20"/>
                <w:szCs w:val="20"/>
              </w:rPr>
              <w:t>0.74</w:t>
            </w:r>
          </w:p>
        </w:tc>
        <w:tc>
          <w:tcPr>
            <w:tcW w:w="1075" w:type="dxa"/>
            <w:shd w:val="clear" w:color="auto" w:fill="auto"/>
            <w:vAlign w:val="center"/>
          </w:tcPr>
          <w:p>
            <w:pPr>
              <w:jc w:val="center"/>
              <w:rPr>
                <w:rFonts w:ascii="宋体" w:hAnsi="宋体" w:eastAsia="宋体" w:cs="宋体"/>
                <w:sz w:val="20"/>
                <w:szCs w:val="20"/>
              </w:rPr>
            </w:pPr>
            <w:r>
              <w:rPr>
                <w:rFonts w:ascii="宋体" w:hAnsi="宋体" w:eastAsia="宋体" w:cs="宋体"/>
                <w:sz w:val="20"/>
                <w:szCs w:val="20"/>
              </w:rPr>
              <w:t>0.86</w:t>
            </w:r>
          </w:p>
        </w:tc>
        <w:tc>
          <w:tcPr>
            <w:tcW w:w="1075" w:type="dxa"/>
            <w:shd w:val="clear" w:color="auto" w:fill="auto"/>
            <w:vAlign w:val="center"/>
          </w:tcPr>
          <w:p>
            <w:pPr>
              <w:jc w:val="center"/>
              <w:rPr>
                <w:rFonts w:ascii="宋体" w:hAnsi="宋体" w:eastAsia="宋体" w:cs="宋体"/>
                <w:sz w:val="20"/>
                <w:szCs w:val="20"/>
              </w:rPr>
            </w:pPr>
            <w:r>
              <w:rPr>
                <w:rFonts w:ascii="宋体" w:hAnsi="宋体" w:eastAsia="宋体" w:cs="宋体"/>
                <w:sz w:val="20"/>
                <w:szCs w:val="20"/>
              </w:rPr>
              <w:t>0.99</w:t>
            </w:r>
          </w:p>
        </w:tc>
        <w:tc>
          <w:tcPr>
            <w:tcW w:w="1075" w:type="dxa"/>
            <w:shd w:val="clear" w:color="auto" w:fill="auto"/>
            <w:vAlign w:val="center"/>
          </w:tcPr>
          <w:p>
            <w:pPr>
              <w:jc w:val="center"/>
              <w:rPr>
                <w:rFonts w:ascii="宋体" w:hAnsi="宋体" w:eastAsia="宋体" w:cs="宋体"/>
                <w:sz w:val="20"/>
                <w:szCs w:val="20"/>
              </w:rPr>
            </w:pPr>
            <w:r>
              <w:rPr>
                <w:rFonts w:hint="eastAsia" w:ascii="宋体" w:hAnsi="宋体" w:eastAsia="宋体" w:cs="宋体"/>
                <w:sz w:val="20"/>
                <w:szCs w:val="20"/>
              </w:rPr>
              <w:t>1.</w:t>
            </w:r>
            <w:r>
              <w:rPr>
                <w:rFonts w:ascii="宋体" w:hAnsi="宋体" w:eastAsia="宋体" w:cs="宋体"/>
                <w:sz w:val="20"/>
                <w:szCs w:val="20"/>
              </w:rPr>
              <w:t>18</w:t>
            </w:r>
          </w:p>
        </w:tc>
        <w:tc>
          <w:tcPr>
            <w:tcW w:w="1075" w:type="dxa"/>
            <w:shd w:val="clear" w:color="auto" w:fill="auto"/>
            <w:vAlign w:val="center"/>
          </w:tcPr>
          <w:p>
            <w:pPr>
              <w:jc w:val="center"/>
              <w:rPr>
                <w:rFonts w:ascii="宋体" w:hAnsi="宋体" w:eastAsia="宋体" w:cs="宋体"/>
                <w:sz w:val="20"/>
                <w:szCs w:val="20"/>
              </w:rPr>
            </w:pPr>
            <w:r>
              <w:rPr>
                <w:rFonts w:hint="eastAsia" w:ascii="宋体" w:hAnsi="宋体" w:eastAsia="宋体" w:cs="宋体"/>
                <w:sz w:val="20"/>
                <w:szCs w:val="20"/>
              </w:rPr>
              <w:t>1.</w:t>
            </w:r>
            <w:r>
              <w:rPr>
                <w:rFonts w:ascii="宋体" w:hAnsi="宋体" w:eastAsia="宋体" w:cs="宋体"/>
                <w:sz w:val="20"/>
                <w:szCs w:val="20"/>
              </w:rPr>
              <w:t>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34"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光伏装机</w:t>
            </w:r>
          </w:p>
        </w:tc>
        <w:tc>
          <w:tcPr>
            <w:tcW w:w="956"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1.0</w:t>
            </w:r>
          </w:p>
        </w:tc>
        <w:tc>
          <w:tcPr>
            <w:tcW w:w="1075"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1.0</w:t>
            </w:r>
          </w:p>
        </w:tc>
        <w:tc>
          <w:tcPr>
            <w:tcW w:w="1075"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1.0</w:t>
            </w:r>
          </w:p>
        </w:tc>
        <w:tc>
          <w:tcPr>
            <w:tcW w:w="1075"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1.0</w:t>
            </w:r>
          </w:p>
        </w:tc>
        <w:tc>
          <w:tcPr>
            <w:tcW w:w="1075"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1.0</w:t>
            </w:r>
          </w:p>
        </w:tc>
        <w:tc>
          <w:tcPr>
            <w:tcW w:w="1075"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1.0</w:t>
            </w:r>
          </w:p>
        </w:tc>
        <w:tc>
          <w:tcPr>
            <w:tcW w:w="1075"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34"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开发率</w:t>
            </w:r>
          </w:p>
        </w:tc>
        <w:tc>
          <w:tcPr>
            <w:tcW w:w="956"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0</w:t>
            </w:r>
          </w:p>
        </w:tc>
        <w:tc>
          <w:tcPr>
            <w:tcW w:w="1075"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0.1</w:t>
            </w:r>
          </w:p>
        </w:tc>
        <w:tc>
          <w:tcPr>
            <w:tcW w:w="1075"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0.2</w:t>
            </w:r>
          </w:p>
        </w:tc>
        <w:tc>
          <w:tcPr>
            <w:tcW w:w="1075"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0.3</w:t>
            </w:r>
          </w:p>
        </w:tc>
        <w:tc>
          <w:tcPr>
            <w:tcW w:w="1075"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0.4</w:t>
            </w:r>
          </w:p>
        </w:tc>
        <w:tc>
          <w:tcPr>
            <w:tcW w:w="1075"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0.5</w:t>
            </w:r>
          </w:p>
        </w:tc>
        <w:tc>
          <w:tcPr>
            <w:tcW w:w="1075"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34"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利用小时</w:t>
            </w:r>
          </w:p>
        </w:tc>
        <w:tc>
          <w:tcPr>
            <w:tcW w:w="956"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900</w:t>
            </w:r>
          </w:p>
        </w:tc>
        <w:tc>
          <w:tcPr>
            <w:tcW w:w="1075"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900</w:t>
            </w:r>
          </w:p>
        </w:tc>
        <w:tc>
          <w:tcPr>
            <w:tcW w:w="1075"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900</w:t>
            </w:r>
          </w:p>
        </w:tc>
        <w:tc>
          <w:tcPr>
            <w:tcW w:w="1075"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900</w:t>
            </w:r>
          </w:p>
        </w:tc>
        <w:tc>
          <w:tcPr>
            <w:tcW w:w="1075"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900</w:t>
            </w:r>
          </w:p>
        </w:tc>
        <w:tc>
          <w:tcPr>
            <w:tcW w:w="1075"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900</w:t>
            </w:r>
          </w:p>
        </w:tc>
        <w:tc>
          <w:tcPr>
            <w:tcW w:w="1075"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34"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电量盈亏</w:t>
            </w:r>
          </w:p>
        </w:tc>
        <w:tc>
          <w:tcPr>
            <w:tcW w:w="956" w:type="dxa"/>
            <w:shd w:val="clear" w:color="auto" w:fill="auto"/>
            <w:vAlign w:val="center"/>
          </w:tcPr>
          <w:p>
            <w:pPr>
              <w:jc w:val="center"/>
              <w:rPr>
                <w:rFonts w:ascii="宋体" w:hAnsi="宋体" w:eastAsia="宋体"/>
                <w:sz w:val="20"/>
                <w:szCs w:val="20"/>
              </w:rPr>
            </w:pPr>
            <w:r>
              <w:rPr>
                <w:rFonts w:hint="eastAsia" w:ascii="宋体" w:hAnsi="宋体" w:eastAsia="宋体"/>
                <w:sz w:val="20"/>
                <w:szCs w:val="20"/>
              </w:rPr>
              <w:t>0.</w:t>
            </w:r>
            <w:r>
              <w:rPr>
                <w:rFonts w:ascii="宋体" w:hAnsi="宋体" w:eastAsia="宋体"/>
                <w:sz w:val="20"/>
                <w:szCs w:val="20"/>
              </w:rPr>
              <w:t>46</w:t>
            </w:r>
          </w:p>
        </w:tc>
        <w:tc>
          <w:tcPr>
            <w:tcW w:w="1075" w:type="dxa"/>
            <w:shd w:val="clear" w:color="auto" w:fill="auto"/>
            <w:vAlign w:val="center"/>
          </w:tcPr>
          <w:p>
            <w:pPr>
              <w:jc w:val="center"/>
              <w:rPr>
                <w:rFonts w:ascii="宋体" w:hAnsi="宋体" w:eastAsia="宋体"/>
                <w:sz w:val="20"/>
                <w:szCs w:val="20"/>
              </w:rPr>
            </w:pPr>
            <w:r>
              <w:rPr>
                <w:rFonts w:hint="eastAsia" w:ascii="宋体" w:hAnsi="宋体" w:eastAsia="宋体"/>
                <w:sz w:val="20"/>
                <w:szCs w:val="20"/>
              </w:rPr>
              <w:t>0.</w:t>
            </w:r>
            <w:r>
              <w:rPr>
                <w:rFonts w:ascii="宋体" w:hAnsi="宋体" w:eastAsia="宋体"/>
                <w:sz w:val="20"/>
                <w:szCs w:val="20"/>
              </w:rPr>
              <w:t>56</w:t>
            </w:r>
          </w:p>
        </w:tc>
        <w:tc>
          <w:tcPr>
            <w:tcW w:w="1075" w:type="dxa"/>
            <w:shd w:val="clear" w:color="auto" w:fill="auto"/>
            <w:vAlign w:val="center"/>
          </w:tcPr>
          <w:p>
            <w:pPr>
              <w:jc w:val="center"/>
              <w:rPr>
                <w:rFonts w:ascii="宋体" w:hAnsi="宋体" w:eastAsia="宋体"/>
                <w:sz w:val="20"/>
                <w:szCs w:val="20"/>
              </w:rPr>
            </w:pPr>
            <w:r>
              <w:rPr>
                <w:rFonts w:hint="eastAsia" w:ascii="宋体" w:hAnsi="宋体" w:eastAsia="宋体"/>
                <w:sz w:val="20"/>
                <w:szCs w:val="20"/>
              </w:rPr>
              <w:t>0.</w:t>
            </w:r>
            <w:r>
              <w:rPr>
                <w:rFonts w:ascii="宋体" w:hAnsi="宋体" w:eastAsia="宋体"/>
                <w:sz w:val="20"/>
                <w:szCs w:val="20"/>
              </w:rPr>
              <w:t>73</w:t>
            </w:r>
          </w:p>
        </w:tc>
        <w:tc>
          <w:tcPr>
            <w:tcW w:w="1075" w:type="dxa"/>
            <w:shd w:val="clear" w:color="auto" w:fill="auto"/>
            <w:vAlign w:val="center"/>
          </w:tcPr>
          <w:p>
            <w:pPr>
              <w:jc w:val="center"/>
              <w:rPr>
                <w:rFonts w:ascii="宋体" w:hAnsi="宋体" w:eastAsia="宋体"/>
                <w:sz w:val="20"/>
                <w:szCs w:val="20"/>
              </w:rPr>
            </w:pPr>
            <w:r>
              <w:rPr>
                <w:rFonts w:hint="eastAsia" w:ascii="宋体" w:hAnsi="宋体" w:eastAsia="宋体"/>
                <w:sz w:val="20"/>
                <w:szCs w:val="20"/>
              </w:rPr>
              <w:t>0.</w:t>
            </w:r>
            <w:r>
              <w:rPr>
                <w:rFonts w:ascii="宋体" w:hAnsi="宋体" w:eastAsia="宋体"/>
                <w:sz w:val="20"/>
                <w:szCs w:val="20"/>
              </w:rPr>
              <w:t>84</w:t>
            </w:r>
          </w:p>
        </w:tc>
        <w:tc>
          <w:tcPr>
            <w:tcW w:w="1075" w:type="dxa"/>
            <w:shd w:val="clear" w:color="auto" w:fill="auto"/>
            <w:vAlign w:val="center"/>
          </w:tcPr>
          <w:p>
            <w:pPr>
              <w:jc w:val="center"/>
              <w:rPr>
                <w:rFonts w:ascii="宋体" w:hAnsi="宋体" w:eastAsia="宋体"/>
                <w:sz w:val="20"/>
                <w:szCs w:val="20"/>
              </w:rPr>
            </w:pPr>
            <w:r>
              <w:rPr>
                <w:rFonts w:ascii="宋体" w:hAnsi="宋体" w:eastAsia="宋体"/>
                <w:sz w:val="20"/>
                <w:szCs w:val="20"/>
              </w:rPr>
              <w:t>0.96</w:t>
            </w:r>
          </w:p>
        </w:tc>
        <w:tc>
          <w:tcPr>
            <w:tcW w:w="1075" w:type="dxa"/>
            <w:shd w:val="clear" w:color="auto" w:fill="auto"/>
            <w:vAlign w:val="center"/>
          </w:tcPr>
          <w:p>
            <w:pPr>
              <w:jc w:val="center"/>
              <w:rPr>
                <w:rFonts w:ascii="宋体" w:hAnsi="宋体" w:eastAsia="宋体"/>
                <w:sz w:val="20"/>
                <w:szCs w:val="20"/>
              </w:rPr>
            </w:pPr>
            <w:r>
              <w:rPr>
                <w:rFonts w:ascii="宋体" w:hAnsi="宋体" w:eastAsia="宋体"/>
                <w:sz w:val="20"/>
                <w:szCs w:val="20"/>
              </w:rPr>
              <w:t>1.14</w:t>
            </w:r>
          </w:p>
        </w:tc>
        <w:tc>
          <w:tcPr>
            <w:tcW w:w="1075" w:type="dxa"/>
            <w:shd w:val="clear" w:color="auto" w:fill="auto"/>
            <w:vAlign w:val="center"/>
          </w:tcPr>
          <w:p>
            <w:pPr>
              <w:jc w:val="center"/>
              <w:rPr>
                <w:rFonts w:ascii="宋体" w:hAnsi="宋体" w:eastAsia="宋体"/>
                <w:sz w:val="20"/>
                <w:szCs w:val="20"/>
              </w:rPr>
            </w:pPr>
            <w:r>
              <w:rPr>
                <w:rFonts w:ascii="宋体" w:hAnsi="宋体" w:eastAsia="宋体"/>
                <w:sz w:val="20"/>
                <w:szCs w:val="20"/>
              </w:rPr>
              <w:t>1.22</w:t>
            </w:r>
          </w:p>
        </w:tc>
      </w:tr>
    </w:tbl>
    <w:p>
      <w:pPr>
        <w:pStyle w:val="2"/>
        <w:pageBreakBefore w:val="0"/>
        <w:widowControl w:val="0"/>
        <w:kinsoku/>
        <w:wordWrap/>
        <w:overflowPunct/>
        <w:topLinePunct w:val="0"/>
        <w:autoSpaceDE/>
        <w:autoSpaceDN/>
        <w:bidi w:val="0"/>
        <w:spacing w:before="0" w:beforeLines="0" w:after="0" w:afterLines="0" w:line="579" w:lineRule="exact"/>
        <w:ind w:left="0" w:firstLine="640" w:firstLineChars="200"/>
        <w:textAlignment w:val="auto"/>
        <w:rPr>
          <w:rFonts w:hint="default" w:ascii="Times New Roman" w:hAnsi="Times New Roman" w:cs="Times New Roman"/>
          <w:b w:val="0"/>
          <w:sz w:val="32"/>
          <w:szCs w:val="32"/>
        </w:rPr>
      </w:pPr>
      <w:bookmarkStart w:id="36" w:name="bookmark16"/>
      <w:bookmarkEnd w:id="36"/>
      <w:bookmarkStart w:id="37" w:name="_Toc23169574"/>
      <w:r>
        <w:rPr>
          <w:rFonts w:hint="default" w:ascii="Times New Roman" w:hAnsi="Times New Roman" w:cs="Times New Roman"/>
          <w:b w:val="0"/>
          <w:sz w:val="32"/>
          <w:szCs w:val="32"/>
        </w:rPr>
        <w:t>五、总体要求</w:t>
      </w:r>
      <w:bookmarkEnd w:id="37"/>
    </w:p>
    <w:p>
      <w:pPr>
        <w:pStyle w:val="3"/>
        <w:pageBreakBefore w:val="0"/>
        <w:widowControl w:val="0"/>
        <w:kinsoku/>
        <w:wordWrap/>
        <w:overflowPunct/>
        <w:topLinePunct w:val="0"/>
        <w:autoSpaceDE/>
        <w:autoSpaceDN/>
        <w:bidi w:val="0"/>
        <w:spacing w:before="0" w:beforeLines="0" w:after="0" w:afterLines="0" w:line="579" w:lineRule="exact"/>
        <w:ind w:firstLine="643" w:firstLineChars="200"/>
        <w:textAlignment w:val="auto"/>
        <w:rPr>
          <w:rFonts w:hint="eastAsia" w:ascii="楷体_GB2312" w:hAnsi="楷体_GB2312" w:eastAsia="楷体_GB2312" w:cs="楷体_GB2312"/>
          <w:b/>
          <w:bCs w:val="0"/>
          <w:sz w:val="32"/>
          <w:szCs w:val="32"/>
        </w:rPr>
      </w:pPr>
      <w:bookmarkStart w:id="38" w:name="bookmark17"/>
      <w:bookmarkEnd w:id="38"/>
      <w:bookmarkStart w:id="39" w:name="_Toc23169575"/>
      <w:r>
        <w:rPr>
          <w:rFonts w:hint="eastAsia" w:ascii="楷体_GB2312" w:hAnsi="楷体_GB2312" w:eastAsia="楷体_GB2312" w:cs="楷体_GB2312"/>
          <w:b/>
          <w:bCs w:val="0"/>
          <w:sz w:val="32"/>
          <w:szCs w:val="32"/>
        </w:rPr>
        <w:t>（一）指导思想</w:t>
      </w:r>
      <w:bookmarkEnd w:id="39"/>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以《中共中央国务院关于进一步深化电力体制改革的若干意见》（中发〔2015〕9号）和《国家发展改革委关于加快配电网建设改造的指导意见》（发改能源〔2015〕1899号）为指导，不断深化电力体制改革，牢固树立和贯彻落实创新、协调、绿色、开发、共享的发展理念,紧紧围绕国家清洁能源示范省建设，以保障用电安全为核心，以满足用电需求、提高供电质量、促进智能互联为目标，坚持统一规划、统一标准，着力解决配电网薄弱问题，提高新能源接纳能力，提升配电网发展质量，构筑安全稳定、清洁高效、多元互补的增量配电网供电体系，满足企业用户发展对电力的需求；推动装备提升与科技创新，加快建设现代配电网络设施与服务体系，为全面建成小康社会宏伟目标提供有力保</w:t>
      </w:r>
      <w:bookmarkStart w:id="40" w:name="bookmark18"/>
      <w:bookmarkEnd w:id="40"/>
      <w:r>
        <w:rPr>
          <w:rFonts w:hint="default" w:ascii="Times New Roman" w:hAnsi="Times New Roman" w:eastAsia="仿宋_GB2312" w:cs="Times New Roman"/>
          <w:sz w:val="32"/>
          <w:szCs w:val="32"/>
        </w:rPr>
        <w:t>障。</w:t>
      </w:r>
    </w:p>
    <w:p>
      <w:pPr>
        <w:pStyle w:val="3"/>
        <w:pageBreakBefore w:val="0"/>
        <w:widowControl w:val="0"/>
        <w:kinsoku/>
        <w:wordWrap/>
        <w:overflowPunct/>
        <w:topLinePunct w:val="0"/>
        <w:autoSpaceDE/>
        <w:autoSpaceDN/>
        <w:bidi w:val="0"/>
        <w:spacing w:before="0" w:beforeLines="0" w:after="0" w:afterLines="0" w:line="579" w:lineRule="exact"/>
        <w:ind w:firstLine="643" w:firstLineChars="200"/>
        <w:textAlignment w:val="auto"/>
        <w:rPr>
          <w:rFonts w:hint="eastAsia" w:ascii="楷体_GB2312" w:hAnsi="楷体_GB2312" w:eastAsia="楷体_GB2312" w:cs="楷体_GB2312"/>
          <w:b/>
          <w:bCs w:val="0"/>
          <w:sz w:val="32"/>
          <w:szCs w:val="32"/>
        </w:rPr>
      </w:pPr>
      <w:bookmarkStart w:id="41" w:name="_Toc23169576"/>
      <w:r>
        <w:rPr>
          <w:rFonts w:hint="eastAsia" w:ascii="楷体_GB2312" w:hAnsi="楷体_GB2312" w:eastAsia="楷体_GB2312" w:cs="楷体_GB2312"/>
          <w:b/>
          <w:bCs w:val="0"/>
          <w:sz w:val="32"/>
          <w:szCs w:val="32"/>
        </w:rPr>
        <w:t>（二）基本原则</w:t>
      </w:r>
      <w:bookmarkEnd w:id="41"/>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根据现行行政区划,结合试点区域实际情况,以试点区域边界清晰、无交叉供电、无重复建设为原则进行规划。</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合理规划，安全发展。坚持增量配电网高效规划的原则，为用户发展留有适当裕度，保障电力消费的合理需求。以用户安全可靠用电为核心，全面提升供电保障能力与供电服务水平。科学制定远景目标网架，远近衔接、分步实施。</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优化结构，清洁发展。以提高能源利用效率为核心，以倡导绿色生产方式和消费模式为抓手，优化增量配电网结构，满足试点区域屋顶光伏、电动汽车、储能等接入。</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加强统筹，协调发展。把不断提高企业用户用能条件作为增量配电网发展的根本出发点和落脚点，统筹电力设施建设和布局，努力实现增量配电网发展与社会经济发展和节能环保相协调、电力设施建设与土地利用及城乡建设相协调，实现增量配电网的协调可持续发展。</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完善模式，高效发展。建立试点区域增量配电网高效发展相关机制，探索完善增量配电网发展的盈利模式，充分利用电力体制改革释放的用户红利，提高效率。</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科技支撑、创新发展。灵活先进，智能环保。推广应用新技术、新材料、新设备，提升智能化水平；充分满足新能源、分布式电源和多元化负荷的灵活接入与高效利用，提高核心竞争力，降低用户用能成本。</w:t>
      </w:r>
    </w:p>
    <w:p>
      <w:pPr>
        <w:pStyle w:val="3"/>
        <w:pageBreakBefore w:val="0"/>
        <w:widowControl w:val="0"/>
        <w:kinsoku/>
        <w:wordWrap/>
        <w:overflowPunct/>
        <w:topLinePunct w:val="0"/>
        <w:autoSpaceDE/>
        <w:autoSpaceDN/>
        <w:bidi w:val="0"/>
        <w:spacing w:before="0" w:beforeLines="0" w:after="0" w:afterLines="0" w:line="579" w:lineRule="exact"/>
        <w:ind w:firstLine="643" w:firstLineChars="200"/>
        <w:textAlignment w:val="auto"/>
        <w:rPr>
          <w:rFonts w:hint="eastAsia" w:ascii="楷体_GB2312" w:hAnsi="楷体_GB2312" w:eastAsia="楷体_GB2312" w:cs="楷体_GB2312"/>
          <w:b/>
          <w:bCs w:val="0"/>
          <w:sz w:val="32"/>
          <w:szCs w:val="32"/>
        </w:rPr>
      </w:pPr>
      <w:bookmarkStart w:id="42" w:name="bookmark19"/>
      <w:bookmarkEnd w:id="42"/>
      <w:bookmarkStart w:id="43" w:name="_Toc23169577"/>
      <w:r>
        <w:rPr>
          <w:rFonts w:hint="eastAsia" w:ascii="楷体_GB2312" w:hAnsi="楷体_GB2312" w:eastAsia="楷体_GB2312" w:cs="楷体_GB2312"/>
          <w:b/>
          <w:bCs w:val="0"/>
          <w:sz w:val="32"/>
          <w:szCs w:val="32"/>
        </w:rPr>
        <w:t>（三）发展目标</w:t>
      </w:r>
      <w:bookmarkEnd w:id="43"/>
    </w:p>
    <w:p>
      <w:pPr>
        <w:pStyle w:val="4"/>
        <w:pageBreakBefore w:val="0"/>
        <w:widowControl w:val="0"/>
        <w:kinsoku/>
        <w:wordWrap/>
        <w:overflowPunct/>
        <w:topLinePunct w:val="0"/>
        <w:autoSpaceDE/>
        <w:autoSpaceDN/>
        <w:bidi w:val="0"/>
        <w:spacing w:before="0" w:beforeLines="0" w:after="0" w:afterLines="0" w:line="579" w:lineRule="exact"/>
        <w:ind w:left="0" w:firstLine="640" w:firstLineChars="200"/>
        <w:textAlignment w:val="auto"/>
        <w:rPr>
          <w:rFonts w:hint="default" w:ascii="Times New Roman" w:hAnsi="Times New Roman" w:eastAsia="仿宋_GB2312" w:cs="Times New Roman"/>
          <w:sz w:val="32"/>
          <w:szCs w:val="32"/>
        </w:rPr>
      </w:pPr>
      <w:bookmarkStart w:id="44" w:name="_Toc23169578"/>
      <w:r>
        <w:rPr>
          <w:rFonts w:hint="default" w:ascii="Times New Roman" w:hAnsi="Times New Roman" w:eastAsia="仿宋_GB2312" w:cs="Times New Roman"/>
          <w:sz w:val="32"/>
          <w:szCs w:val="32"/>
        </w:rPr>
        <w:t>1．总体发展目标</w:t>
      </w:r>
      <w:bookmarkEnd w:id="44"/>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以“安全、经济、可靠、清洁”为基本原则，加强增量配电网规划建设，完善电网结构，构成以增量配电网35千伏变电站为受电电源点，以增量配电网10千伏电网为供电网架的增量配电网络体系，实现“电源容量充足、网架坚强可靠、运行方式灵活、设备先进规范”的现代化配电网。</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（1）电源容量充足</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根据负荷增长情况，适时推进试点区域内35千伏变电站和屋顶光伏的建设。</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（2）网架坚强可靠</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电网网架规划建设应遵循高一级电压网络完善、低一级电压网络简化、相互支撑的原则，满足线路及主变“N-1”的准则，输电线路及变电站主变容量应留有充盈的裕度。</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（3）电网运行灵活</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满足调度运行中可能发生的各种运行方式下潮流变化的要求，充分考虑远景屋顶光伏建设和负荷预测的各种可能变化，适应电网近、远期发展，变电站的建设需满足“智能化、自动化、信息化”要求。10千伏电网应具有相互支持的能力，便于负荷转移、电网重构和电网自愈。</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（4）设备先进规范</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设备选型应遵循标准化、小型化、无油化、绝缘化、微机化、智能化的原则，电气设备均采用技术先进、成熟可靠、自动化程度高的设备，主设备选用国内领先或国际先进的产品。</w:t>
      </w:r>
    </w:p>
    <w:p>
      <w:pPr>
        <w:pStyle w:val="4"/>
        <w:pageBreakBefore w:val="0"/>
        <w:widowControl w:val="0"/>
        <w:kinsoku/>
        <w:wordWrap/>
        <w:overflowPunct/>
        <w:topLinePunct w:val="0"/>
        <w:autoSpaceDE/>
        <w:autoSpaceDN/>
        <w:bidi w:val="0"/>
        <w:spacing w:before="0" w:beforeLines="0" w:after="0" w:afterLines="0" w:line="579" w:lineRule="exact"/>
        <w:ind w:left="0" w:firstLine="640" w:firstLineChars="200"/>
        <w:textAlignment w:val="auto"/>
        <w:rPr>
          <w:rFonts w:hint="default" w:ascii="Times New Roman" w:hAnsi="Times New Roman" w:cs="Times New Roman"/>
        </w:rPr>
      </w:pPr>
      <w:bookmarkStart w:id="45" w:name="_Toc23169579"/>
      <w:r>
        <w:rPr>
          <w:rFonts w:hint="default" w:ascii="Times New Roman" w:hAnsi="Times New Roman" w:eastAsia="仿宋_GB2312" w:cs="Times New Roman"/>
          <w:sz w:val="32"/>
          <w:szCs w:val="32"/>
        </w:rPr>
        <w:t>2．主要技术指标规划目标</w:t>
      </w:r>
      <w:bookmarkEnd w:id="45"/>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（1）供电区域划分</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国家发展和改革委关于加快配电网建设改造的指导意见》，针对中心城市（区）、城镇地区和乡村地区提出不同的建设意见及发展目标。本次规划试点区域位于龙港市，是浙江省辖县级市。按照《DL/T5729-2016</w:t>
      </w:r>
      <w:r>
        <w:rPr>
          <w:rFonts w:hint="eastAsia" w:asci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配电网规划设计技术导则》，依据行政级别及未来负荷发展情况，考虑将试点区域划分为B类供电区。</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（2）供电可靠性目标</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1）依据《DL/T5729-2016配电网规划设计技术导则》供电安全标准的相关规定：B类供电区域的故障线路的非故障段应在3小时内恢复供电。</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cs="Times New Roman"/>
          <w:sz w:val="20"/>
          <w:szCs w:val="20"/>
        </w:rPr>
      </w:pPr>
      <w:r>
        <w:rPr>
          <w:rFonts w:hint="default" w:ascii="Times New Roman" w:hAnsi="Times New Roman" w:eastAsia="仿宋_GB2312" w:cs="Times New Roman"/>
          <w:sz w:val="32"/>
          <w:szCs w:val="32"/>
        </w:rPr>
        <w:t>2）根据《关于抓紧编制并上报各增量配电网“十三五”建设发展规划的通知》（浙发改办能源〔2017〕126号），到2020年，供电可靠率应达到99.95%，综合电压合格率应达到99.7%。</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3）供电能力与负荷增长相匹配并适当超前，具备一定的供电裕度，满足区块负荷的增长需求。电网供电设备均满足“N-1”标准。</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因此，本规划综合上述可靠性指标相关依据，提出规划供电可靠性目标如下：试点区域用户年停电时间不高于3小时，供电可靠率≥99.95%，综合电压合格率≥99.7%，电网供电设备均满足“N-1”标准。</w:t>
      </w:r>
    </w:p>
    <w:p>
      <w:pPr>
        <w:pStyle w:val="3"/>
        <w:pageBreakBefore w:val="0"/>
        <w:widowControl w:val="0"/>
        <w:kinsoku/>
        <w:wordWrap/>
        <w:overflowPunct/>
        <w:topLinePunct w:val="0"/>
        <w:autoSpaceDE/>
        <w:autoSpaceDN/>
        <w:bidi w:val="0"/>
        <w:spacing w:before="0" w:beforeLines="0" w:after="0" w:afterLines="0" w:line="579" w:lineRule="exact"/>
        <w:ind w:firstLine="643" w:firstLineChars="200"/>
        <w:textAlignment w:val="auto"/>
        <w:rPr>
          <w:rFonts w:hint="default" w:ascii="楷体_GB2312" w:hAnsi="楷体_GB2312" w:eastAsia="楷体_GB2312" w:cs="楷体_GB2312"/>
          <w:b/>
          <w:bCs w:val="0"/>
          <w:sz w:val="32"/>
          <w:szCs w:val="32"/>
        </w:rPr>
      </w:pPr>
      <w:bookmarkStart w:id="46" w:name="bookmark20"/>
      <w:bookmarkEnd w:id="46"/>
      <w:bookmarkStart w:id="47" w:name="_Toc23169580"/>
      <w:r>
        <w:rPr>
          <w:rFonts w:hint="default" w:ascii="楷体_GB2312" w:hAnsi="楷体_GB2312" w:eastAsia="楷体_GB2312" w:cs="楷体_GB2312"/>
          <w:b/>
          <w:bCs w:val="0"/>
          <w:sz w:val="32"/>
          <w:szCs w:val="32"/>
        </w:rPr>
        <w:t>（四）规划思路</w:t>
      </w:r>
      <w:bookmarkEnd w:id="47"/>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（1）用户安全可靠供电与增量配电网高效经济发展相辅相成</w:t>
      </w:r>
      <w:r>
        <w:rPr>
          <w:rFonts w:hint="eastAsia" w:ascii="Times New Roman" w:eastAsia="仿宋_GB2312" w:cs="Times New Roman"/>
          <w:sz w:val="32"/>
          <w:szCs w:val="32"/>
          <w:lang w:eastAsia="zh-CN"/>
        </w:rPr>
        <w:t>。</w:t>
      </w:r>
      <w:r>
        <w:rPr>
          <w:rFonts w:hint="default" w:ascii="Times New Roman" w:hAnsi="Times New Roman" w:eastAsia="仿宋_GB2312" w:cs="Times New Roman"/>
          <w:sz w:val="32"/>
          <w:szCs w:val="32"/>
        </w:rPr>
        <w:t>增量配电网作为国家电力体制改革的重要组成部分，对用户的安全可靠供电是重中之重。同时，建设高效、经济的增量配电网，探索创新增量配电网的盈利模式，是增量配电网稳步发展的推动力。</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（2）着重考虑与政府相关规划的衔接</w:t>
      </w:r>
      <w:r>
        <w:rPr>
          <w:rFonts w:hint="eastAsia" w:ascii="Times New Roman" w:eastAsia="仿宋_GB2312" w:cs="Times New Roman"/>
          <w:sz w:val="32"/>
          <w:szCs w:val="32"/>
          <w:lang w:eastAsia="zh-CN"/>
        </w:rPr>
        <w:t>。</w:t>
      </w:r>
      <w:r>
        <w:rPr>
          <w:rFonts w:hint="default" w:ascii="Times New Roman" w:hAnsi="Times New Roman" w:eastAsia="仿宋_GB2312" w:cs="Times New Roman"/>
          <w:sz w:val="32"/>
          <w:szCs w:val="32"/>
        </w:rPr>
        <w:t>认真研究政府相关规划，以政府相关规划为主要依据，综合考虑各种因素的影响，合理选择增量配电网建设资源及时序安排。</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（3）充分考虑与试点区域外部电网规划的衔接</w:t>
      </w:r>
      <w:r>
        <w:rPr>
          <w:rFonts w:hint="eastAsia" w:ascii="Times New Roman" w:eastAsia="仿宋_GB2312" w:cs="Times New Roman"/>
          <w:sz w:val="32"/>
          <w:szCs w:val="32"/>
          <w:lang w:eastAsia="zh-CN"/>
        </w:rPr>
        <w:t>。</w:t>
      </w:r>
      <w:r>
        <w:rPr>
          <w:rFonts w:hint="default" w:ascii="Times New Roman" w:hAnsi="Times New Roman" w:eastAsia="仿宋_GB2312" w:cs="Times New Roman"/>
          <w:sz w:val="32"/>
          <w:szCs w:val="32"/>
        </w:rPr>
        <w:t>增量配电网的规划建设时序较长，规划电网结构的选择、线路路径的选取需考虑与远景电网规划方案的过渡和衔接，考虑与外部公共电网的相互关系，需充分利用现有资源，尽量避免重复建设和浪费，避免出现交叉供电等情况。</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cs="Times New Roman"/>
          <w:sz w:val="20"/>
          <w:szCs w:val="20"/>
        </w:rPr>
      </w:pPr>
      <w:r>
        <w:rPr>
          <w:rFonts w:hint="default" w:ascii="Times New Roman" w:hAnsi="Times New Roman" w:eastAsia="仿宋_GB2312" w:cs="Times New Roman"/>
          <w:sz w:val="32"/>
          <w:szCs w:val="32"/>
        </w:rPr>
        <w:t>（4）以由远及近的观念进行增量配电网规划</w:t>
      </w:r>
      <w:r>
        <w:rPr>
          <w:rFonts w:hint="eastAsia" w:ascii="Times New Roman" w:eastAsia="仿宋_GB2312" w:cs="Times New Roman"/>
          <w:sz w:val="32"/>
          <w:szCs w:val="32"/>
          <w:lang w:eastAsia="zh-CN"/>
        </w:rPr>
        <w:t>。</w:t>
      </w:r>
      <w:r>
        <w:rPr>
          <w:rFonts w:hint="default" w:ascii="Times New Roman" w:hAnsi="Times New Roman" w:eastAsia="仿宋_GB2312" w:cs="Times New Roman"/>
          <w:sz w:val="32"/>
          <w:szCs w:val="32"/>
        </w:rPr>
        <w:t>电网规划要满足系统安全稳定、网络坚强可靠、电网运行灵活、设备先进规范的技术要求，适应远景饱和负荷发展要求。在建设过程中，要综合考虑具体建设实施情况以及不同负荷水平年之间电网的平滑过渡和衔接，以由远及近的理念进行增量配电网规划。</w:t>
      </w:r>
    </w:p>
    <w:p>
      <w:pPr>
        <w:pStyle w:val="2"/>
        <w:pageBreakBefore w:val="0"/>
        <w:widowControl w:val="0"/>
        <w:kinsoku/>
        <w:wordWrap/>
        <w:overflowPunct/>
        <w:topLinePunct w:val="0"/>
        <w:autoSpaceDE/>
        <w:autoSpaceDN/>
        <w:bidi w:val="0"/>
        <w:spacing w:before="0" w:beforeLines="0" w:after="0" w:afterLines="0" w:line="579" w:lineRule="exact"/>
        <w:ind w:left="0" w:firstLine="640" w:firstLineChars="200"/>
        <w:textAlignment w:val="auto"/>
        <w:rPr>
          <w:rFonts w:hint="default" w:ascii="Times New Roman" w:hAnsi="Times New Roman" w:cs="Times New Roman"/>
          <w:b w:val="0"/>
          <w:sz w:val="32"/>
          <w:szCs w:val="32"/>
        </w:rPr>
      </w:pPr>
      <w:bookmarkStart w:id="48" w:name="bookmark21"/>
      <w:bookmarkEnd w:id="48"/>
      <w:bookmarkStart w:id="49" w:name="_Toc23169581"/>
      <w:r>
        <w:rPr>
          <w:rFonts w:hint="default" w:ascii="Times New Roman" w:hAnsi="Times New Roman" w:cs="Times New Roman"/>
          <w:b w:val="0"/>
          <w:sz w:val="32"/>
          <w:szCs w:val="32"/>
        </w:rPr>
        <w:t>六、区域网架建设规划</w:t>
      </w:r>
      <w:bookmarkEnd w:id="49"/>
    </w:p>
    <w:p>
      <w:pPr>
        <w:pStyle w:val="3"/>
        <w:pageBreakBefore w:val="0"/>
        <w:widowControl w:val="0"/>
        <w:kinsoku/>
        <w:wordWrap/>
        <w:overflowPunct/>
        <w:topLinePunct w:val="0"/>
        <w:autoSpaceDE/>
        <w:autoSpaceDN/>
        <w:bidi w:val="0"/>
        <w:spacing w:before="0" w:beforeLines="0" w:after="0" w:afterLines="0" w:line="579" w:lineRule="exact"/>
        <w:ind w:firstLine="643" w:firstLineChars="200"/>
        <w:textAlignment w:val="auto"/>
        <w:rPr>
          <w:rFonts w:hint="eastAsia" w:ascii="楷体_GB2312" w:hAnsi="楷体_GB2312" w:eastAsia="楷体_GB2312" w:cs="楷体_GB2312"/>
          <w:b/>
          <w:bCs w:val="0"/>
          <w:spacing w:val="26"/>
          <w:w w:val="99"/>
        </w:rPr>
      </w:pPr>
      <w:bookmarkStart w:id="50" w:name="bookmark22"/>
      <w:bookmarkEnd w:id="50"/>
      <w:bookmarkStart w:id="51" w:name="_Toc23169582"/>
      <w:r>
        <w:rPr>
          <w:rFonts w:hint="eastAsia" w:ascii="楷体_GB2312" w:hAnsi="楷体_GB2312" w:eastAsia="楷体_GB2312" w:cs="楷体_GB2312"/>
          <w:b/>
          <w:bCs w:val="0"/>
          <w:sz w:val="32"/>
          <w:szCs w:val="32"/>
        </w:rPr>
        <w:t>（一）规划技术原则</w:t>
      </w:r>
      <w:bookmarkEnd w:id="51"/>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龙港彩虹智慧创业园增量配电网规划本着开发与节约并重的原则，适当超前，留有一定裕度，各电压等级的电网应根据用电的需求，合理规划供电容量和电网结构，充分考虑电网坚强供电能力的要求。在满足电网安全、稳定、灵活运行的基础上，分区平衡，减少电磁环网，避免重复投资。主要规划技术原则考虑如下：</w:t>
      </w:r>
    </w:p>
    <w:p>
      <w:pPr>
        <w:pStyle w:val="4"/>
        <w:pageBreakBefore w:val="0"/>
        <w:widowControl w:val="0"/>
        <w:kinsoku/>
        <w:wordWrap/>
        <w:overflowPunct/>
        <w:topLinePunct w:val="0"/>
        <w:autoSpaceDE/>
        <w:autoSpaceDN/>
        <w:bidi w:val="0"/>
        <w:spacing w:before="0" w:beforeLines="0" w:after="0" w:afterLines="0" w:line="579" w:lineRule="exact"/>
        <w:ind w:left="0" w:firstLine="640" w:firstLineChars="200"/>
        <w:textAlignment w:val="auto"/>
        <w:rPr>
          <w:rFonts w:hint="default" w:ascii="Times New Roman" w:hAnsi="Times New Roman" w:eastAsia="仿宋_GB2312" w:cs="Times New Roman"/>
          <w:sz w:val="32"/>
          <w:szCs w:val="32"/>
        </w:rPr>
      </w:pPr>
      <w:bookmarkStart w:id="52" w:name="_Toc23169583"/>
      <w:r>
        <w:rPr>
          <w:rFonts w:hint="default" w:ascii="Times New Roman" w:hAnsi="Times New Roman" w:eastAsia="仿宋_GB2312" w:cs="Times New Roman"/>
          <w:sz w:val="32"/>
          <w:szCs w:val="32"/>
        </w:rPr>
        <w:t>1．满足《电力系统安全稳定导则》</w:t>
      </w:r>
      <w:bookmarkEnd w:id="52"/>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供电可靠性和供电安全应满足《DL755－2001电力系统安全稳定导则》所规定的安全稳定标准。</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第2.1.3条规定：“在正常运行方式（含计划检修方式，下同）下，系统中任一元件（发电机、线路、变压器、母线）发生单一故障时，不应导致主系统非同步运行，不应发生频率崩溃和电压崩溃”。</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3.2.1条规定：“第一级安全稳定标准，正常运行方式下的电力系统受到下述单一元件故障扰动后，保护、开关及重合闸正确动作，不采取稳定控制措施，必须保持电力系统稳定运行和电网的正常供电，其他元件不超过规定的事故过负荷能力，不发生连锁跳闸”。</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第3.2.2条规定：“第二级安全稳定标准，正常运行方式下的电力系统受到下述较严重的故障扰动后，保护、开关及重合闸正确动作，应能保持稳定运行，必要时允许采取切机和切负荷等稳定控制措施”。</w:t>
      </w:r>
    </w:p>
    <w:p>
      <w:pPr>
        <w:pStyle w:val="4"/>
        <w:pageBreakBefore w:val="0"/>
        <w:widowControl w:val="0"/>
        <w:kinsoku/>
        <w:wordWrap/>
        <w:overflowPunct/>
        <w:topLinePunct w:val="0"/>
        <w:autoSpaceDE/>
        <w:autoSpaceDN/>
        <w:bidi w:val="0"/>
        <w:spacing w:before="0" w:beforeLines="0" w:after="0" w:afterLines="0" w:line="579" w:lineRule="exact"/>
        <w:ind w:left="0" w:firstLine="640" w:firstLineChars="200"/>
        <w:textAlignment w:val="auto"/>
        <w:rPr>
          <w:rFonts w:hint="default" w:ascii="Times New Roman" w:hAnsi="Times New Roman" w:eastAsia="仿宋_GB2312" w:cs="Times New Roman"/>
          <w:sz w:val="32"/>
          <w:szCs w:val="32"/>
        </w:rPr>
      </w:pPr>
      <w:bookmarkStart w:id="53" w:name="_Toc23169584"/>
      <w:r>
        <w:rPr>
          <w:rFonts w:hint="default" w:ascii="Times New Roman" w:hAnsi="Times New Roman" w:eastAsia="仿宋_GB2312" w:cs="Times New Roman"/>
          <w:sz w:val="32"/>
          <w:szCs w:val="32"/>
        </w:rPr>
        <w:t>2．供电可靠性和供电安全应满足《重要电力用户供电电源及自备应急电源配置技术规范》所规定的标准。</w:t>
      </w:r>
      <w:bookmarkEnd w:id="53"/>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第3.5条规定：“双电源，分别来自两个不同变电站，或来自不同电源进线的同一变电站内两段母线，为同一用户负荷供电的两路供电电源”。</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第5.2.1条规定：“根据供电可靠性的要求以及中断供电的危害程度，重要电力用户可分为特级、一级、二级重要电力用户和临时性重要电力用户”。</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第6.2.2条规定：“特级重要电力用户宜采用双电源或多路电源供电；一级重要电力用户宜采用双电源供电；二级重要电力用户宜采用双回路供电”。</w:t>
      </w:r>
    </w:p>
    <w:p>
      <w:pPr>
        <w:pStyle w:val="4"/>
        <w:pageBreakBefore w:val="0"/>
        <w:widowControl w:val="0"/>
        <w:kinsoku/>
        <w:wordWrap/>
        <w:overflowPunct/>
        <w:topLinePunct w:val="0"/>
        <w:autoSpaceDE/>
        <w:autoSpaceDN/>
        <w:bidi w:val="0"/>
        <w:spacing w:before="0" w:beforeLines="0" w:after="0" w:afterLines="0" w:line="579" w:lineRule="exact"/>
        <w:ind w:left="0" w:firstLine="640" w:firstLineChars="200"/>
        <w:textAlignment w:val="auto"/>
        <w:rPr>
          <w:rFonts w:hint="default" w:ascii="Times New Roman" w:hAnsi="Times New Roman" w:eastAsia="仿宋_GB2312" w:cs="Times New Roman"/>
          <w:sz w:val="32"/>
          <w:szCs w:val="32"/>
        </w:rPr>
      </w:pPr>
      <w:bookmarkStart w:id="54" w:name="_Toc23169585"/>
      <w:r>
        <w:rPr>
          <w:rFonts w:hint="default" w:ascii="Times New Roman" w:hAnsi="Times New Roman" w:eastAsia="仿宋_GB2312" w:cs="Times New Roman"/>
          <w:sz w:val="32"/>
          <w:szCs w:val="32"/>
        </w:rPr>
        <w:t>3．网架结构等设计原则需满足《DL/T5542-2018配电网规划设计规程》</w:t>
      </w:r>
      <w:bookmarkEnd w:id="54"/>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网架结构原文叙述如下：110～35千伏电网结构可分为辐射、环网、T接、链式四类。高压配电网宜采用以220（330千伏）变电站为中心，分片供电的模式，各供电片区正常方式下相对独立，但同时具备事故情况下项目支援的能力。</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本规划中，结合试点区域供电实际情况，35千伏电网结构主要考虑采用双辐射供电结构，2回35千伏线路来自于上级变电站35千伏不同段母线，并考虑与外部电网增加10千伏线路联络。</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p>
    <w:p>
      <w:pPr>
        <w:pStyle w:val="9"/>
        <w:pageBreakBefore w:val="0"/>
        <w:widowControl w:val="0"/>
        <w:kinsoku/>
        <w:wordWrap/>
        <w:overflowPunct/>
        <w:topLinePunct w:val="0"/>
        <w:autoSpaceDE/>
        <w:autoSpaceDN/>
        <w:bidi w:val="0"/>
        <w:adjustRightInd w:val="0"/>
        <w:snapToGrid w:val="0"/>
        <w:spacing w:line="579" w:lineRule="exact"/>
        <w:ind w:firstLine="140" w:firstLineChars="50"/>
        <w:jc w:val="center"/>
        <w:textAlignment w:val="auto"/>
        <w:rPr>
          <w:rFonts w:ascii="仿宋_GB2312" w:hAnsi="宋体" w:eastAsia="仿宋_GB2312"/>
          <w:szCs w:val="28"/>
        </w:rPr>
      </w:pPr>
      <w:r>
        <w:rPr>
          <w:rFonts w:hint="eastAsia" w:ascii="仿宋_GB2312" w:hAnsi="宋体" w:eastAsia="仿宋_GB2312"/>
          <w:szCs w:val="28"/>
        </w:rPr>
        <w:t>表</w:t>
      </w:r>
      <w:r>
        <w:rPr>
          <w:rFonts w:ascii="仿宋_GB2312" w:hAnsi="宋体" w:eastAsia="仿宋_GB2312"/>
          <w:szCs w:val="28"/>
        </w:rPr>
        <w:t>6</w:t>
      </w:r>
      <w:r>
        <w:rPr>
          <w:rFonts w:hint="eastAsia" w:ascii="仿宋_GB2312" w:hAnsi="宋体" w:eastAsia="仿宋_GB2312"/>
          <w:szCs w:val="28"/>
        </w:rPr>
        <w:t>-1</w:t>
      </w:r>
      <w:r>
        <w:rPr>
          <w:rFonts w:ascii="仿宋_GB2312" w:hAnsi="宋体" w:eastAsia="仿宋_GB2312"/>
          <w:szCs w:val="28"/>
        </w:rPr>
        <w:t xml:space="preserve">  </w:t>
      </w:r>
      <w:r>
        <w:rPr>
          <w:rFonts w:hint="eastAsia" w:ascii="仿宋_GB2312" w:hAnsi="宋体" w:eastAsia="仿宋_GB2312"/>
          <w:szCs w:val="28"/>
        </w:rPr>
        <w:t>配电网</w:t>
      </w:r>
      <w:r>
        <w:rPr>
          <w:rFonts w:ascii="仿宋_GB2312" w:hAnsi="宋体" w:eastAsia="仿宋_GB2312"/>
          <w:szCs w:val="28"/>
        </w:rPr>
        <w:t>目标网架</w:t>
      </w:r>
      <w:r>
        <w:rPr>
          <w:rFonts w:hint="eastAsia" w:ascii="仿宋_GB2312" w:hAnsi="宋体" w:eastAsia="仿宋_GB2312"/>
          <w:szCs w:val="28"/>
        </w:rPr>
        <w:t>结构</w:t>
      </w:r>
    </w:p>
    <w:tbl>
      <w:tblPr>
        <w:tblStyle w:val="23"/>
        <w:tblW w:w="825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20"/>
        <w:gridCol w:w="604"/>
        <w:gridCol w:w="1626"/>
        <w:gridCol w:w="2391"/>
        <w:gridCol w:w="30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tblHeader/>
          <w:jc w:val="center"/>
        </w:trPr>
        <w:tc>
          <w:tcPr>
            <w:tcW w:w="620" w:type="dxa"/>
            <w:vMerge w:val="restart"/>
            <w:shd w:val="clear" w:color="auto" w:fill="auto"/>
            <w:vAlign w:val="center"/>
          </w:tcPr>
          <w:p>
            <w:pPr>
              <w:keepNext/>
              <w:jc w:val="center"/>
              <w:rPr>
                <w:rFonts w:ascii="宋体" w:hAnsi="宋体" w:eastAsia="宋体"/>
                <w:sz w:val="20"/>
                <w:szCs w:val="20"/>
              </w:rPr>
            </w:pPr>
            <w:r>
              <w:rPr>
                <w:rFonts w:hint="eastAsia" w:ascii="宋体" w:hAnsi="宋体" w:eastAsia="宋体"/>
                <w:sz w:val="20"/>
                <w:szCs w:val="20"/>
              </w:rPr>
              <w:t>电压</w:t>
            </w:r>
          </w:p>
          <w:p>
            <w:pPr>
              <w:keepNext/>
              <w:jc w:val="center"/>
              <w:rPr>
                <w:rFonts w:ascii="宋体" w:hAnsi="宋体" w:eastAsia="宋体"/>
                <w:sz w:val="20"/>
                <w:szCs w:val="20"/>
              </w:rPr>
            </w:pPr>
            <w:r>
              <w:rPr>
                <w:rFonts w:hint="eastAsia" w:ascii="宋体" w:hAnsi="宋体" w:eastAsia="宋体"/>
                <w:sz w:val="20"/>
                <w:szCs w:val="20"/>
              </w:rPr>
              <w:t>等级</w:t>
            </w:r>
          </w:p>
        </w:tc>
        <w:tc>
          <w:tcPr>
            <w:tcW w:w="604" w:type="dxa"/>
            <w:vMerge w:val="restart"/>
            <w:shd w:val="clear" w:color="auto" w:fill="auto"/>
            <w:vAlign w:val="center"/>
          </w:tcPr>
          <w:p>
            <w:pPr>
              <w:keepNext/>
              <w:jc w:val="center"/>
              <w:rPr>
                <w:rFonts w:ascii="宋体" w:hAnsi="宋体" w:eastAsia="宋体"/>
                <w:sz w:val="20"/>
                <w:szCs w:val="20"/>
              </w:rPr>
            </w:pPr>
            <w:r>
              <w:rPr>
                <w:rFonts w:hint="eastAsia" w:ascii="宋体" w:hAnsi="宋体" w:eastAsia="宋体"/>
                <w:sz w:val="20"/>
                <w:szCs w:val="20"/>
              </w:rPr>
              <w:t>供电</w:t>
            </w:r>
          </w:p>
          <w:p>
            <w:pPr>
              <w:keepNext/>
              <w:jc w:val="center"/>
              <w:rPr>
                <w:rFonts w:ascii="宋体" w:hAnsi="宋体" w:eastAsia="宋体"/>
                <w:sz w:val="20"/>
                <w:szCs w:val="20"/>
              </w:rPr>
            </w:pPr>
            <w:r>
              <w:rPr>
                <w:rFonts w:hint="eastAsia" w:ascii="宋体" w:hAnsi="宋体" w:eastAsia="宋体"/>
                <w:sz w:val="20"/>
                <w:szCs w:val="20"/>
              </w:rPr>
              <w:t>分区</w:t>
            </w:r>
          </w:p>
        </w:tc>
        <w:tc>
          <w:tcPr>
            <w:tcW w:w="7027" w:type="dxa"/>
            <w:gridSpan w:val="3"/>
            <w:shd w:val="clear" w:color="auto" w:fill="auto"/>
            <w:vAlign w:val="center"/>
          </w:tcPr>
          <w:p>
            <w:pPr>
              <w:keepNext/>
              <w:jc w:val="center"/>
              <w:rPr>
                <w:rFonts w:ascii="宋体" w:hAnsi="宋体" w:eastAsia="宋体"/>
                <w:sz w:val="20"/>
                <w:szCs w:val="20"/>
              </w:rPr>
            </w:pPr>
            <w:r>
              <w:rPr>
                <w:rFonts w:hint="eastAsia" w:ascii="宋体" w:hAnsi="宋体" w:eastAsia="宋体"/>
                <w:sz w:val="20"/>
                <w:szCs w:val="20"/>
              </w:rPr>
              <w:t>网架结构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620" w:type="dxa"/>
            <w:vMerge w:val="continue"/>
            <w:shd w:val="clear" w:color="auto" w:fill="auto"/>
            <w:vAlign w:val="center"/>
          </w:tcPr>
          <w:p>
            <w:pPr>
              <w:keepNext/>
              <w:jc w:val="center"/>
              <w:rPr>
                <w:rFonts w:ascii="宋体" w:hAnsi="宋体" w:eastAsia="宋体"/>
                <w:sz w:val="20"/>
                <w:szCs w:val="20"/>
              </w:rPr>
            </w:pPr>
          </w:p>
        </w:tc>
        <w:tc>
          <w:tcPr>
            <w:tcW w:w="604" w:type="dxa"/>
            <w:vMerge w:val="continue"/>
            <w:shd w:val="clear" w:color="auto" w:fill="auto"/>
            <w:vAlign w:val="center"/>
          </w:tcPr>
          <w:p>
            <w:pPr>
              <w:keepNext/>
              <w:jc w:val="center"/>
              <w:rPr>
                <w:rFonts w:ascii="宋体" w:hAnsi="宋体" w:eastAsia="宋体"/>
                <w:sz w:val="20"/>
                <w:szCs w:val="20"/>
              </w:rPr>
            </w:pPr>
          </w:p>
        </w:tc>
        <w:tc>
          <w:tcPr>
            <w:tcW w:w="1626" w:type="dxa"/>
            <w:shd w:val="clear" w:color="auto" w:fill="auto"/>
            <w:vAlign w:val="center"/>
          </w:tcPr>
          <w:p>
            <w:pPr>
              <w:keepNext/>
              <w:jc w:val="center"/>
              <w:rPr>
                <w:rFonts w:ascii="宋体" w:hAnsi="宋体" w:eastAsia="宋体"/>
                <w:sz w:val="20"/>
                <w:szCs w:val="20"/>
              </w:rPr>
            </w:pPr>
            <w:r>
              <w:rPr>
                <w:rFonts w:hint="eastAsia" w:ascii="宋体" w:hAnsi="宋体" w:eastAsia="宋体"/>
                <w:sz w:val="20"/>
                <w:szCs w:val="20"/>
              </w:rPr>
              <w:t>初期接线</w:t>
            </w:r>
          </w:p>
        </w:tc>
        <w:tc>
          <w:tcPr>
            <w:tcW w:w="2391" w:type="dxa"/>
            <w:shd w:val="clear" w:color="auto" w:fill="auto"/>
            <w:vAlign w:val="center"/>
          </w:tcPr>
          <w:p>
            <w:pPr>
              <w:keepNext/>
              <w:jc w:val="center"/>
              <w:rPr>
                <w:rFonts w:ascii="宋体" w:hAnsi="宋体" w:eastAsia="宋体"/>
                <w:sz w:val="20"/>
                <w:szCs w:val="20"/>
              </w:rPr>
            </w:pPr>
            <w:r>
              <w:rPr>
                <w:rFonts w:hint="eastAsia" w:ascii="宋体" w:hAnsi="宋体" w:eastAsia="宋体"/>
                <w:sz w:val="20"/>
                <w:szCs w:val="20"/>
              </w:rPr>
              <w:t>过渡接线</w:t>
            </w:r>
          </w:p>
        </w:tc>
        <w:tc>
          <w:tcPr>
            <w:tcW w:w="3010" w:type="dxa"/>
            <w:shd w:val="clear" w:color="auto" w:fill="auto"/>
            <w:vAlign w:val="center"/>
          </w:tcPr>
          <w:p>
            <w:pPr>
              <w:keepNext/>
              <w:jc w:val="center"/>
              <w:rPr>
                <w:rFonts w:ascii="宋体" w:hAnsi="宋体" w:eastAsia="宋体"/>
                <w:sz w:val="20"/>
                <w:szCs w:val="20"/>
              </w:rPr>
            </w:pPr>
            <w:r>
              <w:rPr>
                <w:rFonts w:hint="eastAsia" w:ascii="宋体" w:hAnsi="宋体" w:eastAsia="宋体"/>
                <w:sz w:val="20"/>
                <w:szCs w:val="20"/>
              </w:rPr>
              <w:t>目标接线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620" w:type="dxa"/>
            <w:vMerge w:val="restart"/>
            <w:shd w:val="clear" w:color="auto" w:fill="auto"/>
            <w:vAlign w:val="center"/>
          </w:tcPr>
          <w:p>
            <w:pPr>
              <w:keepNext/>
              <w:jc w:val="center"/>
              <w:rPr>
                <w:rFonts w:ascii="宋体" w:hAnsi="宋体" w:eastAsia="宋体"/>
                <w:sz w:val="20"/>
                <w:szCs w:val="20"/>
              </w:rPr>
            </w:pPr>
            <w:r>
              <w:rPr>
                <w:rFonts w:hint="eastAsia" w:ascii="宋体" w:hAnsi="宋体" w:eastAsia="宋体"/>
                <w:sz w:val="20"/>
                <w:szCs w:val="20"/>
              </w:rPr>
              <w:t>110～35千伏</w:t>
            </w:r>
          </w:p>
        </w:tc>
        <w:tc>
          <w:tcPr>
            <w:tcW w:w="604" w:type="dxa"/>
            <w:vMerge w:val="restart"/>
            <w:shd w:val="clear" w:color="auto" w:fill="auto"/>
            <w:vAlign w:val="center"/>
          </w:tcPr>
          <w:p>
            <w:pPr>
              <w:keepNext/>
              <w:jc w:val="center"/>
              <w:rPr>
                <w:rFonts w:ascii="宋体" w:hAnsi="宋体" w:eastAsia="宋体"/>
                <w:sz w:val="20"/>
                <w:szCs w:val="20"/>
              </w:rPr>
            </w:pPr>
            <w:r>
              <w:rPr>
                <w:rFonts w:hint="eastAsia" w:ascii="宋体" w:hAnsi="宋体" w:eastAsia="宋体"/>
                <w:sz w:val="20"/>
                <w:szCs w:val="20"/>
              </w:rPr>
              <w:t>A+</w:t>
            </w:r>
          </w:p>
          <w:p>
            <w:pPr>
              <w:keepNext/>
              <w:jc w:val="center"/>
              <w:rPr>
                <w:rFonts w:ascii="宋体" w:hAnsi="宋体" w:eastAsia="宋体"/>
                <w:sz w:val="20"/>
                <w:szCs w:val="20"/>
              </w:rPr>
            </w:pPr>
            <w:r>
              <w:rPr>
                <w:rFonts w:hint="eastAsia" w:ascii="宋体" w:hAnsi="宋体" w:eastAsia="宋体"/>
                <w:sz w:val="20"/>
                <w:szCs w:val="20"/>
              </w:rPr>
              <w:t>A</w:t>
            </w:r>
          </w:p>
          <w:p>
            <w:pPr>
              <w:keepNext/>
              <w:jc w:val="center"/>
              <w:rPr>
                <w:rFonts w:ascii="宋体" w:hAnsi="宋体" w:eastAsia="宋体"/>
                <w:sz w:val="20"/>
                <w:szCs w:val="20"/>
              </w:rPr>
            </w:pPr>
            <w:r>
              <w:rPr>
                <w:rFonts w:hint="eastAsia" w:ascii="宋体" w:hAnsi="宋体" w:eastAsia="宋体"/>
                <w:sz w:val="20"/>
                <w:szCs w:val="20"/>
              </w:rPr>
              <w:t>B</w:t>
            </w:r>
          </w:p>
        </w:tc>
        <w:tc>
          <w:tcPr>
            <w:tcW w:w="1626" w:type="dxa"/>
            <w:shd w:val="clear" w:color="auto" w:fill="auto"/>
            <w:vAlign w:val="center"/>
          </w:tcPr>
          <w:p>
            <w:pPr>
              <w:keepNext/>
              <w:jc w:val="center"/>
              <w:rPr>
                <w:rFonts w:ascii="宋体" w:hAnsi="宋体" w:eastAsia="宋体"/>
                <w:sz w:val="20"/>
                <w:szCs w:val="20"/>
              </w:rPr>
            </w:pPr>
            <w:r>
              <w:rPr>
                <w:rFonts w:hint="eastAsia" w:ascii="宋体" w:hAnsi="宋体" w:eastAsia="宋体"/>
                <w:sz w:val="20"/>
                <w:szCs w:val="20"/>
              </w:rPr>
              <w:t>双辐射</w:t>
            </w:r>
          </w:p>
        </w:tc>
        <w:tc>
          <w:tcPr>
            <w:tcW w:w="2391" w:type="dxa"/>
            <w:shd w:val="clear" w:color="auto" w:fill="auto"/>
            <w:vAlign w:val="center"/>
          </w:tcPr>
          <w:p>
            <w:pPr>
              <w:keepNext/>
              <w:jc w:val="center"/>
              <w:rPr>
                <w:rFonts w:ascii="宋体" w:hAnsi="宋体" w:eastAsia="宋体"/>
                <w:sz w:val="20"/>
                <w:szCs w:val="20"/>
              </w:rPr>
            </w:pPr>
            <w:r>
              <w:rPr>
                <w:rFonts w:hint="eastAsia" w:ascii="宋体" w:hAnsi="宋体" w:eastAsia="宋体"/>
                <w:sz w:val="20"/>
                <w:szCs w:val="20"/>
              </w:rPr>
              <w:t>双辐射、双环网、双链</w:t>
            </w:r>
          </w:p>
        </w:tc>
        <w:tc>
          <w:tcPr>
            <w:tcW w:w="3010" w:type="dxa"/>
            <w:shd w:val="clear" w:color="auto" w:fill="auto"/>
            <w:vAlign w:val="center"/>
          </w:tcPr>
          <w:p>
            <w:pPr>
              <w:keepNext/>
              <w:jc w:val="center"/>
              <w:rPr>
                <w:rFonts w:ascii="宋体" w:hAnsi="宋体" w:eastAsia="宋体"/>
                <w:sz w:val="20"/>
                <w:szCs w:val="20"/>
              </w:rPr>
            </w:pPr>
            <w:r>
              <w:rPr>
                <w:rFonts w:hint="eastAsia" w:ascii="宋体" w:hAnsi="宋体" w:eastAsia="宋体"/>
                <w:sz w:val="20"/>
                <w:szCs w:val="20"/>
              </w:rPr>
              <w:t>双链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620" w:type="dxa"/>
            <w:vMerge w:val="continue"/>
            <w:shd w:val="clear" w:color="auto" w:fill="auto"/>
            <w:vAlign w:val="center"/>
          </w:tcPr>
          <w:p>
            <w:pPr>
              <w:keepNext/>
              <w:jc w:val="center"/>
              <w:rPr>
                <w:rFonts w:ascii="宋体" w:hAnsi="宋体" w:eastAsia="宋体"/>
                <w:sz w:val="20"/>
                <w:szCs w:val="20"/>
              </w:rPr>
            </w:pPr>
          </w:p>
        </w:tc>
        <w:tc>
          <w:tcPr>
            <w:tcW w:w="604" w:type="dxa"/>
            <w:vMerge w:val="continue"/>
            <w:shd w:val="clear" w:color="auto" w:fill="auto"/>
            <w:vAlign w:val="center"/>
          </w:tcPr>
          <w:p>
            <w:pPr>
              <w:keepNext/>
              <w:jc w:val="center"/>
              <w:rPr>
                <w:rFonts w:ascii="宋体" w:hAnsi="宋体" w:eastAsia="宋体"/>
                <w:sz w:val="20"/>
                <w:szCs w:val="20"/>
              </w:rPr>
            </w:pPr>
          </w:p>
        </w:tc>
        <w:tc>
          <w:tcPr>
            <w:tcW w:w="1626" w:type="dxa"/>
            <w:shd w:val="clear" w:color="auto" w:fill="auto"/>
            <w:vAlign w:val="center"/>
          </w:tcPr>
          <w:p>
            <w:pPr>
              <w:keepNext/>
              <w:jc w:val="center"/>
              <w:rPr>
                <w:rFonts w:ascii="宋体" w:hAnsi="宋体" w:eastAsia="宋体"/>
                <w:sz w:val="20"/>
                <w:szCs w:val="20"/>
              </w:rPr>
            </w:pPr>
            <w:r>
              <w:rPr>
                <w:rFonts w:hint="eastAsia" w:ascii="宋体" w:hAnsi="宋体" w:eastAsia="宋体"/>
                <w:sz w:val="20"/>
                <w:szCs w:val="20"/>
              </w:rPr>
              <w:t>双辐射</w:t>
            </w:r>
          </w:p>
        </w:tc>
        <w:tc>
          <w:tcPr>
            <w:tcW w:w="2391" w:type="dxa"/>
            <w:shd w:val="clear" w:color="auto" w:fill="auto"/>
            <w:vAlign w:val="center"/>
          </w:tcPr>
          <w:p>
            <w:pPr>
              <w:keepNext/>
              <w:jc w:val="center"/>
              <w:rPr>
                <w:rFonts w:ascii="宋体" w:hAnsi="宋体" w:eastAsia="宋体"/>
                <w:sz w:val="20"/>
                <w:szCs w:val="20"/>
              </w:rPr>
            </w:pPr>
            <w:r>
              <w:rPr>
                <w:rFonts w:hint="eastAsia" w:ascii="宋体" w:hAnsi="宋体" w:eastAsia="宋体"/>
                <w:sz w:val="20"/>
                <w:szCs w:val="20"/>
              </w:rPr>
              <w:t>双侧电源双T</w:t>
            </w:r>
          </w:p>
        </w:tc>
        <w:tc>
          <w:tcPr>
            <w:tcW w:w="3010" w:type="dxa"/>
            <w:shd w:val="clear" w:color="auto" w:fill="auto"/>
            <w:vAlign w:val="center"/>
          </w:tcPr>
          <w:p>
            <w:pPr>
              <w:keepNext/>
              <w:jc w:val="center"/>
              <w:rPr>
                <w:rFonts w:ascii="宋体" w:hAnsi="宋体" w:eastAsia="宋体"/>
                <w:sz w:val="20"/>
                <w:szCs w:val="20"/>
              </w:rPr>
            </w:pPr>
            <w:r>
              <w:rPr>
                <w:rFonts w:hint="eastAsia" w:ascii="宋体" w:hAnsi="宋体" w:eastAsia="宋体"/>
                <w:sz w:val="20"/>
                <w:szCs w:val="20"/>
              </w:rPr>
              <w:t>双侧电源双T、双侧电源三T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620" w:type="dxa"/>
            <w:vMerge w:val="continue"/>
            <w:shd w:val="clear" w:color="auto" w:fill="auto"/>
            <w:vAlign w:val="center"/>
          </w:tcPr>
          <w:p>
            <w:pPr>
              <w:keepNext/>
              <w:jc w:val="center"/>
              <w:rPr>
                <w:rFonts w:ascii="宋体" w:hAnsi="宋体" w:eastAsia="宋体"/>
                <w:sz w:val="20"/>
                <w:szCs w:val="20"/>
              </w:rPr>
            </w:pPr>
          </w:p>
        </w:tc>
        <w:tc>
          <w:tcPr>
            <w:tcW w:w="604" w:type="dxa"/>
            <w:vMerge w:val="continue"/>
            <w:shd w:val="clear" w:color="auto" w:fill="auto"/>
            <w:vAlign w:val="center"/>
          </w:tcPr>
          <w:p>
            <w:pPr>
              <w:keepNext/>
              <w:jc w:val="center"/>
              <w:rPr>
                <w:rFonts w:ascii="宋体" w:hAnsi="宋体" w:eastAsia="宋体"/>
                <w:sz w:val="20"/>
                <w:szCs w:val="20"/>
              </w:rPr>
            </w:pPr>
          </w:p>
        </w:tc>
        <w:tc>
          <w:tcPr>
            <w:tcW w:w="1626" w:type="dxa"/>
            <w:shd w:val="clear" w:color="auto" w:fill="auto"/>
            <w:vAlign w:val="center"/>
          </w:tcPr>
          <w:p>
            <w:pPr>
              <w:keepNext/>
              <w:jc w:val="center"/>
              <w:rPr>
                <w:rFonts w:ascii="宋体" w:hAnsi="宋体" w:eastAsia="宋体"/>
                <w:sz w:val="20"/>
                <w:szCs w:val="20"/>
              </w:rPr>
            </w:pPr>
            <w:r>
              <w:rPr>
                <w:rFonts w:hint="eastAsia" w:ascii="宋体" w:hAnsi="宋体" w:eastAsia="宋体"/>
                <w:sz w:val="20"/>
                <w:szCs w:val="20"/>
              </w:rPr>
              <w:t>单链</w:t>
            </w:r>
          </w:p>
        </w:tc>
        <w:tc>
          <w:tcPr>
            <w:tcW w:w="2391" w:type="dxa"/>
            <w:shd w:val="clear" w:color="auto" w:fill="auto"/>
            <w:vAlign w:val="center"/>
          </w:tcPr>
          <w:p>
            <w:pPr>
              <w:keepNext/>
              <w:jc w:val="center"/>
              <w:rPr>
                <w:rFonts w:ascii="宋体" w:hAnsi="宋体" w:eastAsia="宋体"/>
                <w:sz w:val="20"/>
                <w:szCs w:val="20"/>
              </w:rPr>
            </w:pPr>
            <w:r>
              <w:rPr>
                <w:rFonts w:hint="eastAsia" w:ascii="宋体" w:hAnsi="宋体" w:eastAsia="宋体"/>
                <w:sz w:val="20"/>
                <w:szCs w:val="20"/>
              </w:rPr>
              <w:t>双链</w:t>
            </w:r>
          </w:p>
        </w:tc>
        <w:tc>
          <w:tcPr>
            <w:tcW w:w="3010" w:type="dxa"/>
            <w:shd w:val="clear" w:color="auto" w:fill="auto"/>
            <w:vAlign w:val="center"/>
          </w:tcPr>
          <w:p>
            <w:pPr>
              <w:keepNext/>
              <w:jc w:val="center"/>
              <w:rPr>
                <w:rFonts w:ascii="宋体" w:hAnsi="宋体" w:eastAsia="宋体"/>
                <w:sz w:val="20"/>
                <w:szCs w:val="20"/>
              </w:rPr>
            </w:pPr>
            <w:r>
              <w:rPr>
                <w:rFonts w:hint="eastAsia" w:ascii="宋体" w:hAnsi="宋体" w:eastAsia="宋体"/>
                <w:sz w:val="20"/>
                <w:szCs w:val="20"/>
              </w:rPr>
              <w:t>双链、三链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620" w:type="dxa"/>
            <w:vMerge w:val="continue"/>
            <w:shd w:val="clear" w:color="auto" w:fill="auto"/>
            <w:vAlign w:val="center"/>
          </w:tcPr>
          <w:p>
            <w:pPr>
              <w:keepNext/>
              <w:jc w:val="center"/>
              <w:rPr>
                <w:rFonts w:ascii="宋体" w:hAnsi="宋体" w:eastAsia="宋体"/>
                <w:sz w:val="20"/>
                <w:szCs w:val="20"/>
              </w:rPr>
            </w:pPr>
          </w:p>
        </w:tc>
        <w:tc>
          <w:tcPr>
            <w:tcW w:w="604" w:type="dxa"/>
            <w:vMerge w:val="restart"/>
            <w:shd w:val="clear" w:color="auto" w:fill="auto"/>
            <w:vAlign w:val="center"/>
          </w:tcPr>
          <w:p>
            <w:pPr>
              <w:keepNext/>
              <w:jc w:val="center"/>
              <w:rPr>
                <w:rFonts w:ascii="宋体" w:hAnsi="宋体" w:eastAsia="宋体"/>
                <w:sz w:val="20"/>
                <w:szCs w:val="20"/>
              </w:rPr>
            </w:pPr>
            <w:r>
              <w:rPr>
                <w:rFonts w:hint="eastAsia" w:ascii="宋体" w:hAnsi="宋体" w:eastAsia="宋体"/>
                <w:sz w:val="20"/>
                <w:szCs w:val="20"/>
              </w:rPr>
              <w:t>C</w:t>
            </w:r>
          </w:p>
        </w:tc>
        <w:tc>
          <w:tcPr>
            <w:tcW w:w="1626" w:type="dxa"/>
            <w:shd w:val="clear" w:color="auto" w:fill="auto"/>
            <w:vAlign w:val="center"/>
          </w:tcPr>
          <w:p>
            <w:pPr>
              <w:keepNext/>
              <w:jc w:val="center"/>
              <w:rPr>
                <w:rFonts w:ascii="宋体" w:hAnsi="宋体" w:eastAsia="宋体"/>
                <w:sz w:val="20"/>
                <w:szCs w:val="20"/>
              </w:rPr>
            </w:pPr>
            <w:r>
              <w:rPr>
                <w:rFonts w:hint="eastAsia" w:ascii="宋体" w:hAnsi="宋体" w:eastAsia="宋体"/>
                <w:sz w:val="20"/>
                <w:szCs w:val="20"/>
              </w:rPr>
              <w:t>单辐射、双辐射</w:t>
            </w:r>
          </w:p>
        </w:tc>
        <w:tc>
          <w:tcPr>
            <w:tcW w:w="2391" w:type="dxa"/>
            <w:shd w:val="clear" w:color="auto" w:fill="auto"/>
            <w:vAlign w:val="center"/>
          </w:tcPr>
          <w:p>
            <w:pPr>
              <w:keepNext/>
              <w:jc w:val="center"/>
              <w:rPr>
                <w:rFonts w:ascii="宋体" w:hAnsi="宋体" w:eastAsia="宋体"/>
                <w:sz w:val="20"/>
                <w:szCs w:val="20"/>
              </w:rPr>
            </w:pPr>
            <w:r>
              <w:rPr>
                <w:rFonts w:hint="eastAsia" w:ascii="宋体" w:hAnsi="宋体" w:eastAsia="宋体"/>
                <w:sz w:val="20"/>
                <w:szCs w:val="20"/>
              </w:rPr>
              <w:t>双辐射</w:t>
            </w:r>
          </w:p>
        </w:tc>
        <w:tc>
          <w:tcPr>
            <w:tcW w:w="3010" w:type="dxa"/>
            <w:shd w:val="clear" w:color="auto" w:fill="auto"/>
            <w:vAlign w:val="center"/>
          </w:tcPr>
          <w:p>
            <w:pPr>
              <w:keepNext/>
              <w:jc w:val="center"/>
              <w:rPr>
                <w:rFonts w:ascii="宋体" w:hAnsi="宋体" w:eastAsia="宋体"/>
                <w:sz w:val="20"/>
                <w:szCs w:val="20"/>
              </w:rPr>
            </w:pPr>
            <w:r>
              <w:rPr>
                <w:rFonts w:hint="eastAsia" w:ascii="宋体" w:hAnsi="宋体" w:eastAsia="宋体"/>
                <w:sz w:val="20"/>
                <w:szCs w:val="20"/>
              </w:rPr>
              <w:t>双辐射、双环网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620" w:type="dxa"/>
            <w:vMerge w:val="continue"/>
            <w:shd w:val="clear" w:color="auto" w:fill="auto"/>
            <w:vAlign w:val="center"/>
          </w:tcPr>
          <w:p>
            <w:pPr>
              <w:keepNext/>
              <w:jc w:val="center"/>
              <w:rPr>
                <w:rFonts w:ascii="宋体" w:hAnsi="宋体" w:eastAsia="宋体"/>
                <w:sz w:val="20"/>
                <w:szCs w:val="20"/>
              </w:rPr>
            </w:pPr>
          </w:p>
        </w:tc>
        <w:tc>
          <w:tcPr>
            <w:tcW w:w="604" w:type="dxa"/>
            <w:vMerge w:val="continue"/>
            <w:shd w:val="clear" w:color="auto" w:fill="auto"/>
            <w:vAlign w:val="center"/>
          </w:tcPr>
          <w:p>
            <w:pPr>
              <w:keepNext/>
              <w:jc w:val="center"/>
              <w:rPr>
                <w:rFonts w:ascii="宋体" w:hAnsi="宋体" w:eastAsia="宋体"/>
                <w:sz w:val="20"/>
                <w:szCs w:val="20"/>
              </w:rPr>
            </w:pPr>
          </w:p>
        </w:tc>
        <w:tc>
          <w:tcPr>
            <w:tcW w:w="1626" w:type="dxa"/>
            <w:shd w:val="clear" w:color="auto" w:fill="auto"/>
            <w:vAlign w:val="center"/>
          </w:tcPr>
          <w:p>
            <w:pPr>
              <w:keepNext/>
              <w:jc w:val="center"/>
              <w:rPr>
                <w:rFonts w:ascii="宋体" w:hAnsi="宋体" w:eastAsia="宋体"/>
                <w:sz w:val="20"/>
                <w:szCs w:val="20"/>
              </w:rPr>
            </w:pPr>
            <w:r>
              <w:rPr>
                <w:rFonts w:hint="eastAsia" w:ascii="宋体" w:hAnsi="宋体" w:eastAsia="宋体"/>
                <w:sz w:val="20"/>
                <w:szCs w:val="20"/>
              </w:rPr>
              <w:t>单辐射、双辐射</w:t>
            </w:r>
          </w:p>
        </w:tc>
        <w:tc>
          <w:tcPr>
            <w:tcW w:w="2391" w:type="dxa"/>
            <w:shd w:val="clear" w:color="auto" w:fill="auto"/>
            <w:vAlign w:val="center"/>
          </w:tcPr>
          <w:p>
            <w:pPr>
              <w:keepNext/>
              <w:jc w:val="center"/>
              <w:rPr>
                <w:rFonts w:ascii="宋体" w:hAnsi="宋体" w:eastAsia="宋体"/>
                <w:sz w:val="20"/>
                <w:szCs w:val="20"/>
              </w:rPr>
            </w:pPr>
            <w:r>
              <w:rPr>
                <w:rFonts w:hint="eastAsia" w:ascii="宋体" w:hAnsi="宋体" w:eastAsia="宋体"/>
                <w:sz w:val="20"/>
                <w:szCs w:val="20"/>
              </w:rPr>
              <w:t>双辐射、双侧电源双T</w:t>
            </w:r>
          </w:p>
        </w:tc>
        <w:tc>
          <w:tcPr>
            <w:tcW w:w="3010" w:type="dxa"/>
            <w:shd w:val="clear" w:color="auto" w:fill="auto"/>
            <w:vAlign w:val="center"/>
          </w:tcPr>
          <w:p>
            <w:pPr>
              <w:keepNext/>
              <w:jc w:val="center"/>
              <w:rPr>
                <w:rFonts w:ascii="宋体" w:hAnsi="宋体" w:eastAsia="宋体"/>
                <w:sz w:val="20"/>
                <w:szCs w:val="20"/>
              </w:rPr>
            </w:pPr>
            <w:r>
              <w:rPr>
                <w:rFonts w:hint="eastAsia" w:ascii="宋体" w:hAnsi="宋体" w:eastAsia="宋体"/>
                <w:sz w:val="20"/>
                <w:szCs w:val="20"/>
              </w:rPr>
              <w:t>双侧电源双T、双侧电源三T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620" w:type="dxa"/>
            <w:vMerge w:val="continue"/>
            <w:shd w:val="clear" w:color="auto" w:fill="auto"/>
            <w:vAlign w:val="center"/>
          </w:tcPr>
          <w:p>
            <w:pPr>
              <w:keepNext/>
              <w:jc w:val="center"/>
              <w:rPr>
                <w:rFonts w:ascii="宋体" w:hAnsi="宋体" w:eastAsia="宋体"/>
                <w:sz w:val="20"/>
                <w:szCs w:val="20"/>
              </w:rPr>
            </w:pPr>
          </w:p>
        </w:tc>
        <w:tc>
          <w:tcPr>
            <w:tcW w:w="604" w:type="dxa"/>
            <w:vMerge w:val="continue"/>
            <w:shd w:val="clear" w:color="auto" w:fill="auto"/>
            <w:vAlign w:val="center"/>
          </w:tcPr>
          <w:p>
            <w:pPr>
              <w:keepNext/>
              <w:jc w:val="center"/>
              <w:rPr>
                <w:rFonts w:ascii="宋体" w:hAnsi="宋体" w:eastAsia="宋体"/>
                <w:sz w:val="20"/>
                <w:szCs w:val="20"/>
              </w:rPr>
            </w:pPr>
          </w:p>
        </w:tc>
        <w:tc>
          <w:tcPr>
            <w:tcW w:w="1626" w:type="dxa"/>
            <w:shd w:val="clear" w:color="auto" w:fill="auto"/>
            <w:vAlign w:val="center"/>
          </w:tcPr>
          <w:p>
            <w:pPr>
              <w:keepNext/>
              <w:jc w:val="center"/>
              <w:rPr>
                <w:rFonts w:ascii="宋体" w:hAnsi="宋体" w:eastAsia="宋体"/>
                <w:sz w:val="20"/>
                <w:szCs w:val="20"/>
              </w:rPr>
            </w:pPr>
            <w:r>
              <w:rPr>
                <w:rFonts w:hint="eastAsia" w:ascii="宋体" w:hAnsi="宋体" w:eastAsia="宋体"/>
                <w:sz w:val="20"/>
                <w:szCs w:val="20"/>
              </w:rPr>
              <w:t>单辐射、双辐射</w:t>
            </w:r>
          </w:p>
        </w:tc>
        <w:tc>
          <w:tcPr>
            <w:tcW w:w="2391" w:type="dxa"/>
            <w:shd w:val="clear" w:color="auto" w:fill="auto"/>
            <w:vAlign w:val="center"/>
          </w:tcPr>
          <w:p>
            <w:pPr>
              <w:keepNext/>
              <w:jc w:val="center"/>
              <w:rPr>
                <w:rFonts w:ascii="宋体" w:hAnsi="宋体" w:eastAsia="宋体"/>
                <w:sz w:val="20"/>
                <w:szCs w:val="20"/>
              </w:rPr>
            </w:pPr>
            <w:r>
              <w:rPr>
                <w:rFonts w:hint="eastAsia" w:ascii="宋体" w:hAnsi="宋体" w:eastAsia="宋体"/>
                <w:sz w:val="20"/>
                <w:szCs w:val="20"/>
              </w:rPr>
              <w:t>双辐射、双链</w:t>
            </w:r>
          </w:p>
        </w:tc>
        <w:tc>
          <w:tcPr>
            <w:tcW w:w="3010" w:type="dxa"/>
            <w:shd w:val="clear" w:color="auto" w:fill="auto"/>
            <w:vAlign w:val="center"/>
          </w:tcPr>
          <w:p>
            <w:pPr>
              <w:keepNext/>
              <w:jc w:val="center"/>
              <w:rPr>
                <w:rFonts w:ascii="宋体" w:hAnsi="宋体" w:eastAsia="宋体"/>
                <w:sz w:val="20"/>
                <w:szCs w:val="20"/>
              </w:rPr>
            </w:pPr>
            <w:r>
              <w:rPr>
                <w:rFonts w:hint="eastAsia" w:ascii="宋体" w:hAnsi="宋体" w:eastAsia="宋体"/>
                <w:sz w:val="20"/>
                <w:szCs w:val="20"/>
              </w:rPr>
              <w:t>双链、三链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620" w:type="dxa"/>
            <w:vMerge w:val="continue"/>
            <w:shd w:val="clear" w:color="auto" w:fill="auto"/>
            <w:vAlign w:val="center"/>
          </w:tcPr>
          <w:p>
            <w:pPr>
              <w:keepNext/>
              <w:jc w:val="center"/>
              <w:rPr>
                <w:rFonts w:ascii="宋体" w:hAnsi="宋体" w:eastAsia="宋体"/>
                <w:sz w:val="20"/>
                <w:szCs w:val="20"/>
              </w:rPr>
            </w:pPr>
          </w:p>
        </w:tc>
        <w:tc>
          <w:tcPr>
            <w:tcW w:w="604" w:type="dxa"/>
            <w:vMerge w:val="restart"/>
            <w:shd w:val="clear" w:color="auto" w:fill="auto"/>
            <w:vAlign w:val="center"/>
          </w:tcPr>
          <w:p>
            <w:pPr>
              <w:keepNext/>
              <w:jc w:val="center"/>
              <w:rPr>
                <w:rFonts w:ascii="宋体" w:hAnsi="宋体" w:eastAsia="宋体"/>
                <w:sz w:val="20"/>
                <w:szCs w:val="20"/>
              </w:rPr>
            </w:pPr>
            <w:r>
              <w:rPr>
                <w:rFonts w:hint="eastAsia" w:ascii="宋体" w:hAnsi="宋体" w:eastAsia="宋体"/>
                <w:sz w:val="20"/>
                <w:szCs w:val="20"/>
              </w:rPr>
              <w:t>D</w:t>
            </w:r>
          </w:p>
        </w:tc>
        <w:tc>
          <w:tcPr>
            <w:tcW w:w="1626" w:type="dxa"/>
            <w:shd w:val="clear" w:color="auto" w:fill="auto"/>
            <w:vAlign w:val="center"/>
          </w:tcPr>
          <w:p>
            <w:pPr>
              <w:keepNext/>
              <w:jc w:val="center"/>
              <w:rPr>
                <w:rFonts w:ascii="宋体" w:hAnsi="宋体" w:eastAsia="宋体"/>
                <w:sz w:val="20"/>
                <w:szCs w:val="20"/>
              </w:rPr>
            </w:pPr>
            <w:r>
              <w:rPr>
                <w:rFonts w:hint="eastAsia" w:ascii="宋体" w:hAnsi="宋体" w:eastAsia="宋体"/>
                <w:sz w:val="20"/>
                <w:szCs w:val="20"/>
              </w:rPr>
              <w:t>单辐射</w:t>
            </w:r>
          </w:p>
        </w:tc>
        <w:tc>
          <w:tcPr>
            <w:tcW w:w="2391" w:type="dxa"/>
            <w:shd w:val="clear" w:color="auto" w:fill="auto"/>
            <w:vAlign w:val="center"/>
          </w:tcPr>
          <w:p>
            <w:pPr>
              <w:keepNext/>
              <w:jc w:val="center"/>
              <w:rPr>
                <w:rFonts w:ascii="宋体" w:hAnsi="宋体" w:eastAsia="宋体"/>
                <w:sz w:val="20"/>
                <w:szCs w:val="20"/>
              </w:rPr>
            </w:pPr>
            <w:r>
              <w:rPr>
                <w:rFonts w:hint="eastAsia" w:ascii="宋体" w:hAnsi="宋体" w:eastAsia="宋体"/>
                <w:sz w:val="20"/>
                <w:szCs w:val="20"/>
              </w:rPr>
              <w:t>单辐射、单环网</w:t>
            </w:r>
          </w:p>
        </w:tc>
        <w:tc>
          <w:tcPr>
            <w:tcW w:w="3010" w:type="dxa"/>
            <w:shd w:val="clear" w:color="auto" w:fill="auto"/>
            <w:vAlign w:val="center"/>
          </w:tcPr>
          <w:p>
            <w:pPr>
              <w:keepNext/>
              <w:jc w:val="center"/>
              <w:rPr>
                <w:rFonts w:ascii="宋体" w:hAnsi="宋体" w:eastAsia="宋体"/>
                <w:sz w:val="20"/>
                <w:szCs w:val="20"/>
              </w:rPr>
            </w:pPr>
            <w:r>
              <w:rPr>
                <w:rFonts w:hint="eastAsia" w:ascii="宋体" w:hAnsi="宋体" w:eastAsia="宋体"/>
                <w:sz w:val="20"/>
                <w:szCs w:val="20"/>
              </w:rPr>
              <w:t>单辐射、单环网、双环网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620" w:type="dxa"/>
            <w:vMerge w:val="continue"/>
            <w:shd w:val="clear" w:color="auto" w:fill="auto"/>
            <w:vAlign w:val="center"/>
          </w:tcPr>
          <w:p>
            <w:pPr>
              <w:keepNext/>
              <w:jc w:val="center"/>
              <w:rPr>
                <w:rFonts w:ascii="宋体" w:hAnsi="宋体" w:eastAsia="宋体"/>
                <w:sz w:val="20"/>
                <w:szCs w:val="20"/>
              </w:rPr>
            </w:pPr>
          </w:p>
        </w:tc>
        <w:tc>
          <w:tcPr>
            <w:tcW w:w="604" w:type="dxa"/>
            <w:vMerge w:val="continue"/>
            <w:shd w:val="clear" w:color="auto" w:fill="auto"/>
            <w:vAlign w:val="center"/>
          </w:tcPr>
          <w:p>
            <w:pPr>
              <w:keepNext/>
              <w:jc w:val="center"/>
              <w:rPr>
                <w:rFonts w:ascii="宋体" w:hAnsi="宋体" w:eastAsia="宋体"/>
                <w:sz w:val="20"/>
                <w:szCs w:val="20"/>
              </w:rPr>
            </w:pPr>
          </w:p>
        </w:tc>
        <w:tc>
          <w:tcPr>
            <w:tcW w:w="1626" w:type="dxa"/>
            <w:shd w:val="clear" w:color="auto" w:fill="auto"/>
            <w:vAlign w:val="center"/>
          </w:tcPr>
          <w:p>
            <w:pPr>
              <w:keepNext/>
              <w:jc w:val="center"/>
              <w:rPr>
                <w:rFonts w:ascii="宋体" w:hAnsi="宋体" w:eastAsia="宋体"/>
                <w:sz w:val="20"/>
                <w:szCs w:val="20"/>
              </w:rPr>
            </w:pPr>
            <w:r>
              <w:rPr>
                <w:rFonts w:hint="eastAsia" w:ascii="宋体" w:hAnsi="宋体" w:eastAsia="宋体"/>
                <w:sz w:val="20"/>
                <w:szCs w:val="20"/>
              </w:rPr>
              <w:t>单辐射</w:t>
            </w:r>
          </w:p>
        </w:tc>
        <w:tc>
          <w:tcPr>
            <w:tcW w:w="2391" w:type="dxa"/>
            <w:shd w:val="clear" w:color="auto" w:fill="auto"/>
            <w:vAlign w:val="center"/>
          </w:tcPr>
          <w:p>
            <w:pPr>
              <w:keepNext/>
              <w:jc w:val="center"/>
              <w:rPr>
                <w:rFonts w:ascii="宋体" w:hAnsi="宋体" w:eastAsia="宋体"/>
                <w:sz w:val="20"/>
                <w:szCs w:val="20"/>
              </w:rPr>
            </w:pPr>
            <w:r>
              <w:rPr>
                <w:rFonts w:hint="eastAsia" w:ascii="宋体" w:hAnsi="宋体" w:eastAsia="宋体"/>
                <w:sz w:val="20"/>
                <w:szCs w:val="20"/>
              </w:rPr>
              <w:t>单链</w:t>
            </w:r>
          </w:p>
        </w:tc>
        <w:tc>
          <w:tcPr>
            <w:tcW w:w="3010" w:type="dxa"/>
            <w:shd w:val="clear" w:color="auto" w:fill="auto"/>
            <w:vAlign w:val="center"/>
          </w:tcPr>
          <w:p>
            <w:pPr>
              <w:keepNext/>
              <w:jc w:val="center"/>
              <w:rPr>
                <w:rFonts w:ascii="宋体" w:hAnsi="宋体" w:eastAsia="宋体"/>
                <w:sz w:val="20"/>
                <w:szCs w:val="20"/>
              </w:rPr>
            </w:pPr>
            <w:r>
              <w:rPr>
                <w:rFonts w:hint="eastAsia" w:ascii="宋体" w:hAnsi="宋体" w:eastAsia="宋体"/>
                <w:sz w:val="20"/>
                <w:szCs w:val="20"/>
              </w:rPr>
              <w:t>单链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620" w:type="dxa"/>
            <w:vMerge w:val="continue"/>
            <w:shd w:val="clear" w:color="auto" w:fill="auto"/>
            <w:vAlign w:val="center"/>
          </w:tcPr>
          <w:p>
            <w:pPr>
              <w:keepNext/>
              <w:jc w:val="center"/>
              <w:rPr>
                <w:rFonts w:ascii="宋体" w:hAnsi="宋体" w:eastAsia="宋体"/>
                <w:sz w:val="20"/>
                <w:szCs w:val="20"/>
              </w:rPr>
            </w:pPr>
          </w:p>
        </w:tc>
        <w:tc>
          <w:tcPr>
            <w:tcW w:w="604" w:type="dxa"/>
            <w:vMerge w:val="continue"/>
            <w:shd w:val="clear" w:color="auto" w:fill="auto"/>
            <w:vAlign w:val="center"/>
          </w:tcPr>
          <w:p>
            <w:pPr>
              <w:keepNext/>
              <w:jc w:val="center"/>
              <w:rPr>
                <w:rFonts w:ascii="宋体" w:hAnsi="宋体" w:eastAsia="宋体"/>
                <w:sz w:val="20"/>
                <w:szCs w:val="20"/>
              </w:rPr>
            </w:pPr>
          </w:p>
        </w:tc>
        <w:tc>
          <w:tcPr>
            <w:tcW w:w="1626" w:type="dxa"/>
            <w:shd w:val="clear" w:color="auto" w:fill="auto"/>
            <w:vAlign w:val="center"/>
          </w:tcPr>
          <w:p>
            <w:pPr>
              <w:keepNext/>
              <w:jc w:val="center"/>
              <w:rPr>
                <w:rFonts w:ascii="宋体" w:hAnsi="宋体" w:eastAsia="宋体"/>
                <w:sz w:val="20"/>
                <w:szCs w:val="20"/>
              </w:rPr>
            </w:pPr>
            <w:r>
              <w:rPr>
                <w:rFonts w:hint="eastAsia" w:ascii="宋体" w:hAnsi="宋体" w:eastAsia="宋体"/>
                <w:sz w:val="20"/>
                <w:szCs w:val="20"/>
              </w:rPr>
              <w:t>单辐射、双辐射</w:t>
            </w:r>
          </w:p>
        </w:tc>
        <w:tc>
          <w:tcPr>
            <w:tcW w:w="2391" w:type="dxa"/>
            <w:shd w:val="clear" w:color="auto" w:fill="auto"/>
            <w:vAlign w:val="center"/>
          </w:tcPr>
          <w:p>
            <w:pPr>
              <w:keepNext/>
              <w:jc w:val="center"/>
              <w:rPr>
                <w:rFonts w:ascii="宋体" w:hAnsi="宋体" w:eastAsia="宋体"/>
                <w:sz w:val="20"/>
                <w:szCs w:val="20"/>
              </w:rPr>
            </w:pPr>
            <w:r>
              <w:rPr>
                <w:rFonts w:hint="eastAsia" w:ascii="宋体" w:hAnsi="宋体" w:eastAsia="宋体"/>
                <w:sz w:val="20"/>
                <w:szCs w:val="20"/>
              </w:rPr>
              <w:t>双辐射</w:t>
            </w:r>
          </w:p>
        </w:tc>
        <w:tc>
          <w:tcPr>
            <w:tcW w:w="3010" w:type="dxa"/>
            <w:shd w:val="clear" w:color="auto" w:fill="auto"/>
            <w:vAlign w:val="center"/>
          </w:tcPr>
          <w:p>
            <w:pPr>
              <w:keepNext/>
              <w:jc w:val="center"/>
              <w:rPr>
                <w:rFonts w:ascii="宋体" w:hAnsi="宋体" w:eastAsia="宋体"/>
                <w:sz w:val="20"/>
                <w:szCs w:val="20"/>
              </w:rPr>
            </w:pPr>
            <w:r>
              <w:rPr>
                <w:rFonts w:hint="eastAsia" w:ascii="宋体" w:hAnsi="宋体" w:eastAsia="宋体"/>
                <w:sz w:val="20"/>
                <w:szCs w:val="20"/>
              </w:rPr>
              <w:t>双辐射、双侧电源双T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620" w:type="dxa"/>
            <w:vMerge w:val="continue"/>
            <w:shd w:val="clear" w:color="auto" w:fill="auto"/>
            <w:vAlign w:val="center"/>
          </w:tcPr>
          <w:p>
            <w:pPr>
              <w:keepNext/>
              <w:jc w:val="center"/>
              <w:rPr>
                <w:rFonts w:ascii="宋体" w:hAnsi="宋体" w:eastAsia="宋体"/>
                <w:sz w:val="20"/>
                <w:szCs w:val="20"/>
              </w:rPr>
            </w:pPr>
          </w:p>
        </w:tc>
        <w:tc>
          <w:tcPr>
            <w:tcW w:w="604" w:type="dxa"/>
            <w:shd w:val="clear" w:color="auto" w:fill="auto"/>
            <w:vAlign w:val="center"/>
          </w:tcPr>
          <w:p>
            <w:pPr>
              <w:keepNext/>
              <w:jc w:val="center"/>
              <w:rPr>
                <w:rFonts w:ascii="宋体" w:hAnsi="宋体" w:eastAsia="宋体"/>
                <w:sz w:val="20"/>
                <w:szCs w:val="20"/>
              </w:rPr>
            </w:pPr>
            <w:r>
              <w:rPr>
                <w:rFonts w:hint="eastAsia" w:ascii="宋体" w:hAnsi="宋体" w:eastAsia="宋体"/>
                <w:sz w:val="20"/>
                <w:szCs w:val="20"/>
              </w:rPr>
              <w:t>E</w:t>
            </w:r>
          </w:p>
        </w:tc>
        <w:tc>
          <w:tcPr>
            <w:tcW w:w="1626" w:type="dxa"/>
            <w:shd w:val="clear" w:color="auto" w:fill="auto"/>
            <w:vAlign w:val="center"/>
          </w:tcPr>
          <w:p>
            <w:pPr>
              <w:keepNext/>
              <w:jc w:val="center"/>
              <w:rPr>
                <w:rFonts w:ascii="宋体" w:hAnsi="宋体" w:eastAsia="宋体"/>
                <w:sz w:val="20"/>
                <w:szCs w:val="20"/>
              </w:rPr>
            </w:pPr>
            <w:r>
              <w:rPr>
                <w:rFonts w:hint="eastAsia" w:ascii="宋体" w:hAnsi="宋体" w:eastAsia="宋体"/>
                <w:sz w:val="20"/>
                <w:szCs w:val="20"/>
              </w:rPr>
              <w:t>单辐射</w:t>
            </w:r>
          </w:p>
        </w:tc>
        <w:tc>
          <w:tcPr>
            <w:tcW w:w="2391" w:type="dxa"/>
            <w:shd w:val="clear" w:color="auto" w:fill="auto"/>
            <w:vAlign w:val="center"/>
          </w:tcPr>
          <w:p>
            <w:pPr>
              <w:keepNext/>
              <w:jc w:val="center"/>
              <w:rPr>
                <w:rFonts w:ascii="宋体" w:hAnsi="宋体" w:eastAsia="宋体"/>
                <w:sz w:val="20"/>
                <w:szCs w:val="20"/>
              </w:rPr>
            </w:pPr>
            <w:r>
              <w:rPr>
                <w:rFonts w:hint="eastAsia" w:ascii="宋体" w:hAnsi="宋体" w:eastAsia="宋体"/>
                <w:sz w:val="20"/>
                <w:szCs w:val="20"/>
              </w:rPr>
              <w:t>单辐射</w:t>
            </w:r>
          </w:p>
        </w:tc>
        <w:tc>
          <w:tcPr>
            <w:tcW w:w="3010" w:type="dxa"/>
            <w:shd w:val="clear" w:color="auto" w:fill="auto"/>
            <w:vAlign w:val="center"/>
          </w:tcPr>
          <w:p>
            <w:pPr>
              <w:keepNext/>
              <w:jc w:val="center"/>
              <w:rPr>
                <w:rFonts w:ascii="宋体" w:hAnsi="宋体" w:eastAsia="宋体"/>
                <w:sz w:val="20"/>
                <w:szCs w:val="20"/>
              </w:rPr>
            </w:pPr>
            <w:r>
              <w:rPr>
                <w:rFonts w:hint="eastAsia" w:ascii="宋体" w:hAnsi="宋体" w:eastAsia="宋体"/>
                <w:sz w:val="20"/>
                <w:szCs w:val="20"/>
              </w:rPr>
              <w:t>单辐射、双辐射、单链</w:t>
            </w:r>
          </w:p>
        </w:tc>
      </w:tr>
    </w:tbl>
    <w:p>
      <w:pPr>
        <w:pStyle w:val="9"/>
        <w:spacing w:line="578" w:lineRule="atLeast"/>
        <w:ind w:firstLine="0"/>
        <w:jc w:val="center"/>
      </w:pPr>
      <w:r>
        <mc:AlternateContent>
          <mc:Choice Requires="wps">
            <w:drawing>
              <wp:anchor distT="0" distB="0" distL="114300" distR="114300" simplePos="0" relativeHeight="251682816" behindDoc="0" locked="0" layoutInCell="1" allowOverlap="1">
                <wp:simplePos x="0" y="0"/>
                <wp:positionH relativeFrom="column">
                  <wp:posOffset>2587625</wp:posOffset>
                </wp:positionH>
                <wp:positionV relativeFrom="paragraph">
                  <wp:posOffset>294640</wp:posOffset>
                </wp:positionV>
                <wp:extent cx="2733675" cy="1600200"/>
                <wp:effectExtent l="9525" t="9525" r="9525" b="9525"/>
                <wp:wrapNone/>
                <wp:docPr id="4560" name="矩形 4560"/>
                <wp:cNvGraphicFramePr/>
                <a:graphic xmlns:a="http://schemas.openxmlformats.org/drawingml/2006/main">
                  <a:graphicData uri="http://schemas.microsoft.com/office/word/2010/wordprocessingShape">
                    <wps:wsp>
                      <wps:cNvSpPr>
                        <a:spLocks noChangeArrowheads="1"/>
                      </wps:cNvSpPr>
                      <wps:spPr bwMode="auto">
                        <a:xfrm>
                          <a:off x="0" y="0"/>
                          <a:ext cx="2733675" cy="160020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03.75pt;margin-top:23.2pt;height:126pt;width:215.25pt;z-index:251682816;mso-width-relative:page;mso-height-relative:page;" filled="f" stroked="t" coordsize="21600,21600" o:gfxdata="UEsDBAoAAAAAAIdO4kAAAAAAAAAAAAAAAAAEAAAAZHJzL1BLAwQUAAAACACHTuJAYEuRItkAAAAK&#10;AQAADwAAAGRycy9kb3ducmV2LnhtbE2PwU7DMAyG75N4h8hI3LZkoxulNJ0GYtdJDCTgljWmqdY4&#10;VZOt4+0xJ7jZ8qff31+uL74TZxxiG0jDfKZAINXBttRoeHvdTnMQMRmypguEGr4xwrq6mpSmsGGk&#10;FzzvUyM4hGJhNLiU+kLKWDv0Js5Cj8S3rzB4k3gdGmkHM3K47+RCqZX0piX+4EyPTw7r4/7kNTz3&#10;n7vNsoly857cxzE8jlu3a7S+uZ6rBxAJL+kPhl99VoeKnQ7hRDaKTkOm7paM8rDKQDCQ3+Zc7qBh&#10;cZ9nIKtS/q9Q/QBQSwMEFAAAAAgAh07iQBNw5IUWAgAA/wMAAA4AAABkcnMvZTJvRG9jLnhtbK1T&#10;UW4TMRD9R+IOlv/JZtMkbVfZVFWqIqQClQoHcLzeXQuvx4ydbMJlkPjrITgO4hqMvWlI4Q/hD8vj&#10;Gb+ZefO8uNp1hm0Veg225PlozJmyEiptm5J//HD76oIzH4SthAGrSr5Xnl8tX75Y9K5QE2jBVAoZ&#10;gVhf9K7kbQiuyDIvW9UJPwKnLDlrwE4EMrHJKhQ9oXcmm4zH86wHrByCVN7T7c3g5MuEX9dKhvd1&#10;7VVgpuRUW0g7pn0d92y5EEWDwrVaHsoQ/1BFJ7SlpEeoGxEE26D+C6rTEsFDHUYSugzqWkuVeqBu&#10;8vEf3Ty0wqnUC5Hj3ZEm//9g5bvtPTJdlXw6mxNBVnQ0pZ9fH398/8bSFTHUO19Q4IO7x9ijd3cg&#10;P3lmYdUK26hrROhbJSqqK4+MZs8eRMPTU7bu30JF6GITIJG1q7GLgEQD26WZ7I8zUbvAJF1Ozs/O&#10;5uczziT58vl4TFNPOUTx9NyhD68VdCweSo409AQvtnc+xHJE8RQSs1m41cakwRvL+pJfziaz9MCD&#10;0VV0pi6xWa8Msq2I0knrkPdZWKcDCdjoruQXp0HGHniIrQ8UrqHaEw0Igwrp19ChBfzCWU8KLLn/&#10;vBGoODNvLFF5mU+nUbLJmM7OJ2TgqWd96hFWElTJA2fDcRUGmW8c6qalTHnq0cI10V/rREwczVDV&#10;oVhSWeLr8COijE/tFPX73y5/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BLkSLZAAAACgEAAA8A&#10;AAAAAAAAAQAgAAAAIgAAAGRycy9kb3ducmV2LnhtbFBLAQIUABQAAAAIAIdO4kATcOSFFgIAAP8D&#10;AAAOAAAAAAAAAAEAIAAAACgBAABkcnMvZTJvRG9jLnhtbFBLBQYAAAAABgAGAFkBAACwBQAAAAA=&#10;">
                <v:fill on="f" focussize="0,0"/>
                <v:stroke color="#000000" miterlimit="8" joinstyle="miter"/>
                <v:imagedata o:title=""/>
                <o:lock v:ext="edit" aspectratio="f"/>
              </v:rect>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-222250</wp:posOffset>
                </wp:positionH>
                <wp:positionV relativeFrom="paragraph">
                  <wp:posOffset>294640</wp:posOffset>
                </wp:positionV>
                <wp:extent cx="2733675" cy="1600200"/>
                <wp:effectExtent l="9525" t="9525" r="9525" b="9525"/>
                <wp:wrapNone/>
                <wp:docPr id="4559" name="矩形 4559"/>
                <wp:cNvGraphicFramePr/>
                <a:graphic xmlns:a="http://schemas.openxmlformats.org/drawingml/2006/main">
                  <a:graphicData uri="http://schemas.microsoft.com/office/word/2010/wordprocessingShape">
                    <wps:wsp>
                      <wps:cNvSpPr>
                        <a:spLocks noChangeArrowheads="1"/>
                      </wps:cNvSpPr>
                      <wps:spPr bwMode="auto">
                        <a:xfrm>
                          <a:off x="0" y="0"/>
                          <a:ext cx="2733675" cy="160020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7.5pt;margin-top:23.2pt;height:126pt;width:215.25pt;z-index:251681792;mso-width-relative:page;mso-height-relative:page;" filled="f" stroked="t" coordsize="21600,21600" o:gfxdata="UEsDBAoAAAAAAIdO4kAAAAAAAAAAAAAAAAAEAAAAZHJzL1BLAwQUAAAACACHTuJAvX8Q+dkAAAAK&#10;AQAADwAAAGRycy9kb3ducmV2LnhtbE2PwU7DMBBE70j8g7VI3FqnbVK1IZuqIHqtREECbm682FHj&#10;dRS7Tfl7zAmOoxnNvKk2V9eJCw2h9Ywwm2YgiBuvWzYIb6+7yQpEiIq16jwTwjcF2NS3N5UqtR/5&#10;hS6HaEQq4VAqBBtjX0oZGktOhanviZP35QenYpKDkXpQYyp3nZxn2VI61XJasKqnJ0vN6XB2CM/9&#10;535bmCC379F+nPzjuLN7g3h/N8seQES6xr8w/OIndKgT09GfWQfRIUwWRfoSEfJlDiIFFuuiAHFE&#10;mK9XOci6kv8v1D9QSwMEFAAAAAgAh07iQGA1NIYWAgAA/wMAAA4AAABkcnMvZTJvRG9jLnhtbK1T&#10;XW4TMRB+R+IOlt/JZtP8NKtsqipVEVKBSoUDOF5v1sLrMWMnm3AZJN56CI6DuAZjbxpSeEP4wfJ4&#10;xt/MfPN5cbVvDdsp9BpsyfPBkDNlJVTabkr+8cPtq0vOfBC2EgasKvlBeX61fPli0blCjaABUylk&#10;BGJ90bmSNyG4Isu8bFQr/ACcsuSsAVsRyMRNVqHoCL012Wg4nGYdYOUQpPKebm96J18m/LpWMryv&#10;a68CMyWn2kLaMe3ruGfLhSg2KFyj5bEM8Q9VtEJbSnqCuhFBsC3qv6BaLRE81GEgoc2grrVUqQfq&#10;Jh/+0c1DI5xKvRA53p1o8v8PVr7b3SPTVcnHk8mcMytamtLPr48/vn9j6YoY6pwvKPDB3WPs0bs7&#10;kJ88s7BqhN2oa0ToGiUqqiuPjGbPHkTD01O27t5CRehiGyCRta+xjYBEA9unmRxOM1H7wCRdjmYX&#10;F9PZhDNJvnw6HNLUUw5RPD136MNrBS2Lh5IjDT3Bi92dD7EcUTyFxGwWbrUxafDGsq7k88lokh54&#10;MLqKztQlbtYrg2wnonTSOuZ9FtbqQAI2ui355XmQsUceYus9hWuoDkQDQq9C+jV0aAC/cNaRAkvu&#10;P28FKs7MG0tUzvPxOEo2GePJbEQGnnvW5x5hJUGVPHDWH1ehl/nWod40lClPPVq4JvprnYiJo+mr&#10;OhZLKkt8HX9ElPG5naJ+/9vl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1/EPnZAAAACgEAAA8A&#10;AAAAAAAAAQAgAAAAIgAAAGRycy9kb3ducmV2LnhtbFBLAQIUABQAAAAIAIdO4kBgNTSGFgIAAP8D&#10;AAAOAAAAAAAAAAEAIAAAACgBAABkcnMvZTJvRG9jLnhtbFBLBQYAAAAABgAGAFkBAACwBQAAAAA=&#10;">
                <v:fill on="f" focussize="0,0"/>
                <v:stroke color="#000000" miterlimit="8" joinstyle="miter"/>
                <v:imagedata o:title=""/>
                <o:lock v:ext="edit" aspectratio="f"/>
              </v:rect>
            </w:pict>
          </mc:Fallback>
        </mc:AlternateContent>
      </w:r>
    </w:p>
    <w:p>
      <w:pPr>
        <w:pStyle w:val="9"/>
        <w:spacing w:line="578" w:lineRule="atLeast"/>
        <w:ind w:firstLine="0"/>
        <w:jc w:val="center"/>
      </w:pPr>
      <w:r>
        <w:drawing>
          <wp:inline distT="0" distB="0" distL="0" distR="0">
            <wp:extent cx="1866900" cy="781050"/>
            <wp:effectExtent l="0" t="0" r="0" b="0"/>
            <wp:docPr id="4544" name="图片 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 name="图片 4544"/>
                    <pic:cNvPicPr>
                      <a:picLocks noChangeAspect="1" noChangeArrowheads="1"/>
                    </pic:cNvPicPr>
                  </pic:nvPicPr>
                  <pic:blipFill>
                    <a:blip r:embed="rId13" cstate="print">
                      <a:extLst>
                        <a:ext uri="{28A0092B-C50C-407E-A947-70E740481C1C}">
                          <a14:useLocalDpi xmlns:a14="http://schemas.microsoft.com/office/drawing/2010/main" val="0"/>
                        </a:ext>
                      </a:extLst>
                    </a:blip>
                    <a:srcRect l="14137" t="13914" r="9538" b="7788"/>
                    <a:stretch>
                      <a:fillRect/>
                    </a:stretch>
                  </pic:blipFill>
                  <pic:spPr>
                    <a:xfrm>
                      <a:off x="0" y="0"/>
                      <a:ext cx="1866900" cy="781050"/>
                    </a:xfrm>
                    <a:prstGeom prst="rect">
                      <a:avLst/>
                    </a:prstGeom>
                    <a:noFill/>
                    <a:ln>
                      <a:noFill/>
                    </a:ln>
                  </pic:spPr>
                </pic:pic>
              </a:graphicData>
            </a:graphic>
          </wp:inline>
        </w:drawing>
      </w:r>
      <w:r>
        <w:t xml:space="preserve">       </w:t>
      </w:r>
      <w:r>
        <w:drawing>
          <wp:inline distT="0" distB="0" distL="0" distR="0">
            <wp:extent cx="2371725" cy="1171575"/>
            <wp:effectExtent l="0" t="0" r="9525"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4" cstate="print">
                      <a:extLst>
                        <a:ext uri="{28A0092B-C50C-407E-A947-70E740481C1C}">
                          <a14:useLocalDpi xmlns:a14="http://schemas.microsoft.com/office/drawing/2010/main" val="0"/>
                        </a:ext>
                      </a:extLst>
                    </a:blip>
                    <a:srcRect l="3032" b="5974"/>
                    <a:stretch>
                      <a:fillRect/>
                    </a:stretch>
                  </pic:blipFill>
                  <pic:spPr>
                    <a:xfrm>
                      <a:off x="0" y="0"/>
                      <a:ext cx="2371725" cy="1171575"/>
                    </a:xfrm>
                    <a:prstGeom prst="rect">
                      <a:avLst/>
                    </a:prstGeom>
                    <a:noFill/>
                    <a:ln>
                      <a:noFill/>
                    </a:ln>
                  </pic:spPr>
                </pic:pic>
              </a:graphicData>
            </a:graphic>
          </wp:inline>
        </w:drawing>
      </w:r>
    </w:p>
    <w:p>
      <w:pPr>
        <w:pStyle w:val="9"/>
        <w:spacing w:line="578" w:lineRule="atLeast"/>
        <w:ind w:firstLine="0"/>
        <w:jc w:val="center"/>
        <w:rPr>
          <w:rFonts w:ascii="仿宋_GB2312" w:hAnsi="宋体" w:eastAsia="仿宋_GB2312"/>
          <w:sz w:val="32"/>
          <w:szCs w:val="32"/>
        </w:rPr>
      </w:pPr>
    </w:p>
    <w:p>
      <w:pPr>
        <w:pStyle w:val="9"/>
        <w:adjustRightInd w:val="0"/>
        <w:snapToGrid w:val="0"/>
        <w:spacing w:before="120" w:beforeLines="50" w:line="578" w:lineRule="atLeast"/>
        <w:ind w:firstLine="879" w:firstLineChars="314"/>
        <w:rPr>
          <w:rFonts w:ascii="仿宋_GB2312" w:hAnsi="宋体" w:eastAsia="仿宋_GB2312"/>
          <w:sz w:val="32"/>
          <w:szCs w:val="32"/>
        </w:rPr>
      </w:pPr>
      <w:r>
        <w:rPr>
          <w:rFonts w:ascii="仿宋_GB2312" w:hAnsi="宋体" w:eastAsia="仿宋_GB2312"/>
          <w:szCs w:val="28"/>
        </w:rPr>
        <w:t xml:space="preserve">图6-1 </w:t>
      </w:r>
      <w:r>
        <w:rPr>
          <w:rFonts w:hint="eastAsia" w:ascii="仿宋_GB2312" w:hAnsi="宋体" w:eastAsia="仿宋_GB2312"/>
          <w:szCs w:val="28"/>
        </w:rPr>
        <w:t xml:space="preserve">单辐射 </w:t>
      </w:r>
      <w:r>
        <w:rPr>
          <w:rFonts w:hint="eastAsia" w:ascii="仿宋_GB2312" w:eastAsia="仿宋_GB2312"/>
          <w:szCs w:val="28"/>
        </w:rPr>
        <w:t xml:space="preserve">  </w:t>
      </w:r>
      <w:r>
        <w:rPr>
          <w:rFonts w:ascii="仿宋_GB2312" w:eastAsia="仿宋_GB2312"/>
          <w:szCs w:val="28"/>
        </w:rPr>
        <w:t xml:space="preserve">               </w:t>
      </w:r>
      <w:r>
        <w:rPr>
          <w:rFonts w:ascii="仿宋_GB2312" w:hAnsi="宋体" w:eastAsia="仿宋_GB2312"/>
          <w:szCs w:val="28"/>
        </w:rPr>
        <w:t xml:space="preserve">图6-2 </w:t>
      </w:r>
      <w:r>
        <w:rPr>
          <w:rFonts w:hint="eastAsia" w:ascii="仿宋_GB2312" w:hAnsi="宋体" w:eastAsia="仿宋_GB2312"/>
          <w:szCs w:val="28"/>
        </w:rPr>
        <w:t>双辐射</w:t>
      </w:r>
    </w:p>
    <w:p>
      <w:pPr>
        <w:pStyle w:val="9"/>
        <w:spacing w:line="578" w:lineRule="atLeast"/>
        <w:ind w:firstLine="0"/>
        <w:jc w:val="center"/>
        <w:rPr>
          <w:rFonts w:ascii="仿宋_GB2312" w:hAnsi="宋体" w:eastAsia="仿宋_GB2312"/>
          <w:sz w:val="32"/>
          <w:szCs w:val="32"/>
        </w:rPr>
      </w:pPr>
      <w:r>
        <mc:AlternateContent>
          <mc:Choice Requires="wps">
            <w:drawing>
              <wp:anchor distT="0" distB="0" distL="114300" distR="114300" simplePos="0" relativeHeight="251686912" behindDoc="0" locked="0" layoutInCell="1" allowOverlap="1">
                <wp:simplePos x="0" y="0"/>
                <wp:positionH relativeFrom="column">
                  <wp:posOffset>276225</wp:posOffset>
                </wp:positionH>
                <wp:positionV relativeFrom="paragraph">
                  <wp:posOffset>240030</wp:posOffset>
                </wp:positionV>
                <wp:extent cx="2476500" cy="1657350"/>
                <wp:effectExtent l="12700" t="5715" r="6350" b="13335"/>
                <wp:wrapNone/>
                <wp:docPr id="4556" name="矩形 4556"/>
                <wp:cNvGraphicFramePr/>
                <a:graphic xmlns:a="http://schemas.openxmlformats.org/drawingml/2006/main">
                  <a:graphicData uri="http://schemas.microsoft.com/office/word/2010/wordprocessingShape">
                    <wps:wsp>
                      <wps:cNvSpPr>
                        <a:spLocks noChangeArrowheads="1"/>
                      </wps:cNvSpPr>
                      <wps:spPr bwMode="auto">
                        <a:xfrm>
                          <a:off x="0" y="0"/>
                          <a:ext cx="2476500" cy="165735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1.75pt;margin-top:18.9pt;height:130.5pt;width:195pt;z-index:251686912;mso-width-relative:page;mso-height-relative:page;" filled="f" stroked="t" coordsize="21600,21600" o:gfxdata="UEsDBAoAAAAAAIdO4kAAAAAAAAAAAAAAAAAEAAAAZHJzL1BLAwQUAAAACACHTuJAFM+PpdcAAAAJ&#10;AQAADwAAAGRycy9kb3ducmV2LnhtbE2PwU7DMBBE70j8g7VI3KjTpoUQsqkKotdKLUjAzY0XO2ps&#10;R7HblL9ne4Ljzoxm31TLs+vEiYbYBo8wnWQgyDdBt94gvL+t7woQMSmvVRc8IfxQhGV9fVWpUofR&#10;b+m0S0ZwiY+lQrAp9aWUsbHkVJyEnjx732FwKvE5GKkHNXK56+Qsy+6lU63nD1b19GKpOeyODuG1&#10;/9qsFibK1Ueyn4fwPK7txiDe3kyzJxCJzukvDBd8Roeamfbh6HUUHcI8X3ASIX/gBezP84uwR5g9&#10;FgXIupL/F9S/UEsDBBQAAAAIAIdO4kAIyEaAFwIAAP8DAAAOAAAAZHJzL2Uyb0RvYy54bWytU1GO&#10;0zAQ/UfiDpb/adrStLtR09Wqq0VIC6y0cADXcRILx2PGbtNyGST+9hAcB3ENxk63FPhD+MPyeGae&#10;570ZL6/2nWE7hV6DLflkNOZMWQmVtk3JP7y/fXHBmQ/CVsKAVSU/KM+vVs+fLXtXqCm0YCqFjECs&#10;L3pX8jYEV2SZl63qhB+BU5acNWAnApnYZBWKntA7k03H43nWA1YOQSrv6fZmcPJVwq9rJcO7uvYq&#10;MFNyqi2kHdO+iXu2WoqiQeFaLY9liH+oohPa0qMnqBsRBNui/guq0xLBQx1GEroM6lpLlTgQm8n4&#10;DzYPrXAqcSFxvDvJ5P8frHy7u0emq5LP8nzOmRUddenHl8fv376ydEUK9c4XFPjg7jFy9O4O5EfP&#10;LKxbYRt1jQh9q0RFdU2iotlvCdHwlMo2/RuoCF1sAySx9jV2EZBkYPvUk8OpJ2ofmKTL6Wwxz8fU&#10;Okm+yTxfvMxT1zJRPKU79OGVgo7FQ8mRmp7gxe7Oh1iOKJ5C4msWbrUxqfHGsr7kl/k0TwkejK6i&#10;M7HEZrM2yHYijk5aiRvxPw/rdKABNror+cV5kLFHHSL1QcINVAeSAWGYQvo1dGgBP3PW0wSW3H/a&#10;ClScmdeWpLyczGZxZJMxyxdTMvDcszn3CCsJquSBs+G4DsOYbx3qpqWXJomjhWuSv9ZJmNiaoapj&#10;sTRlSa/jj4hjfG6nqF//dvU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M+PpdcAAAAJAQAADwAA&#10;AAAAAAABACAAAAAiAAAAZHJzL2Rvd25yZXYueG1sUEsBAhQAFAAAAAgAh07iQAjIRoAXAgAA/wMA&#10;AA4AAAAAAAAAAQAgAAAAJgEAAGRycy9lMm9Eb2MueG1sUEsFBgAAAAAGAAYAWQEAAK8FAAAAAA==&#10;">
                <v:fill on="f" focussize="0,0"/>
                <v:stroke color="#000000" miterlimit="8" joinstyle="miter"/>
                <v:imagedata o:title=""/>
                <o:lock v:ext="edit" aspectratio="f"/>
              </v:rect>
            </w:pict>
          </mc:Fallback>
        </mc:AlternateContent>
      </w:r>
      <w:r>
        <w:drawing>
          <wp:anchor distT="0" distB="0" distL="114300" distR="114300" simplePos="0" relativeHeight="251688960" behindDoc="0" locked="0" layoutInCell="1" allowOverlap="1">
            <wp:simplePos x="0" y="0"/>
            <wp:positionH relativeFrom="column">
              <wp:posOffset>2874645</wp:posOffset>
            </wp:positionH>
            <wp:positionV relativeFrom="paragraph">
              <wp:posOffset>316865</wp:posOffset>
            </wp:positionV>
            <wp:extent cx="2114550" cy="1504315"/>
            <wp:effectExtent l="0" t="0" r="0" b="635"/>
            <wp:wrapSquare wrapText="bothSides"/>
            <wp:docPr id="4558" name="图片 4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8" name="图片 4558"/>
                    <pic:cNvPicPr>
                      <a:picLocks noChangeAspect="1" noChangeArrowheads="1"/>
                    </pic:cNvPicPr>
                  </pic:nvPicPr>
                  <pic:blipFill>
                    <a:blip r:embed="rId15" cstate="print">
                      <a:extLst>
                        <a:ext uri="{28A0092B-C50C-407E-A947-70E740481C1C}">
                          <a14:useLocalDpi xmlns:a14="http://schemas.microsoft.com/office/drawing/2010/main" val="0"/>
                        </a:ext>
                      </a:extLst>
                    </a:blip>
                    <a:srcRect l="5922" t="7780" r="9171" b="6619"/>
                    <a:stretch>
                      <a:fillRect/>
                    </a:stretch>
                  </pic:blipFill>
                  <pic:spPr>
                    <a:xfrm>
                      <a:off x="0" y="0"/>
                      <a:ext cx="2114550" cy="1504315"/>
                    </a:xfrm>
                    <a:prstGeom prst="rect">
                      <a:avLst/>
                    </a:prstGeom>
                    <a:noFill/>
                    <a:ln>
                      <a:noFill/>
                    </a:ln>
                  </pic:spPr>
                </pic:pic>
              </a:graphicData>
            </a:graphic>
          </wp:anchor>
        </w:drawing>
      </w:r>
      <w:r>
        <mc:AlternateContent>
          <mc:Choice Requires="wps">
            <w:drawing>
              <wp:anchor distT="0" distB="0" distL="114300" distR="114300" simplePos="0" relativeHeight="251687936" behindDoc="0" locked="0" layoutInCell="1" allowOverlap="1">
                <wp:simplePos x="0" y="0"/>
                <wp:positionH relativeFrom="margin">
                  <wp:align>left</wp:align>
                </wp:positionH>
                <wp:positionV relativeFrom="paragraph">
                  <wp:posOffset>230505</wp:posOffset>
                </wp:positionV>
                <wp:extent cx="2476500" cy="1657350"/>
                <wp:effectExtent l="0" t="0" r="19050" b="19050"/>
                <wp:wrapNone/>
                <wp:docPr id="4555" name="矩形 4555"/>
                <wp:cNvGraphicFramePr/>
                <a:graphic xmlns:a="http://schemas.openxmlformats.org/drawingml/2006/main">
                  <a:graphicData uri="http://schemas.microsoft.com/office/word/2010/wordprocessingShape">
                    <wps:wsp>
                      <wps:cNvSpPr>
                        <a:spLocks noChangeArrowheads="1"/>
                      </wps:cNvSpPr>
                      <wps:spPr bwMode="auto">
                        <a:xfrm>
                          <a:off x="0" y="0"/>
                          <a:ext cx="2476500" cy="165735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top:18.15pt;height:130.5pt;width:195pt;mso-position-horizontal:left;mso-position-horizontal-relative:margin;z-index:251687936;mso-width-relative:page;mso-height-relative:page;" filled="f" stroked="t" coordsize="21600,21600" o:gfxdata="UEsDBAoAAAAAAIdO4kAAAAAAAAAAAAAAAAAEAAAAZHJzL1BLAwQUAAAACACHTuJAr+trv9YAAAAH&#10;AQAADwAAAGRycy9kb3ducmV2LnhtbE2PwU7DMBBE70j8g7VI3KjdRpQ2ZFMVRK+VKEiFmxsbO2q8&#10;jmK3KX/PcoLjzoxm3larS+jE2Q6pjYQwnSgQlppoWnII72+buwWIlDUZ3UWyCN82waq+vqp0aeJI&#10;r/a8y05wCaVSI/ic+1LK1HgbdJrE3hJ7X3EIOvM5OGkGPXJ56ORMqbkMuiVe8Lq3z942x90pILz0&#10;n9v1vUtyvc/+4xifxo3fOsTbm6l6BJHtJf+F4Ref0aFmpkM8kUmiQ+BHMkIxL0CwWywVCweE2fKh&#10;AFlX8j9//QNQSwMEFAAAAAgAh07iQMWULeQXAgAA/wMAAA4AAABkcnMvZTJvRG9jLnhtbK1TUY7T&#10;MBD9R+IOlv9pmtK0u1HT1aqrRUgLrLRwANdxEgvHY8Zu03IZJP72EBwHcQ3GbrcU+EP4w/J4Zp7n&#10;vRkvrna9YVuFXoOteD4ac6ashFrbtuIf3t++uODMB2FrYcCqiu+V51fL588WgyvVBDowtUJGINaX&#10;g6t4F4Irs8zLTvXCj8ApS84GsBeBTGyzGsVA6L3JJuPxLBsAa4cglfd0e3Nw8mXCbxolw7um8Sow&#10;U3GqLaQd076Oe7ZciLJF4Totj2WIf6iiF9rSoyeoGxEE26D+C6rXEsFDE0YS+gyaRkuVOBCbfPwH&#10;m4dOOJW4kDjenWTy/w9Wvt3eI9N1xadFUXBmRU9d+vHl8fu3ryxdkUKD8yUFPrh7jBy9uwP50TML&#10;q07YVl0jwtApUVNdeVQ0+y0hGp5S2Xp4AzWhi02AJNauwT4Ckgxsl3qyP/VE7QKTdDmZzmfFmFon&#10;yZfPivnLInUtE+VTukMfXinoWTxUHKnpCV5s73yI5YjyKSS+ZuFWG5MabywbKn5ZTIqU4MHoOjoT&#10;S2zXK4NsK+LopJW4Ef/zsF4HGmCj+4pfnAcZe9QhUj9IuIZ6TzIgHKaQfg0dOsDPnA00gRX3nzYC&#10;FWfmtSUpL/PpNI5sMqbFfEIGnnvW5x5hJUFVPHB2OK7CYcw3DnXb0Ut54mjhmuRvdBImtuZQ1bFY&#10;mrKk1/FHxDE+t1PUr3+7/A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v62u/1gAAAAcBAAAPAAAA&#10;AAAAAAEAIAAAACIAAABkcnMvZG93bnJldi54bWxQSwECFAAUAAAACACHTuJAxZQt5BcCAAD/AwAA&#10;DgAAAAAAAAABACAAAAAlAQAAZHJzL2Uyb0RvYy54bWxQSwUGAAAAAAYABgBZAQAArgUAAAAA&#10;">
                <v:fill on="f" focussize="0,0"/>
                <v:stroke color="#000000" miterlimit="8" joinstyle="miter"/>
                <v:imagedata o:title=""/>
                <o:lock v:ext="edit" aspectratio="f"/>
              </v:rect>
            </w:pict>
          </mc:Fallback>
        </mc:AlternateContent>
      </w:r>
      <w:r>
        <w:drawing>
          <wp:anchor distT="0" distB="0" distL="114300" distR="114300" simplePos="0" relativeHeight="251689984" behindDoc="0" locked="0" layoutInCell="1" allowOverlap="1">
            <wp:simplePos x="0" y="0"/>
            <wp:positionH relativeFrom="column">
              <wp:posOffset>300990</wp:posOffset>
            </wp:positionH>
            <wp:positionV relativeFrom="paragraph">
              <wp:posOffset>363855</wp:posOffset>
            </wp:positionV>
            <wp:extent cx="1971040" cy="1457325"/>
            <wp:effectExtent l="0" t="0" r="0" b="9525"/>
            <wp:wrapSquare wrapText="bothSides"/>
            <wp:docPr id="4557" name="图片 4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7" name="图片 4557"/>
                    <pic:cNvPicPr>
                      <a:picLocks noChangeAspect="1" noChangeArrowheads="1"/>
                    </pic:cNvPicPr>
                  </pic:nvPicPr>
                  <pic:blipFill>
                    <a:blip r:embed="rId16" cstate="print">
                      <a:extLst>
                        <a:ext uri="{28A0092B-C50C-407E-A947-70E740481C1C}">
                          <a14:useLocalDpi xmlns:a14="http://schemas.microsoft.com/office/drawing/2010/main" val="0"/>
                        </a:ext>
                      </a:extLst>
                    </a:blip>
                    <a:srcRect l="3888" t="5363" r="2248" b="3206"/>
                    <a:stretch>
                      <a:fillRect/>
                    </a:stretch>
                  </pic:blipFill>
                  <pic:spPr>
                    <a:xfrm>
                      <a:off x="0" y="0"/>
                      <a:ext cx="1971040" cy="1457325"/>
                    </a:xfrm>
                    <a:prstGeom prst="rect">
                      <a:avLst/>
                    </a:prstGeom>
                    <a:noFill/>
                    <a:ln>
                      <a:noFill/>
                    </a:ln>
                  </pic:spPr>
                </pic:pic>
              </a:graphicData>
            </a:graphic>
          </wp:anchor>
        </w:drawing>
      </w:r>
    </w:p>
    <w:p>
      <w:pPr>
        <w:pStyle w:val="9"/>
        <w:spacing w:line="578" w:lineRule="atLeast"/>
        <w:ind w:firstLine="0"/>
        <w:jc w:val="center"/>
        <w:rPr>
          <w:rFonts w:ascii="仿宋_GB2312" w:hAnsi="宋体" w:eastAsia="仿宋_GB2312"/>
          <w:sz w:val="32"/>
          <w:szCs w:val="32"/>
        </w:rPr>
      </w:pPr>
    </w:p>
    <w:p>
      <w:pPr>
        <w:pStyle w:val="9"/>
        <w:spacing w:line="578" w:lineRule="atLeast"/>
        <w:ind w:firstLine="0"/>
        <w:jc w:val="center"/>
        <w:rPr>
          <w:rFonts w:ascii="仿宋_GB2312" w:hAnsi="宋体" w:eastAsia="仿宋_GB2312"/>
          <w:sz w:val="32"/>
          <w:szCs w:val="32"/>
        </w:rPr>
      </w:pPr>
    </w:p>
    <w:p>
      <w:pPr>
        <w:pStyle w:val="9"/>
        <w:spacing w:line="578" w:lineRule="atLeast"/>
        <w:ind w:firstLine="0"/>
        <w:jc w:val="center"/>
        <w:rPr>
          <w:rFonts w:ascii="仿宋_GB2312" w:hAnsi="宋体" w:eastAsia="仿宋_GB2312"/>
          <w:sz w:val="32"/>
          <w:szCs w:val="32"/>
        </w:rPr>
      </w:pPr>
    </w:p>
    <w:p>
      <w:pPr>
        <w:pStyle w:val="9"/>
        <w:spacing w:line="578" w:lineRule="atLeast"/>
        <w:ind w:firstLine="0"/>
        <w:jc w:val="center"/>
      </w:pPr>
      <w:r>
        <w:t xml:space="preserve">         </w:t>
      </w:r>
    </w:p>
    <w:p>
      <w:pPr>
        <w:pStyle w:val="9"/>
        <w:adjustRightInd w:val="0"/>
        <w:snapToGrid w:val="0"/>
        <w:spacing w:before="240" w:beforeLines="100" w:line="578" w:lineRule="atLeast"/>
        <w:ind w:firstLine="840" w:firstLineChars="300"/>
      </w:pPr>
      <w:r>
        <w:rPr>
          <w:rFonts w:ascii="仿宋_GB2312" w:hAnsi="宋体" w:eastAsia="仿宋_GB2312"/>
          <w:szCs w:val="28"/>
        </w:rPr>
        <w:t xml:space="preserve"> 图6-</w:t>
      </w:r>
      <w:r>
        <w:rPr>
          <w:rFonts w:hint="eastAsia" w:ascii="仿宋_GB2312" w:hAnsi="宋体" w:eastAsia="仿宋_GB2312"/>
          <w:szCs w:val="28"/>
        </w:rPr>
        <w:t>3</w:t>
      </w:r>
      <w:r>
        <w:rPr>
          <w:rFonts w:ascii="仿宋_GB2312" w:hAnsi="宋体" w:eastAsia="仿宋_GB2312"/>
          <w:szCs w:val="28"/>
        </w:rPr>
        <w:t xml:space="preserve"> </w:t>
      </w:r>
      <w:r>
        <w:rPr>
          <w:rFonts w:hint="eastAsia" w:ascii="仿宋_GB2312" w:hAnsi="宋体" w:eastAsia="仿宋_GB2312"/>
          <w:szCs w:val="28"/>
        </w:rPr>
        <w:t xml:space="preserve">单环网  </w:t>
      </w:r>
      <w:r>
        <w:rPr>
          <w:rFonts w:hint="eastAsia" w:ascii="仿宋_GB2312" w:eastAsia="仿宋_GB2312"/>
          <w:szCs w:val="28"/>
        </w:rPr>
        <w:t xml:space="preserve">   </w:t>
      </w:r>
      <w:r>
        <w:rPr>
          <w:rFonts w:ascii="仿宋_GB2312" w:eastAsia="仿宋_GB2312"/>
          <w:szCs w:val="28"/>
        </w:rPr>
        <w:t xml:space="preserve">           </w:t>
      </w:r>
      <w:r>
        <w:rPr>
          <w:rFonts w:ascii="仿宋_GB2312" w:hAnsi="宋体" w:eastAsia="仿宋_GB2312"/>
          <w:szCs w:val="28"/>
        </w:rPr>
        <w:t xml:space="preserve"> 图6-</w:t>
      </w:r>
      <w:r>
        <w:rPr>
          <w:rFonts w:hint="eastAsia" w:ascii="仿宋_GB2312" w:hAnsi="宋体" w:eastAsia="仿宋_GB2312"/>
          <w:szCs w:val="28"/>
        </w:rPr>
        <w:t>4</w:t>
      </w:r>
      <w:r>
        <w:rPr>
          <w:rFonts w:ascii="仿宋_GB2312" w:hAnsi="宋体" w:eastAsia="仿宋_GB2312"/>
          <w:szCs w:val="28"/>
        </w:rPr>
        <w:t xml:space="preserve"> </w:t>
      </w:r>
      <w:r>
        <w:rPr>
          <w:rFonts w:hint="eastAsia" w:ascii="仿宋_GB2312" w:hAnsi="宋体" w:eastAsia="仿宋_GB2312"/>
          <w:szCs w:val="28"/>
        </w:rPr>
        <w:t>双环网</w:t>
      </w:r>
    </w:p>
    <w:p>
      <w:pPr>
        <w:pStyle w:val="9"/>
        <w:spacing w:line="578" w:lineRule="atLeast"/>
        <w:ind w:firstLine="0"/>
        <w:jc w:val="center"/>
      </w:pPr>
    </w:p>
    <w:p>
      <w:pPr>
        <w:pStyle w:val="9"/>
        <w:spacing w:line="578" w:lineRule="atLeast"/>
        <w:ind w:firstLine="0"/>
        <w:jc w:val="center"/>
      </w:pPr>
      <w:r>
        <w:drawing>
          <wp:anchor distT="0" distB="0" distL="114300" distR="114300" simplePos="0" relativeHeight="251697152" behindDoc="0" locked="0" layoutInCell="1" allowOverlap="1">
            <wp:simplePos x="0" y="0"/>
            <wp:positionH relativeFrom="column">
              <wp:posOffset>941070</wp:posOffset>
            </wp:positionH>
            <wp:positionV relativeFrom="paragraph">
              <wp:posOffset>232410</wp:posOffset>
            </wp:positionV>
            <wp:extent cx="3324225" cy="1114425"/>
            <wp:effectExtent l="0" t="0" r="9525" b="9525"/>
            <wp:wrapSquare wrapText="bothSides"/>
            <wp:docPr id="4554" name="图片 4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4" name="图片 455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324225" cy="1114425"/>
                    </a:xfrm>
                    <a:prstGeom prst="rect">
                      <a:avLst/>
                    </a:prstGeom>
                    <a:noFill/>
                    <a:ln>
                      <a:noFill/>
                    </a:ln>
                  </pic:spPr>
                </pic:pic>
              </a:graphicData>
            </a:graphic>
          </wp:anchor>
        </w:drawing>
      </w:r>
      <w:r>
        <mc:AlternateContent>
          <mc:Choice Requires="wps">
            <w:drawing>
              <wp:anchor distT="0" distB="0" distL="114300" distR="114300" simplePos="0" relativeHeight="251685888" behindDoc="0" locked="0" layoutInCell="1" allowOverlap="1">
                <wp:simplePos x="0" y="0"/>
                <wp:positionH relativeFrom="column">
                  <wp:posOffset>873125</wp:posOffset>
                </wp:positionH>
                <wp:positionV relativeFrom="paragraph">
                  <wp:posOffset>151130</wp:posOffset>
                </wp:positionV>
                <wp:extent cx="3476625" cy="1266825"/>
                <wp:effectExtent l="9525" t="13970" r="9525" b="5080"/>
                <wp:wrapNone/>
                <wp:docPr id="4553" name="矩形 4553"/>
                <wp:cNvGraphicFramePr/>
                <a:graphic xmlns:a="http://schemas.openxmlformats.org/drawingml/2006/main">
                  <a:graphicData uri="http://schemas.microsoft.com/office/word/2010/wordprocessingShape">
                    <wps:wsp>
                      <wps:cNvSpPr>
                        <a:spLocks noChangeArrowheads="1"/>
                      </wps:cNvSpPr>
                      <wps:spPr bwMode="auto">
                        <a:xfrm>
                          <a:off x="0" y="0"/>
                          <a:ext cx="3476625" cy="1266825"/>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68.75pt;margin-top:11.9pt;height:99.75pt;width:273.75pt;z-index:251685888;mso-width-relative:page;mso-height-relative:page;" filled="f" stroked="t" coordsize="21600,21600" o:gfxdata="UEsDBAoAAAAAAIdO4kAAAAAAAAAAAAAAAAAEAAAAZHJzL1BLAwQUAAAACACHTuJAOidL29cAAAAK&#10;AQAADwAAAGRycy9kb3ducmV2LnhtbE2PwU7DMBBE70j8g7VI3KjTRClViFMVRK+VKEi0Nzde7Kjx&#10;Oordpvw9ywmOM/s0O1Ovrr4XFxxjF0jBfJaBQGqD6cgq+HjfPCxBxKTJ6D4QKvjGCKvm9qbWlQkT&#10;veFll6zgEIqVVuBSGiopY+vQ6zgLAxLfvsLodWI5WmlGPXG472WeZQvpdUf8wekBXxy2p93ZK3gd&#10;Dtt1aaNcfya3P4XnaeO2Vqn7u3n2BCLhNf3B8Fufq0PDnY7hTCaKnnXxWDKqIC94AgOLZcnjjmzk&#10;RQGyqeX/Cc0PUEsDBBQAAAAIAIdO4kD2yuxzFQIAAP8DAAAOAAAAZHJzL2Uyb0RvYy54bWytU1GO&#10;0zAQ/UfiDpb/aZpu2+1GTVerrhYhLbDSwgFcx0ksHI8Zu03LZZD44xAcB3ENxk63FPhD+MPyeMZv&#10;Zt48L6/3nWE7hV6DLXk+GnOmrIRK26bk79/dvVhw5oOwlTBgVckPyvPr1fNny94VagItmEohIxDr&#10;i96VvA3BFVnmZas64UfglCVnDdiJQCY2WYWiJ/TOZJPxeJ71gJVDkMp7ur0dnHyV8OtayfC2rr0K&#10;zJScagtpx7Rv4p6tlqJoULhWy2MZ4h+q6IS2lPQEdSuCYFvUf0F1WiJ4qMNIQpdBXWupUg/UTT7+&#10;o5vHVjiVeiFyvDvR5P8frHyze0Cmq5JPZ7MLzqzoaEo/Pn/9/u0LS1fEUO98QYGP7gFjj97dg/zg&#10;mYV1K2yjbhChb5WoqK48Mpr99iAanp6yTf8aKkIX2wCJrH2NXQQkGtg+zeRwmonaBybp8mJ6OZ9P&#10;ZpxJ8uWT+XxBRswhiqfnDn14qaBj8VBypKEneLG792EIfQqJ2SzcaWPoXhTGsr7kVzOCTI2B0VV0&#10;JgObzdog24konbSOef15WKcDCdjoruSL8yBjjzzE1gcKN1AdiAaEQYX0a+jQAn7irCcFltx/3ApU&#10;nJlXlqi8yqfTKNlkTGeXEzLw3LM59wgrCarkgbPhuA6DzLcOddNSpjz1aOGG6K91IiaOZqjqWCyp&#10;LFF7/BFRxud2ivr1b1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onS9vXAAAACgEAAA8AAAAA&#10;AAAAAQAgAAAAIgAAAGRycy9kb3ducmV2LnhtbFBLAQIUABQAAAAIAIdO4kD2yuxzFQIAAP8DAAAO&#10;AAAAAAAAAAEAIAAAACYBAABkcnMvZTJvRG9jLnhtbFBLBQYAAAAABgAGAFkBAACtBQAAAAA=&#10;">
                <v:fill on="f" focussize="0,0"/>
                <v:stroke color="#000000" miterlimit="8" joinstyle="miter"/>
                <v:imagedata o:title=""/>
                <o:lock v:ext="edit" aspectratio="f"/>
              </v:rect>
            </w:pict>
          </mc:Fallback>
        </mc:AlternateContent>
      </w:r>
    </w:p>
    <w:p>
      <w:pPr>
        <w:pStyle w:val="9"/>
        <w:spacing w:line="578" w:lineRule="atLeast"/>
        <w:ind w:firstLine="0"/>
        <w:jc w:val="center"/>
      </w:pPr>
    </w:p>
    <w:p>
      <w:pPr>
        <w:pStyle w:val="9"/>
        <w:spacing w:line="578" w:lineRule="atLeast"/>
        <w:ind w:firstLine="0"/>
        <w:jc w:val="center"/>
      </w:pPr>
    </w:p>
    <w:p>
      <w:pPr>
        <w:pStyle w:val="9"/>
        <w:spacing w:line="578" w:lineRule="atLeast"/>
        <w:ind w:firstLine="0"/>
        <w:jc w:val="center"/>
        <w:rPr>
          <w:rFonts w:ascii="仿宋_GB2312" w:hAnsi="宋体" w:eastAsia="仿宋_GB2312"/>
          <w:szCs w:val="28"/>
        </w:rPr>
      </w:pPr>
    </w:p>
    <w:p>
      <w:pPr>
        <w:pStyle w:val="9"/>
        <w:spacing w:before="120" w:beforeLines="50" w:line="578" w:lineRule="atLeast"/>
        <w:ind w:firstLine="0"/>
        <w:jc w:val="center"/>
        <w:rPr>
          <w:rFonts w:ascii="仿宋_GB2312" w:hAnsi="宋体" w:eastAsia="仿宋_GB2312"/>
          <w:szCs w:val="28"/>
        </w:rPr>
      </w:pPr>
      <w:r>
        <w:rPr>
          <w:rFonts w:ascii="仿宋_GB2312" w:hAnsi="宋体" w:eastAsia="仿宋_GB2312"/>
          <w:szCs w:val="28"/>
        </w:rPr>
        <w:t>图6-</w:t>
      </w:r>
      <w:r>
        <w:rPr>
          <w:rFonts w:hint="eastAsia" w:ascii="仿宋_GB2312" w:hAnsi="宋体" w:eastAsia="仿宋_GB2312"/>
          <w:szCs w:val="28"/>
        </w:rPr>
        <w:t>5</w:t>
      </w:r>
      <w:r>
        <w:rPr>
          <w:rFonts w:ascii="仿宋_GB2312" w:hAnsi="宋体" w:eastAsia="仿宋_GB2312"/>
          <w:szCs w:val="28"/>
        </w:rPr>
        <w:t xml:space="preserve"> </w:t>
      </w:r>
      <w:r>
        <w:rPr>
          <w:rFonts w:hint="eastAsia" w:ascii="仿宋_GB2312" w:hAnsi="宋体" w:eastAsia="仿宋_GB2312"/>
          <w:szCs w:val="28"/>
        </w:rPr>
        <w:t>单侧电源双T</w:t>
      </w:r>
    </w:p>
    <w:p>
      <w:pPr>
        <w:pStyle w:val="9"/>
        <w:spacing w:line="578" w:lineRule="atLeast"/>
        <w:ind w:firstLine="0"/>
        <w:jc w:val="center"/>
      </w:pPr>
      <w:r>
        <mc:AlternateContent>
          <mc:Choice Requires="wps">
            <w:drawing>
              <wp:anchor distT="0" distB="0" distL="114300" distR="114300" simplePos="0" relativeHeight="251683840" behindDoc="0" locked="0" layoutInCell="1" allowOverlap="1">
                <wp:simplePos x="0" y="0"/>
                <wp:positionH relativeFrom="column">
                  <wp:posOffset>15875</wp:posOffset>
                </wp:positionH>
                <wp:positionV relativeFrom="paragraph">
                  <wp:posOffset>195580</wp:posOffset>
                </wp:positionV>
                <wp:extent cx="5457825" cy="1343025"/>
                <wp:effectExtent l="9525" t="7620" r="9525" b="11430"/>
                <wp:wrapNone/>
                <wp:docPr id="4552" name="矩形 4552"/>
                <wp:cNvGraphicFramePr/>
                <a:graphic xmlns:a="http://schemas.openxmlformats.org/drawingml/2006/main">
                  <a:graphicData uri="http://schemas.microsoft.com/office/word/2010/wordprocessingShape">
                    <wps:wsp>
                      <wps:cNvSpPr>
                        <a:spLocks noChangeArrowheads="1"/>
                      </wps:cNvSpPr>
                      <wps:spPr bwMode="auto">
                        <a:xfrm>
                          <a:off x="0" y="0"/>
                          <a:ext cx="5457825" cy="1343025"/>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25pt;margin-top:15.4pt;height:105.75pt;width:429.75pt;z-index:251683840;mso-width-relative:page;mso-height-relative:page;" filled="f" stroked="t" coordsize="21600,21600" o:gfxdata="UEsDBAoAAAAAAIdO4kAAAAAAAAAAAAAAAAAEAAAAZHJzL1BLAwQUAAAACACHTuJARlRYptYAAAAI&#10;AQAADwAAAGRycy9kb3ducmV2LnhtbE2PwU7DMBBE70j8g7VI3KjdlFZVGqcqiF4rUZCgNzde7Kjx&#10;Oordpvw9ywmOOzOanVetr6ETFxxSG0nDdKJAIDXRtuQ0vL9tH5YgUjZkTRcJNXxjgnV9e1OZ0saR&#10;XvGyz05wCaXSaPA596WUqfEYTJrEHom9rzgEk/kcnLSDGbk8dLJQaiGDaYk/eNPjs8fmtD8HDS/9&#10;YbeZuyQ3H9l/nuLTuPU7p/X93VStQGS85r8w/M7n6VDzpmM8k02i01DMOahhphiA7eWiYLQj64/F&#10;DGRdyf8A9Q9QSwMEFAAAAAgAh07iQMt/W7wTAgAA/wMAAA4AAABkcnMvZTJvRG9jLnhtbK1TUY7T&#10;MBD9R+IOlv9pmm4D3ajpatXVIqQFVlo4gOs4iYXjMWO3abkMEn8cguMgrsHY6ZYCfwh/WB7P+M3M&#10;m+fl1b43bKfQa7AVzydTzpSVUGvbVvz9u9tnC858ELYWBqyq+EF5frV6+mQ5uFLNoANTK2QEYn05&#10;uIp3Ibgyy7zsVC/8BJyy5GwAexHIxDarUQyE3ptsNp0+zwbA2iFI5T3d3oxOvkr4TaNkeNs0XgVm&#10;Kk61hbRj2jdxz1ZLUbYoXKflsQzxD1X0QltKeoK6EUGwLeq/oHotETw0YSKhz6BptFSpB+omn/7R&#10;zUMnnEq9EDnenWjy/w9WvtndI9N1xedFMePMip6m9OPz1+/fvrB0RQwNzpcU+ODuMfbo3R3ID55Z&#10;WHfCtuoaEYZOiZrqyiOj2W8PouHpKdsMr6EmdLENkMjaN9hHQKKB7dNMDqeZqH1gki6LefFiMSs4&#10;k+TLL+YXUzJiDlE+Pnfow0sFPYuHiiMNPcGL3Z0PY+hjSMxm4VYbQ/eiNJYNFb8sCDI1BkbX0ZkM&#10;bDdrg2wnonTSOub152G9DiRgo/uKL86DjD3yEFsfKdxAfSAaEEYV0q+hQwf4ibOBFFhx/3ErUHFm&#10;Xlmi8jKfz6Nkk0EszMjAc8/m3COsJKiKB87G4zqMMt861G1HmfLUo4Vror/RiZg4mrGqY7GkskTt&#10;8UdEGZ/bKerXv139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ZUWKbWAAAACAEAAA8AAAAAAAAA&#10;AQAgAAAAIgAAAGRycy9kb3ducmV2LnhtbFBLAQIUABQAAAAIAIdO4kDLf1u8EwIAAP8DAAAOAAAA&#10;AAAAAAEAIAAAACUBAABkcnMvZTJvRG9jLnhtbFBLBQYAAAAABgAGAFkBAACqBQAAAAA=&#10;">
                <v:fill on="f" focussize="0,0"/>
                <v:stroke color="#000000" miterlimit="8" joinstyle="miter"/>
                <v:imagedata o:title=""/>
                <o:lock v:ext="edit" aspectratio="f"/>
              </v:rect>
            </w:pict>
          </mc:Fallback>
        </mc:AlternateContent>
      </w:r>
    </w:p>
    <w:p>
      <w:pPr>
        <w:pStyle w:val="9"/>
        <w:spacing w:line="578" w:lineRule="atLeast"/>
        <w:ind w:firstLine="0"/>
        <w:jc w:val="center"/>
      </w:pPr>
      <w:r>
        <w:drawing>
          <wp:inline distT="0" distB="0" distL="0" distR="0">
            <wp:extent cx="5362575" cy="1133475"/>
            <wp:effectExtent l="0" t="0" r="9525"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362575" cy="1133475"/>
                    </a:xfrm>
                    <a:prstGeom prst="rect">
                      <a:avLst/>
                    </a:prstGeom>
                    <a:noFill/>
                    <a:ln>
                      <a:noFill/>
                    </a:ln>
                  </pic:spPr>
                </pic:pic>
              </a:graphicData>
            </a:graphic>
          </wp:inline>
        </w:drawing>
      </w:r>
    </w:p>
    <w:p>
      <w:pPr>
        <w:pStyle w:val="9"/>
        <w:spacing w:before="120" w:beforeLines="50" w:line="578" w:lineRule="atLeast"/>
        <w:ind w:firstLine="0"/>
        <w:jc w:val="center"/>
        <w:rPr>
          <w:rFonts w:ascii="仿宋_GB2312" w:hAnsi="宋体" w:eastAsia="仿宋_GB2312"/>
          <w:szCs w:val="28"/>
        </w:rPr>
      </w:pPr>
      <w:r>
        <w:rPr>
          <w:rFonts w:ascii="仿宋_GB2312" w:hAnsi="宋体" w:eastAsia="仿宋_GB2312"/>
          <w:szCs w:val="28"/>
        </w:rPr>
        <w:t>图6-</w:t>
      </w:r>
      <w:r>
        <w:rPr>
          <w:rFonts w:hint="eastAsia" w:ascii="仿宋_GB2312" w:hAnsi="宋体" w:eastAsia="仿宋_GB2312"/>
          <w:szCs w:val="28"/>
        </w:rPr>
        <w:t>6</w:t>
      </w:r>
      <w:r>
        <w:rPr>
          <w:rFonts w:ascii="仿宋_GB2312" w:hAnsi="宋体" w:eastAsia="仿宋_GB2312"/>
          <w:szCs w:val="28"/>
        </w:rPr>
        <w:t xml:space="preserve"> </w:t>
      </w:r>
      <w:r>
        <w:rPr>
          <w:rFonts w:hint="eastAsia" w:ascii="仿宋_GB2312" w:hAnsi="宋体" w:eastAsia="仿宋_GB2312"/>
          <w:szCs w:val="28"/>
        </w:rPr>
        <w:t>双侧电源双T</w:t>
      </w:r>
    </w:p>
    <w:p>
      <w:pPr>
        <w:pStyle w:val="9"/>
        <w:spacing w:line="578" w:lineRule="atLeast"/>
        <w:ind w:firstLine="0"/>
        <w:jc w:val="center"/>
      </w:pPr>
      <w:r>
        <mc:AlternateContent>
          <mc:Choice Requires="wps">
            <w:drawing>
              <wp:anchor distT="0" distB="0" distL="114300" distR="114300" simplePos="0" relativeHeight="251684864" behindDoc="0" locked="0" layoutInCell="1" allowOverlap="1">
                <wp:simplePos x="0" y="0"/>
                <wp:positionH relativeFrom="column">
                  <wp:posOffset>6350</wp:posOffset>
                </wp:positionH>
                <wp:positionV relativeFrom="paragraph">
                  <wp:posOffset>208280</wp:posOffset>
                </wp:positionV>
                <wp:extent cx="5295900" cy="1600200"/>
                <wp:effectExtent l="9525" t="6985" r="9525" b="12065"/>
                <wp:wrapNone/>
                <wp:docPr id="4551" name="矩形 4551"/>
                <wp:cNvGraphicFramePr/>
                <a:graphic xmlns:a="http://schemas.openxmlformats.org/drawingml/2006/main">
                  <a:graphicData uri="http://schemas.microsoft.com/office/word/2010/wordprocessingShape">
                    <wps:wsp>
                      <wps:cNvSpPr>
                        <a:spLocks noChangeArrowheads="1"/>
                      </wps:cNvSpPr>
                      <wps:spPr bwMode="auto">
                        <a:xfrm>
                          <a:off x="0" y="0"/>
                          <a:ext cx="5295900" cy="160020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0.5pt;margin-top:16.4pt;height:126pt;width:417pt;z-index:251684864;mso-width-relative:page;mso-height-relative:page;" filled="f" stroked="t" coordsize="21600,21600" o:gfxdata="UEsDBAoAAAAAAIdO4kAAAAAAAAAAAAAAAAAEAAAAZHJzL1BLAwQUAAAACACHTuJAaOtlgNYAAAAI&#10;AQAADwAAAGRycy9kb3ducmV2LnhtbE2PwW7CMBBE75X4B2sr9VYcQkFRGgdBVa5IBaS2NxNv7Yh4&#10;HcWG0L/v9tQeZ2c0O69a3XwnrjjENpCC2TQDgdQE05JVcDxsHwsQMWkyuguECr4xwqqe3FW6NGGk&#10;N7zukxVcQrHUClxKfSllbBx6HaehR2LvKwxeJ5aDlWbQI5f7TuZZtpRet8QfnO7xxWFz3l+8gtf+&#10;c7de2CjX78l9nMNm3LqdVerhfpY9g0h4S39h+J3P06HmTadwIRNFx5pJkoJ5zgBsF/MFH04K8uKp&#10;AFlX8j9A/QNQSwMEFAAAAAgAh07iQE+x+9cUAgAA/wMAAA4AAABkcnMvZTJvRG9jLnhtbK1TUY7T&#10;MBD9R+IOlv9pkqpZtlHT1aqrRUgLrLRwANdxGgvHY8Zu03IZJP44BMdBXIOx0y1d+EP4w/J4xm9m&#10;3jwvrva9YTuFXoOteTHJOVNWQqPtpuYf3t++uOTMB2EbYcCqmh+U51fL588Wg6vUFDowjUJGINZX&#10;g6t5F4KrsszLTvXCT8ApS84WsBeBTNxkDYqB0HuTTfP8IhsAG4cglfd0ezM6+TLht62S4V3behWY&#10;qTnVFtKOaV/HPVsuRLVB4Totj2WIf6iiF9pS0hPUjQiCbVH/BdVrieChDRMJfQZtq6VKPVA3Rf5H&#10;Nw+dcCr1QuR4d6LJ/z9Y+XZ3j0w3NZ+VZcGZFT1N6eeXbz++f2XpihganK8o8MHdY+zRuzuQHz2z&#10;sOqE3ahrRBg6JRqqq4iMZk8eRMPTU7Ye3kBD6GIbIJG1b7GPgEQD26eZHE4zUfvAJF2W03k5z2l0&#10;knzFRZ7T1FMOUT0+d+jDKwU9i4eaIw09wYvdnQ+xHFE9hsRsFm61MWnwxrKh5vNyWqYHHoxuojN1&#10;iZv1yiDbiSidtI55n4T1OpCAje5rfnkeZOyRh9j6SOEamgPRgDCqkH4NHTrAz5wNpMCa+09bgYoz&#10;89oSlfNiNouSTcasfDklA88963OPsJKgah44G4+rMMp861BvOspUpB4tXBP9rU7ExNGMVR2LJZUl&#10;vo4/Isr43E5Rv//t8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o62WA1gAAAAgBAAAPAAAAAAAA&#10;AAEAIAAAACIAAABkcnMvZG93bnJldi54bWxQSwECFAAUAAAACACHTuJAT7H71xQCAAD/AwAADgAA&#10;AAAAAAABACAAAAAlAQAAZHJzL2Uyb0RvYy54bWxQSwUGAAAAAAYABgBZAQAAqwUAAAAA&#10;">
                <v:fill on="f" focussize="0,0"/>
                <v:stroke color="#000000" miterlimit="8" joinstyle="miter"/>
                <v:imagedata o:title=""/>
                <o:lock v:ext="edit" aspectratio="f"/>
              </v:rect>
            </w:pict>
          </mc:Fallback>
        </mc:AlternateContent>
      </w:r>
    </w:p>
    <w:p>
      <w:pPr>
        <w:pStyle w:val="9"/>
        <w:spacing w:line="578" w:lineRule="atLeast"/>
        <w:ind w:firstLine="0"/>
        <w:jc w:val="center"/>
      </w:pPr>
      <w:r>
        <w:drawing>
          <wp:inline distT="0" distB="0" distL="0" distR="0">
            <wp:extent cx="5019675" cy="1390650"/>
            <wp:effectExtent l="0" t="0" r="952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019675" cy="1390650"/>
                    </a:xfrm>
                    <a:prstGeom prst="rect">
                      <a:avLst/>
                    </a:prstGeom>
                    <a:noFill/>
                    <a:ln>
                      <a:noFill/>
                    </a:ln>
                  </pic:spPr>
                </pic:pic>
              </a:graphicData>
            </a:graphic>
          </wp:inline>
        </w:drawing>
      </w:r>
    </w:p>
    <w:p>
      <w:pPr>
        <w:pStyle w:val="9"/>
        <w:spacing w:before="240" w:beforeLines="100" w:line="578" w:lineRule="atLeast"/>
        <w:ind w:firstLine="0"/>
        <w:jc w:val="center"/>
        <w:rPr>
          <w:rFonts w:ascii="仿宋_GB2312" w:hAnsi="宋体" w:eastAsia="仿宋_GB2312"/>
          <w:szCs w:val="28"/>
        </w:rPr>
      </w:pPr>
      <w:r>
        <w:rPr>
          <w:rFonts w:ascii="仿宋_GB2312" w:hAnsi="宋体" w:eastAsia="仿宋_GB2312"/>
          <w:szCs w:val="28"/>
        </w:rPr>
        <w:t>图6-</w:t>
      </w:r>
      <w:r>
        <w:rPr>
          <w:rFonts w:hint="eastAsia" w:ascii="仿宋_GB2312" w:hAnsi="宋体" w:eastAsia="仿宋_GB2312"/>
          <w:szCs w:val="28"/>
        </w:rPr>
        <w:t>7</w:t>
      </w:r>
      <w:r>
        <w:rPr>
          <w:rFonts w:ascii="仿宋_GB2312" w:hAnsi="宋体" w:eastAsia="仿宋_GB2312"/>
          <w:szCs w:val="28"/>
        </w:rPr>
        <w:t xml:space="preserve"> </w:t>
      </w:r>
      <w:r>
        <w:rPr>
          <w:rFonts w:hint="eastAsia" w:ascii="仿宋_GB2312" w:hAnsi="宋体" w:eastAsia="仿宋_GB2312"/>
          <w:szCs w:val="28"/>
        </w:rPr>
        <w:t>双侧电源三T</w:t>
      </w:r>
    </w:p>
    <w:p>
      <w:pPr>
        <w:pStyle w:val="9"/>
        <w:spacing w:line="578" w:lineRule="atLeast"/>
        <w:ind w:firstLine="0"/>
        <w:jc w:val="center"/>
        <w:rPr>
          <w:rFonts w:ascii="仿宋_GB2312" w:hAnsi="宋体" w:eastAsia="仿宋_GB2312"/>
          <w:szCs w:val="28"/>
        </w:rPr>
      </w:pPr>
      <w:r>
        <mc:AlternateContent>
          <mc:Choice Requires="wps">
            <w:drawing>
              <wp:anchor distT="0" distB="0" distL="114300" distR="114300" simplePos="0" relativeHeight="251691008" behindDoc="0" locked="0" layoutInCell="1" allowOverlap="1">
                <wp:simplePos x="0" y="0"/>
                <wp:positionH relativeFrom="page">
                  <wp:align>center</wp:align>
                </wp:positionH>
                <wp:positionV relativeFrom="paragraph">
                  <wp:posOffset>272415</wp:posOffset>
                </wp:positionV>
                <wp:extent cx="4962525" cy="1200150"/>
                <wp:effectExtent l="0" t="0" r="28575" b="19050"/>
                <wp:wrapNone/>
                <wp:docPr id="4550" name="矩形 4550"/>
                <wp:cNvGraphicFramePr/>
                <a:graphic xmlns:a="http://schemas.openxmlformats.org/drawingml/2006/main">
                  <a:graphicData uri="http://schemas.microsoft.com/office/word/2010/wordprocessingShape">
                    <wps:wsp>
                      <wps:cNvSpPr>
                        <a:spLocks noChangeArrowheads="1"/>
                      </wps:cNvSpPr>
                      <wps:spPr bwMode="auto">
                        <a:xfrm>
                          <a:off x="0" y="0"/>
                          <a:ext cx="4962525" cy="120015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top:21.45pt;height:94.5pt;width:390.75pt;mso-position-horizontal:center;mso-position-horizontal-relative:page;z-index:251691008;mso-width-relative:page;mso-height-relative:page;" filled="f" stroked="t" coordsize="21600,21600" o:gfxdata="UEsDBAoAAAAAAIdO4kAAAAAAAAAAAAAAAAAEAAAAZHJzL1BLAwQUAAAACACHTuJAULm4i9cAAAAH&#10;AQAADwAAAGRycy9kb3ducmV2LnhtbE2PwU7DMBBE70j8g7VI3KiTQGkbsqkKotdKLUiFmxsvdtR4&#10;HcVuU/4ec4LjaEYzb6rlxXXiTENoPSPkkwwEceN1ywbh/W19NwcRomKtOs+E8E0BlvX1VaVK7Ufe&#10;0nkXjUglHEqFYGPsSylDY8mpMPE9cfK+/OBUTHIwUg9qTOWuk0WWPUqnWk4LVvX0Yqk57k4O4bX/&#10;3KymJsjVPtqPo38e13ZjEG9v8uwJRKRL/AvDL35ChzoxHfyJdRAdQjoSER6KBYjkzub5FMQBobjP&#10;FyDrSv7nr38AUEsDBBQAAAAIAIdO4kDn0F8vEgIAAP8DAAAOAAAAZHJzL2Uyb0RvYy54bWytU1Fu&#10;EzEQ/UfiDpb/yWajpDSrbKoqVRFSgUqFAzheb9bC9pixk024DBJ/HKLHQVyDsTcNAf4Q/rA8nvGb&#10;mTfPi6u9NWynMGhwNS9HY86Uk9Bot6n5h/e3Ly45C1G4RhhwquYHFfjV8vmzRe8rNYEOTKOQEYgL&#10;Ve9r3sXoq6IIslNWhBF45cjZAloRycRN0aDoCd2aYjIeXxQ9YOMRpAqBbm8GJ19m/LZVMr5r26Ai&#10;MzWn2mLeMe/rtBfLhag2KHyn5bEM8Q9VWKEdJT1B3Ygo2Bb1X1BWS4QAbRxJsAW0rZYq90DdlOM/&#10;unnohFe5FyIn+BNN4f/Byre7e2S6qfl0NiOCnLA0pR9fvn1//MryFTHU+1BR4IO/x9Rj8HcgPwbm&#10;YNUJt1HXiNB3SjRUV5kYLX57kIxAT9m6fwMNoYtthEzWvkWbAIkGts8zOZxmovaRSbqczi8ms8mM&#10;M0m+kkZeUpkph6iennsM8ZUCy9Kh5khDz/BidxfiEPoUkrI5uNXG0L2ojGN9zecJPzcGRjfJmQ3c&#10;rFcG2U4k6eR1zBvOw6yOJGCjbc0vz4OMO/KQWh8oXENzIBoQBhXSr6FDB/iZs54UWPPwaStQcWZe&#10;O6JyXk6nSbLZmM5eTsjAc8/63COcJKiaR86G4yoOMt961JuOMpW5RwfXRH+rMzFpNENVx2JJZZna&#10;449IMj63c9Svf7v8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C5uIvXAAAABwEAAA8AAAAAAAAA&#10;AQAgAAAAIgAAAGRycy9kb3ducmV2LnhtbFBLAQIUABQAAAAIAIdO4kDn0F8vEgIAAP8DAAAOAAAA&#10;AAAAAAEAIAAAACYBAABkcnMvZTJvRG9jLnhtbFBLBQYAAAAABgAGAFkBAACqBQAAAAA=&#10;">
                <v:fill on="f" focussize="0,0"/>
                <v:stroke color="#000000" miterlimit="8" joinstyle="miter"/>
                <v:imagedata o:title=""/>
                <o:lock v:ext="edit" aspectratio="f"/>
              </v:rect>
            </w:pict>
          </mc:Fallback>
        </mc:AlternateContent>
      </w:r>
    </w:p>
    <w:p>
      <w:pPr>
        <w:pStyle w:val="9"/>
        <w:spacing w:line="578" w:lineRule="atLeast"/>
        <w:ind w:firstLine="0"/>
        <w:jc w:val="center"/>
        <w:rPr>
          <w:rFonts w:ascii="仿宋_GB2312" w:hAnsi="宋体" w:eastAsia="仿宋_GB2312"/>
          <w:szCs w:val="28"/>
        </w:rPr>
      </w:pPr>
      <w:r>
        <w:drawing>
          <wp:anchor distT="0" distB="0" distL="114300" distR="114300" simplePos="0" relativeHeight="251693056" behindDoc="0" locked="0" layoutInCell="1" allowOverlap="1">
            <wp:simplePos x="0" y="0"/>
            <wp:positionH relativeFrom="column">
              <wp:posOffset>368300</wp:posOffset>
            </wp:positionH>
            <wp:positionV relativeFrom="paragraph">
              <wp:posOffset>48260</wp:posOffset>
            </wp:positionV>
            <wp:extent cx="4648200" cy="923925"/>
            <wp:effectExtent l="0" t="0" r="0" b="9525"/>
            <wp:wrapSquare wrapText="bothSides"/>
            <wp:docPr id="4549" name="图片 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9" name="图片 45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648200" cy="923925"/>
                    </a:xfrm>
                    <a:prstGeom prst="rect">
                      <a:avLst/>
                    </a:prstGeom>
                    <a:noFill/>
                    <a:ln>
                      <a:noFill/>
                    </a:ln>
                  </pic:spPr>
                </pic:pic>
              </a:graphicData>
            </a:graphic>
          </wp:anchor>
        </w:drawing>
      </w:r>
    </w:p>
    <w:p>
      <w:pPr>
        <w:pStyle w:val="9"/>
        <w:spacing w:line="578" w:lineRule="atLeast"/>
        <w:ind w:firstLine="0"/>
        <w:jc w:val="center"/>
        <w:rPr>
          <w:rFonts w:ascii="仿宋_GB2312" w:hAnsi="宋体" w:eastAsia="仿宋_GB2312"/>
          <w:szCs w:val="28"/>
        </w:rPr>
      </w:pPr>
    </w:p>
    <w:p>
      <w:pPr>
        <w:pStyle w:val="9"/>
        <w:spacing w:before="240" w:beforeLines="100" w:line="578" w:lineRule="atLeast"/>
        <w:ind w:firstLine="3640" w:firstLineChars="1300"/>
        <w:rPr>
          <w:rFonts w:ascii="仿宋_GB2312" w:hAnsi="宋体" w:eastAsia="仿宋_GB2312"/>
          <w:szCs w:val="28"/>
        </w:rPr>
      </w:pPr>
      <w:r>
        <w:rPr>
          <w:rFonts w:hint="eastAsia" w:ascii="仿宋_GB2312" w:hAnsi="宋体" w:eastAsia="仿宋_GB2312"/>
          <w:szCs w:val="28"/>
        </w:rPr>
        <w:t>图</w:t>
      </w:r>
      <w:r>
        <w:rPr>
          <w:rFonts w:ascii="仿宋_GB2312" w:hAnsi="宋体" w:eastAsia="仿宋_GB2312"/>
          <w:szCs w:val="28"/>
        </w:rPr>
        <w:t xml:space="preserve">6-8 </w:t>
      </w:r>
      <w:r>
        <w:rPr>
          <w:rFonts w:hint="eastAsia" w:ascii="仿宋_GB2312" w:hAnsi="宋体" w:eastAsia="仿宋_GB2312"/>
          <w:szCs w:val="28"/>
        </w:rPr>
        <w:t>单链</w:t>
      </w:r>
    </w:p>
    <w:p>
      <w:pPr>
        <w:pStyle w:val="9"/>
        <w:spacing w:line="578" w:lineRule="atLeast"/>
        <w:ind w:firstLine="0"/>
        <w:jc w:val="center"/>
        <w:rPr>
          <w:rFonts w:ascii="仿宋_GB2312" w:hAnsi="宋体" w:eastAsia="仿宋_GB2312"/>
          <w:szCs w:val="28"/>
        </w:rPr>
      </w:pPr>
    </w:p>
    <w:p>
      <w:pPr>
        <w:pStyle w:val="9"/>
        <w:spacing w:before="360" w:beforeLines="150" w:line="578" w:lineRule="atLeast"/>
        <w:ind w:firstLine="0"/>
        <w:jc w:val="center"/>
        <w:rPr>
          <w:rFonts w:ascii="仿宋_GB2312" w:hAnsi="宋体" w:eastAsia="仿宋_GB2312"/>
          <w:szCs w:val="28"/>
        </w:rPr>
      </w:pPr>
      <w:r>
        <w:rPr>
          <w:rFonts w:ascii="仿宋_GB2312" w:hAnsi="宋体" w:eastAsia="仿宋_GB2312"/>
          <w:szCs w:val="28"/>
        </w:rPr>
        <mc:AlternateContent>
          <mc:Choice Requires="wps">
            <w:drawing>
              <wp:anchor distT="0" distB="0" distL="114300" distR="114300" simplePos="0" relativeHeight="251699200" behindDoc="0" locked="0" layoutInCell="1" allowOverlap="1">
                <wp:simplePos x="0" y="0"/>
                <wp:positionH relativeFrom="column">
                  <wp:posOffset>194310</wp:posOffset>
                </wp:positionH>
                <wp:positionV relativeFrom="paragraph">
                  <wp:posOffset>285115</wp:posOffset>
                </wp:positionV>
                <wp:extent cx="5078095" cy="1200150"/>
                <wp:effectExtent l="8255" t="9525" r="9525" b="9525"/>
                <wp:wrapNone/>
                <wp:docPr id="4548" name="矩形 4548"/>
                <wp:cNvGraphicFramePr/>
                <a:graphic xmlns:a="http://schemas.openxmlformats.org/drawingml/2006/main">
                  <a:graphicData uri="http://schemas.microsoft.com/office/word/2010/wordprocessingShape">
                    <wps:wsp>
                      <wps:cNvSpPr>
                        <a:spLocks noChangeArrowheads="1"/>
                      </wps:cNvSpPr>
                      <wps:spPr bwMode="auto">
                        <a:xfrm>
                          <a:off x="0" y="0"/>
                          <a:ext cx="5078095" cy="120015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5.3pt;margin-top:22.45pt;height:94.5pt;width:399.85pt;z-index:251699200;mso-width-relative:page;mso-height-relative:page;" filled="f" stroked="t" coordsize="21600,21600" o:gfxdata="UEsDBAoAAAAAAIdO4kAAAAAAAAAAAAAAAAAEAAAAZHJzL1BLAwQUAAAACACHTuJA7Ztk6NgAAAAJ&#10;AQAADwAAAGRycy9kb3ducmV2LnhtbE2PwU7DMBBE70j8g7VI3KjdplRtyKYqiF4rUZCAmxsvdtR4&#10;HcVuU/4ec4LjaEYzb6r1xXfiTENsAyNMJwoEcRNMyxbh7XV7twQRk2aju8CE8E0R1vX1VaVLE0Z+&#10;ofM+WZFLOJYawaXUl1LGxpHXcRJ64ux9hcHrlOVgpRn0mMt9J2dKLaTXLecFp3t6ctQc9yeP8Nx/&#10;7jb3NsrNe3Ifx/A4bt3OIt7eTNUDiESX9BeGX/yMDnVmOoQTmyg6hEItchJhPl+ByP6yUAWIA8Ks&#10;KFYg60r+f1D/AFBLAwQUAAAACACHTuJAie7+EhYCAAD/AwAADgAAAGRycy9lMm9Eb2MueG1srVNR&#10;jtMwEP1H4g6W/2mSqmG3UdPVqqtFSAustHAA13EaC8djxm7Tchkk/jjEHgdxDcZOtxT4Q+TDynjG&#10;z/PeGy+u9r1hO4Veg615Mck5U1ZCo+2m5h/e37645MwHYRthwKqaH5TnV8vnzxaDq9QUOjCNQkYg&#10;1leDq3kXgquyzMtO9cJPwClLyRawF4FC3GQNioHQe5NN8/xlNgA2DkEq72n3ZkzyZcJvWyXDu7b1&#10;KjBTc+otpBXTuo5rtlyIaoPCdVoe2xD/0EUvtKVLT1A3Igi2Rf0XVK8lgoc2TCT0GbStlipxIDZF&#10;/gebh044lbiQON6dZPL/D1a+3d0j003NZ+WMvLKiJ5d+fPn2/fErS1uk0OB8RYUP7h4jR+/uQH70&#10;zMKqE3ajrhFh6JRoqK8iKpr9diAGno6y9fAGGkIX2wBJrH2LfQQkGdg+eXI4eaL2gUnaLPOLy3xe&#10;ciYpV5DlRZlcy0T1dNyhD68U9Cz+1BzJ9AQvdnc+xHZE9VQSb7Nwq41JxhvLhprPy2mZDngwuonJ&#10;xBI365VBthNxdNKXuBH/87JeBxpgo/uaX54XGXvUIVIfJVxDcyAZEMYppFdDPx3gZ84GmsCa+09b&#10;gYoz89qSlPNiNosjm4JZeTGlAM8z6/OMsJKgah44G39XYRzzrUO96eimInG0cE3ytzoJE60Zuzo2&#10;S1OW9Dq+iDjG53Gq+vVul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7Ztk6NgAAAAJAQAADwAA&#10;AAAAAAABACAAAAAiAAAAZHJzL2Rvd25yZXYueG1sUEsBAhQAFAAAAAgAh07iQInu/hIWAgAA/wMA&#10;AA4AAAAAAAAAAQAgAAAAJwEAAGRycy9lMm9Eb2MueG1sUEsFBgAAAAAGAAYAWQEAAK8FAAAAAA==&#10;">
                <v:fill on="f" focussize="0,0"/>
                <v:stroke color="#000000" miterlimit="8" joinstyle="miter"/>
                <v:imagedata o:title=""/>
                <o:lock v:ext="edit" aspectratio="f"/>
              </v:rect>
            </w:pict>
          </mc:Fallback>
        </mc:AlternateContent>
      </w:r>
    </w:p>
    <w:p>
      <w:pPr>
        <w:pStyle w:val="9"/>
        <w:spacing w:before="360" w:beforeLines="150" w:line="578" w:lineRule="atLeast"/>
        <w:ind w:firstLine="0"/>
        <w:jc w:val="center"/>
        <w:rPr>
          <w:rFonts w:ascii="仿宋_GB2312" w:hAnsi="宋体" w:eastAsia="仿宋_GB2312"/>
          <w:szCs w:val="28"/>
        </w:rPr>
      </w:pPr>
      <w:r>
        <w:rPr>
          <w:rFonts w:ascii="仿宋_GB2312" w:hAnsi="宋体" w:eastAsia="仿宋_GB2312"/>
          <w:szCs w:val="28"/>
        </w:rPr>
        <w:drawing>
          <wp:anchor distT="0" distB="0" distL="114300" distR="114300" simplePos="0" relativeHeight="251692032" behindDoc="0" locked="0" layoutInCell="1" allowOverlap="1">
            <wp:simplePos x="0" y="0"/>
            <wp:positionH relativeFrom="column">
              <wp:posOffset>153035</wp:posOffset>
            </wp:positionH>
            <wp:positionV relativeFrom="paragraph">
              <wp:posOffset>114935</wp:posOffset>
            </wp:positionV>
            <wp:extent cx="5210175" cy="828675"/>
            <wp:effectExtent l="0" t="0" r="9525" b="9525"/>
            <wp:wrapSquare wrapText="bothSides"/>
            <wp:docPr id="4547" name="图片 4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7" name="图片 454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10175" cy="828675"/>
                    </a:xfrm>
                    <a:prstGeom prst="rect">
                      <a:avLst/>
                    </a:prstGeom>
                    <a:noFill/>
                    <a:ln>
                      <a:noFill/>
                    </a:ln>
                  </pic:spPr>
                </pic:pic>
              </a:graphicData>
            </a:graphic>
          </wp:anchor>
        </w:drawing>
      </w:r>
      <w:r>
        <w:rPr>
          <w:rFonts w:ascii="仿宋_GB2312" w:hAnsi="宋体" w:eastAsia="仿宋_GB2312"/>
          <w:szCs w:val="28"/>
        </w:rPr>
        <w:t>图6-</w:t>
      </w:r>
      <w:r>
        <w:rPr>
          <w:rFonts w:hint="eastAsia" w:ascii="仿宋_GB2312" w:hAnsi="宋体" w:eastAsia="仿宋_GB2312"/>
          <w:szCs w:val="28"/>
        </w:rPr>
        <w:t>9</w:t>
      </w:r>
      <w:r>
        <w:rPr>
          <w:rFonts w:ascii="仿宋_GB2312" w:hAnsi="宋体" w:eastAsia="仿宋_GB2312"/>
          <w:szCs w:val="28"/>
        </w:rPr>
        <w:t xml:space="preserve"> </w:t>
      </w:r>
      <w:r>
        <w:rPr>
          <w:rFonts w:hint="eastAsia" w:ascii="仿宋_GB2312" w:hAnsi="宋体" w:eastAsia="仿宋_GB2312"/>
          <w:szCs w:val="28"/>
        </w:rPr>
        <w:t>双链</w:t>
      </w:r>
    </w:p>
    <w:p>
      <w:pPr>
        <w:pStyle w:val="9"/>
        <w:spacing w:line="578" w:lineRule="atLeast"/>
        <w:ind w:firstLine="0"/>
        <w:jc w:val="center"/>
        <w:rPr>
          <w:rFonts w:ascii="仿宋_GB2312" w:hAnsi="宋体" w:eastAsia="仿宋_GB2312"/>
          <w:szCs w:val="28"/>
        </w:rPr>
      </w:pPr>
    </w:p>
    <w:p>
      <w:pPr>
        <w:pStyle w:val="9"/>
        <w:spacing w:before="240" w:beforeLines="100" w:line="578" w:lineRule="atLeast"/>
        <w:ind w:firstLine="0"/>
        <w:jc w:val="center"/>
        <w:rPr>
          <w:rFonts w:ascii="仿宋_GB2312" w:hAnsi="宋体" w:eastAsia="仿宋_GB2312"/>
          <w:szCs w:val="28"/>
        </w:rPr>
      </w:pPr>
      <w:r>
        <mc:AlternateContent>
          <mc:Choice Requires="wps">
            <w:drawing>
              <wp:anchor distT="0" distB="0" distL="114300" distR="114300" simplePos="0" relativeHeight="251696128" behindDoc="0" locked="0" layoutInCell="1" allowOverlap="1">
                <wp:simplePos x="0" y="0"/>
                <wp:positionH relativeFrom="page">
                  <wp:posOffset>1339850</wp:posOffset>
                </wp:positionH>
                <wp:positionV relativeFrom="paragraph">
                  <wp:posOffset>416560</wp:posOffset>
                </wp:positionV>
                <wp:extent cx="4962525" cy="1200150"/>
                <wp:effectExtent l="0" t="0" r="28575" b="19050"/>
                <wp:wrapNone/>
                <wp:docPr id="4546" name="矩形 4546"/>
                <wp:cNvGraphicFramePr/>
                <a:graphic xmlns:a="http://schemas.openxmlformats.org/drawingml/2006/main">
                  <a:graphicData uri="http://schemas.microsoft.com/office/word/2010/wordprocessingShape">
                    <wps:wsp>
                      <wps:cNvSpPr>
                        <a:spLocks noChangeArrowheads="1"/>
                      </wps:cNvSpPr>
                      <wps:spPr bwMode="auto">
                        <a:xfrm>
                          <a:off x="0" y="0"/>
                          <a:ext cx="4962525" cy="120015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05.5pt;margin-top:32.8pt;height:94.5pt;width:390.75pt;mso-position-horizontal-relative:page;z-index:251696128;mso-width-relative:page;mso-height-relative:page;" filled="f" stroked="t" coordsize="21600,21600" o:gfxdata="UEsDBAoAAAAAAIdO4kAAAAAAAAAAAAAAAAAEAAAAZHJzL1BLAwQUAAAACACHTuJAh7HW5tgAAAAK&#10;AQAADwAAAGRycy9kb3ducmV2LnhtbE2PwU7DMBBE70j8g7VI3KiTiEQ0xKkKotdKtEjAzY0XO2q8&#10;jmK3KX/PcoLjaEYzb5rVxQ/ijFPsAynIFxkIpC6YnqyCt/3m7gFETJqMHgKhgm+MsGqvrxpdmzDT&#10;K553yQouoVhrBS6lsZYydg69joswIrH3FSavE8vJSjPpmcv9IIssq6TXPfGC0yM+O+yOu5NX8DJ+&#10;bteljXL9ntzHMTzNG7e1St3e5NkjiISX9BeGX3xGh5aZDuFEJopBQZHn/CUpqMoKBAeWy6IEcWCn&#10;vK9Ato38f6H9AVBLAwQUAAAACACHTuJAjSfJDRQCAAD/AwAADgAAAGRycy9lMm9Eb2MueG1srVNR&#10;jtMwEP1H4g6W/2maKi3bqOlq1dUipAVWWjiA6ziJheMxY7fpchkk/jjEHgdxDcZOtxT4Q+TDynjG&#10;z/PeG68uD71he4Veg614PplypqyEWtu24h/e37y44MwHYWthwKqKPyjPL9fPn60GV6oZdGBqhYxA&#10;rC8HV/EuBFdmmZed6oWfgFOWkg1gLwKF2GY1ioHQe5PNptNFNgDWDkEq72n3ekzydcJvGiXDu6bx&#10;KjBTceotpBXTuo1rtl6JskXhOi2PbYh/6KIX2tKlJ6hrEQTbof4LqtcSwUMTJhL6DJpGS5U4EJt8&#10;+geb+044lbiQON6dZPL/D1a+3d8h03XFi3mx4MyKnlz68eXb98evLG2RQoPzJRXeuzuMHL27BfnR&#10;MwubTthWXSHC0ClRU195VDT77UAMPB1l2+EN1IQudgGSWIcG+whIMrBD8uTh5Ik6BCZps1guZvPZ&#10;nDNJuZwsz+fJtUyUT8cd+vBKQc/iT8WRTE/wYn/rQ2xHlE8l8TYLN9qYZLyxbKj4MuInYmB0HZMp&#10;wHa7Mcj2Io5O+hI34n9e1utAA2x0X/GL8yJjjzpE6qOEW6gfSAaEcQrp1dBPB/iZs4EmsOL+006g&#10;4sy8tiTlMi+KOLIpKOYvZxTgeWZ7nhFWElTFA2fj7yaMY75zqNuObsoTRwtXJH+jkzDRmrGrY7M0&#10;ZUmv44uIY3wep6pf73b9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ex1ubYAAAACgEAAA8AAAAA&#10;AAAAAQAgAAAAIgAAAGRycy9kb3ducmV2LnhtbFBLAQIUABQAAAAIAIdO4kCNJ8kNFAIAAP8DAAAO&#10;AAAAAAAAAAEAIAAAACcBAABkcnMvZTJvRG9jLnhtbFBLBQYAAAAABgAGAFkBAACtBQAAAAA=&#10;">
                <v:fill on="f" focussize="0,0"/>
                <v:stroke color="#000000" miterlimit="8" joinstyle="miter"/>
                <v:imagedata o:title=""/>
                <o:lock v:ext="edit" aspectratio="f"/>
              </v:rect>
            </w:pict>
          </mc:Fallback>
        </mc:AlternateContent>
      </w:r>
    </w:p>
    <w:p>
      <w:pPr>
        <w:pStyle w:val="9"/>
        <w:spacing w:before="240" w:beforeLines="100" w:line="578" w:lineRule="atLeast"/>
        <w:ind w:firstLine="0"/>
        <w:jc w:val="both"/>
        <w:rPr>
          <w:rFonts w:ascii="仿宋_GB2312" w:hAnsi="宋体" w:eastAsia="仿宋_GB2312"/>
          <w:szCs w:val="28"/>
        </w:rPr>
      </w:pPr>
      <w:r>
        <w:rPr>
          <w:rFonts w:ascii="仿宋_GB2312" w:hAnsi="宋体" w:eastAsia="仿宋_GB2312"/>
          <w:szCs w:val="28"/>
        </w:rPr>
        <w:drawing>
          <wp:anchor distT="0" distB="0" distL="114300" distR="114300" simplePos="0" relativeHeight="251694080" behindDoc="0" locked="0" layoutInCell="1" allowOverlap="1">
            <wp:simplePos x="0" y="0"/>
            <wp:positionH relativeFrom="page">
              <wp:posOffset>1247775</wp:posOffset>
            </wp:positionH>
            <wp:positionV relativeFrom="paragraph">
              <wp:posOffset>73660</wp:posOffset>
            </wp:positionV>
            <wp:extent cx="5038725" cy="933450"/>
            <wp:effectExtent l="0" t="0" r="9525" b="0"/>
            <wp:wrapSquare wrapText="bothSides"/>
            <wp:docPr id="4545" name="图片 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5" name="图片 45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038725" cy="933450"/>
                    </a:xfrm>
                    <a:prstGeom prst="rect">
                      <a:avLst/>
                    </a:prstGeom>
                    <a:noFill/>
                    <a:ln>
                      <a:noFill/>
                    </a:ln>
                  </pic:spPr>
                </pic:pic>
              </a:graphicData>
            </a:graphic>
          </wp:anchor>
        </w:drawing>
      </w:r>
    </w:p>
    <w:p>
      <w:pPr>
        <w:pStyle w:val="9"/>
        <w:spacing w:before="240" w:beforeLines="100" w:line="578" w:lineRule="atLeast"/>
        <w:ind w:right="168" w:rightChars="70" w:firstLine="0"/>
        <w:jc w:val="center"/>
        <w:rPr>
          <w:rFonts w:ascii="仿宋_GB2312" w:hAnsi="宋体" w:eastAsia="仿宋_GB2312"/>
          <w:szCs w:val="28"/>
        </w:rPr>
      </w:pPr>
    </w:p>
    <w:p>
      <w:pPr>
        <w:pStyle w:val="9"/>
        <w:spacing w:before="240" w:beforeLines="100" w:line="578" w:lineRule="atLeast"/>
        <w:ind w:right="168" w:rightChars="70" w:firstLine="0"/>
        <w:jc w:val="center"/>
        <w:rPr>
          <w:rFonts w:ascii="仿宋_GB2312" w:hAnsi="宋体" w:eastAsia="仿宋_GB2312"/>
          <w:szCs w:val="28"/>
        </w:rPr>
      </w:pPr>
      <w:r>
        <w:rPr>
          <w:rFonts w:ascii="仿宋_GB2312" w:hAnsi="宋体" w:eastAsia="仿宋_GB2312"/>
          <w:szCs w:val="28"/>
        </w:rPr>
        <w:t>图6-</w:t>
      </w:r>
      <w:r>
        <w:rPr>
          <w:rFonts w:hint="eastAsia" w:ascii="仿宋_GB2312" w:hAnsi="宋体" w:eastAsia="仿宋_GB2312"/>
          <w:szCs w:val="28"/>
        </w:rPr>
        <w:t>10</w:t>
      </w:r>
      <w:r>
        <w:rPr>
          <w:rFonts w:ascii="仿宋_GB2312" w:hAnsi="宋体" w:eastAsia="仿宋_GB2312"/>
          <w:szCs w:val="28"/>
        </w:rPr>
        <w:t xml:space="preserve"> </w:t>
      </w:r>
      <w:r>
        <w:rPr>
          <w:rFonts w:hint="eastAsia" w:ascii="仿宋_GB2312" w:hAnsi="宋体" w:eastAsia="仿宋_GB2312"/>
          <w:szCs w:val="28"/>
        </w:rPr>
        <w:t>三链</w:t>
      </w:r>
    </w:p>
    <w:p>
      <w:pPr>
        <w:pStyle w:val="4"/>
        <w:pageBreakBefore w:val="0"/>
        <w:widowControl w:val="0"/>
        <w:wordWrap/>
        <w:topLinePunct w:val="0"/>
        <w:bidi w:val="0"/>
        <w:spacing w:before="0" w:beforeLines="0" w:after="0" w:afterLines="0" w:line="579" w:lineRule="exact"/>
        <w:ind w:left="0" w:firstLine="640" w:firstLineChars="200"/>
        <w:textAlignment w:val="auto"/>
        <w:rPr>
          <w:rFonts w:hint="default" w:ascii="Times New Roman" w:hAnsi="Times New Roman" w:eastAsia="仿宋_GB2312" w:cs="Times New Roman"/>
          <w:sz w:val="32"/>
          <w:szCs w:val="32"/>
        </w:rPr>
      </w:pPr>
      <w:bookmarkStart w:id="55" w:name="_Toc23169586"/>
      <w:r>
        <w:rPr>
          <w:rFonts w:hint="default" w:ascii="Times New Roman" w:hAnsi="Times New Roman" w:eastAsia="仿宋_GB2312" w:cs="Times New Roman"/>
          <w:sz w:val="32"/>
          <w:szCs w:val="32"/>
        </w:rPr>
        <w:t>4．中压配电网规划总体原则</w:t>
      </w:r>
      <w:bookmarkEnd w:id="55"/>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供电范围内的10千伏中压配电网全部采用电缆线路，电缆采用电缆沟敷设方式，电缆沟应尽量沿区内道路建设并留有足够的备用空间，电缆沟与道路配套建设，在道路施工时配套建设过路穿管。配电线路的长度应满足末端电压质量的要求。电缆截面仅分主干线和至配电变压器的分支线，不再考虑次干线的截面选择，主干电缆截面应采用400平方毫米、300平方毫米。综合供电可靠性和运行经济性，10千伏中压配电网目标网架考虑采用双环网接线方式。环网中线路应在适当位置设置环网站，环网站宜建于负荷中心，尽量选择在主要道路的附近。不应从电缆环网节点上再派生小型环网。</w:t>
      </w:r>
    </w:p>
    <w:p>
      <w:pPr>
        <w:pStyle w:val="4"/>
        <w:pageBreakBefore w:val="0"/>
        <w:widowControl w:val="0"/>
        <w:wordWrap/>
        <w:topLinePunct w:val="0"/>
        <w:bidi w:val="0"/>
        <w:spacing w:before="0" w:beforeLines="0" w:after="0" w:afterLines="0" w:line="579" w:lineRule="exact"/>
        <w:ind w:left="0" w:firstLine="640" w:firstLineChars="200"/>
        <w:textAlignment w:val="auto"/>
        <w:rPr>
          <w:rFonts w:hint="default" w:ascii="Times New Roman" w:hAnsi="Times New Roman" w:eastAsia="仿宋_GB2312" w:cs="Times New Roman"/>
          <w:sz w:val="32"/>
          <w:szCs w:val="32"/>
        </w:rPr>
      </w:pPr>
      <w:bookmarkStart w:id="56" w:name="_Toc23169587"/>
      <w:r>
        <w:rPr>
          <w:rFonts w:hint="default" w:ascii="Times New Roman" w:hAnsi="Times New Roman" w:eastAsia="仿宋_GB2312" w:cs="Times New Roman"/>
          <w:sz w:val="32"/>
          <w:szCs w:val="32"/>
        </w:rPr>
        <w:t>5．中压配电网接线技术原则</w:t>
      </w:r>
      <w:bookmarkEnd w:id="56"/>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10千伏中压配电网结构应根据城乡建设发展规划、负荷密度以及中压配电网现状及实施的可行性，合理选择接线方式，10千伏电缆线路的不同阶段的接线方式一般为单环网接线、双辐射接线、双环网接线，具体应根据用户负荷性质、容量、路径等情况确定。</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p>
    <w:p>
      <w:pPr>
        <w:pStyle w:val="8"/>
        <w:kinsoku w:val="0"/>
        <w:overflowPunct w:val="0"/>
        <w:spacing w:before="0" w:line="200" w:lineRule="atLeast"/>
        <w:ind w:left="667"/>
        <w:rPr>
          <w:sz w:val="20"/>
          <w:szCs w:val="20"/>
        </w:rPr>
      </w:pPr>
      <w:r>
        <w:rPr>
          <w:sz w:val="20"/>
          <w:szCs w:val="20"/>
        </w:rPr>
        <mc:AlternateContent>
          <mc:Choice Requires="wpg">
            <w:drawing>
              <wp:inline distT="0" distB="0" distL="0" distR="0">
                <wp:extent cx="4972050" cy="1209675"/>
                <wp:effectExtent l="7620" t="3175" r="1905" b="6350"/>
                <wp:docPr id="2554" name="组合 2554"/>
                <wp:cNvGraphicFramePr/>
                <a:graphic xmlns:a="http://schemas.openxmlformats.org/drawingml/2006/main">
                  <a:graphicData uri="http://schemas.microsoft.com/office/word/2010/wordprocessingGroup">
                    <wpg:wgp>
                      <wpg:cNvGrpSpPr/>
                      <wpg:grpSpPr>
                        <a:xfrm>
                          <a:off x="0" y="0"/>
                          <a:ext cx="4972050" cy="1209675"/>
                          <a:chOff x="0" y="0"/>
                          <a:chExt cx="7830" cy="1905"/>
                        </a:xfrm>
                      </wpg:grpSpPr>
                      <wps:wsp>
                        <wps:cNvPr id="2555" name="Freeform 2516"/>
                        <wps:cNvSpPr/>
                        <wps:spPr bwMode="auto">
                          <a:xfrm>
                            <a:off x="7" y="7"/>
                            <a:ext cx="7815" cy="1890"/>
                          </a:xfrm>
                          <a:custGeom>
                            <a:avLst/>
                            <a:gdLst>
                              <a:gd name="T0" fmla="*/ 0 w 7815"/>
                              <a:gd name="T1" fmla="*/ 1890 h 1890"/>
                              <a:gd name="T2" fmla="*/ 7815 w 7815"/>
                              <a:gd name="T3" fmla="*/ 1890 h 1890"/>
                              <a:gd name="T4" fmla="*/ 7815 w 7815"/>
                              <a:gd name="T5" fmla="*/ 0 h 1890"/>
                              <a:gd name="T6" fmla="*/ 0 w 7815"/>
                              <a:gd name="T7" fmla="*/ 0 h 1890"/>
                              <a:gd name="T8" fmla="*/ 0 w 7815"/>
                              <a:gd name="T9" fmla="*/ 1890 h 1890"/>
                            </a:gdLst>
                            <a:ahLst/>
                            <a:cxnLst>
                              <a:cxn ang="0">
                                <a:pos x="T0" y="T1"/>
                              </a:cxn>
                              <a:cxn ang="0">
                                <a:pos x="T2" y="T3"/>
                              </a:cxn>
                              <a:cxn ang="0">
                                <a:pos x="T4" y="T5"/>
                              </a:cxn>
                              <a:cxn ang="0">
                                <a:pos x="T6" y="T7"/>
                              </a:cxn>
                              <a:cxn ang="0">
                                <a:pos x="T8" y="T9"/>
                              </a:cxn>
                            </a:cxnLst>
                            <a:rect l="0" t="0" r="r" b="b"/>
                            <a:pathLst>
                              <a:path w="7815" h="1890">
                                <a:moveTo>
                                  <a:pt x="0" y="1890"/>
                                </a:moveTo>
                                <a:lnTo>
                                  <a:pt x="7815" y="1890"/>
                                </a:lnTo>
                                <a:lnTo>
                                  <a:pt x="7815" y="0"/>
                                </a:lnTo>
                                <a:lnTo>
                                  <a:pt x="0" y="0"/>
                                </a:lnTo>
                                <a:lnTo>
                                  <a:pt x="0" y="1890"/>
                                </a:lnTo>
                                <a:close/>
                              </a:path>
                            </a:pathLst>
                          </a:custGeom>
                          <a:noFill/>
                          <a:ln w="9525">
                            <a:solidFill>
                              <a:srgbClr val="000000"/>
                            </a:solidFill>
                            <a:round/>
                          </a:ln>
                        </wps:spPr>
                        <wps:bodyPr rot="0" vert="horz" wrap="square" lIns="91440" tIns="45720" rIns="91440" bIns="45720" anchor="t" anchorCtr="0" upright="1">
                          <a:noAutofit/>
                        </wps:bodyPr>
                      </wps:wsp>
                      <wps:wsp>
                        <wps:cNvPr id="2556" name="Rectangle 2517"/>
                        <wps:cNvSpPr>
                          <a:spLocks noChangeArrowheads="1"/>
                        </wps:cNvSpPr>
                        <wps:spPr bwMode="auto">
                          <a:xfrm>
                            <a:off x="368" y="235"/>
                            <a:ext cx="7160" cy="1460"/>
                          </a:xfrm>
                          <a:prstGeom prst="rect">
                            <a:avLst/>
                          </a:prstGeom>
                          <a:noFill/>
                          <a:ln>
                            <a:noFill/>
                          </a:ln>
                        </wps:spPr>
                        <wps:txbx>
                          <w:txbxContent>
                            <w:p>
                              <w:pPr>
                                <w:widowControl/>
                                <w:autoSpaceDE/>
                                <w:autoSpaceDN/>
                                <w:adjustRightInd/>
                                <w:spacing w:line="1460" w:lineRule="atLeast"/>
                              </w:pPr>
                              <w:r>
                                <w:drawing>
                                  <wp:inline distT="0" distB="0" distL="0" distR="0">
                                    <wp:extent cx="4514850" cy="92392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514850" cy="923925"/>
                                            </a:xfrm>
                                            <a:prstGeom prst="rect">
                                              <a:avLst/>
                                            </a:prstGeom>
                                            <a:noFill/>
                                            <a:ln>
                                              <a:noFill/>
                                            </a:ln>
                                          </pic:spPr>
                                        </pic:pic>
                                      </a:graphicData>
                                    </a:graphic>
                                  </wp:inline>
                                </w:drawing>
                              </w:r>
                            </w:p>
                            <w:p/>
                          </w:txbxContent>
                        </wps:txbx>
                        <wps:bodyPr rot="0" vert="horz" wrap="square" lIns="0" tIns="0" rIns="0" bIns="0" anchor="t" anchorCtr="0" upright="1">
                          <a:noAutofit/>
                        </wps:bodyPr>
                      </wps:wsp>
                    </wpg:wgp>
                  </a:graphicData>
                </a:graphic>
              </wp:inline>
            </w:drawing>
          </mc:Choice>
          <mc:Fallback>
            <w:pict>
              <v:group id="_x0000_s1026" o:spid="_x0000_s1026" o:spt="203" style="height:95.25pt;width:391.5pt;" coordsize="7830,1905" o:gfxdata="UEsDBAoAAAAAAIdO4kAAAAAAAAAAAAAAAAAEAAAAZHJzL1BLAwQUAAAACACHTuJAwk3RRNUAAAAF&#10;AQAADwAAAGRycy9kb3ducmV2LnhtbE2PQUvDQBCF74L/YRnBm92Npdqm2RQp6qkItoJ4mybTJDQ7&#10;G7LbpP33jl70MvB4jzffy1Zn16qB+tB4tpBMDCjiwpcNVxY+di93c1AhIpfYeiYLFwqwyq+vMkxL&#10;P/I7DdtYKSnhkKKFOsYu1ToUNTkME98Ri3fwvcMosq902eMo5a7V98Y8aIcNy4caO1rXVBy3J2fh&#10;dcTxaZo8D5vjYX352s3ePjcJWXt7k5glqEjn+BeGH3xBh1yY9v7EZVCtBRkSf694j/OpyL2EFmYG&#10;Os/0f/r8G1BLAwQUAAAACACHTuJA9snCdNkDAAC7CgAADgAAAGRycy9lMm9Eb2MueG1svVZLjuM2&#10;EN0HyB0ILgOkZfnbNlo9GPSkGwEmySDTOQAtUR9EEhlSttyzziLL3CfnCXKNvCIlWfb0ZzIJ4oVF&#10;iY/FqlePVbx6dahKtpfGFqqOeHgx4UzWsUqKOov4T/e3X19yZhtRJ6JUtYz4g7T81fWXX1y1eiOn&#10;KldlIg2DkdpuWh3xvGn0JghsnMtK2AulZY3JVJlKNHg1WZAY0cJ6VQbTyWQZtMok2qhYWouvb/wk&#10;v3b201TGzQ9pamXDyojDt8b9G/e/pf/g+kpsMiN0XsSdG+IzvKhEUWPTwdQb0Qi2M8VHpqoiNsqq&#10;tLmIVRWoNC1i6WJANOHkLJo7o3baxZJt2kwPNIHaM54+22z8/f6dYUUS8eliMeesFhWy9Ncfv/75&#10;+2/MfQJDrc42AN4Z/V6/M92HzL9R0IfUVPREOOzguH0YuJWHhsX4OF+vppMFUhBjLpxO1svVwrMf&#10;50jRR+vi/Jtu5epy1i9bT9yaoN8yIM8GR1oNDdkjTfbf0fQ+F1o69i1Ff6Rp0dN0a6QkaYKocEnB&#10;kAeADizZjQVhbNt+pxLQKnaNcio5I2zFGUhZeTp6wlaXITZybF2unVCHsMUm3tnmTirHuti/tY3X&#10;cYKRU2HSJfIezKVVCUl/FbAJa5mz2oF7TDjChNiL5Ywe3p1sMDUdwcjME9ZmI9gz1qC1wbFnrIGC&#10;AfaUY8sTzOMxguIX7aBUjTCP21mPMGfRIT1ZnwCR9zmJD3WXFIyYoLI4cRrQypLoKUNI/n1IdMME&#10;UJTBJ8DIAYFnnwQGxQTuj8zzlkEigZ0IX3QDTBF4PXbDL+piNSi85yXXcIaSu/Wy0qIhiihUGrIW&#10;+neCz1EdSHw0U6m9vFcO0xwLRK9NbHgElPUY6E3BxRG2R/RP7UwOyP6E9dP908N8kj4F88iOcams&#10;9NmlWF2ah/iJttFhrtVtUZbugJY1sbJeTBeODKvKIqFJ4sOabHtTGrYX1Nfcr8vFCQz9o078ziVk&#10;hXLpK5KvVFuVPKA6GeW7Iro4BrkyHzhr0REjbn/ZCSM5K7+tUUvX4XwOHhr3Ml+gnHNmxjPb8Yyo&#10;Y5iKeMMhehreNL7t7rQpshw7hS6sWr1GVUwLqmDOP+9V94Jy7n39P+o6joBvfz9CvTippaTC7k7E&#10;qLA7+vVbFf9sWa1ucgDla2NUm0uRgCZ/kE8W9LS/2AhmS3+yprOuNw7NIFyCbdcM5hj5lPZdRBvf&#10;DBgNIk5nz1HbNwZIrIeQ8ycSO/kA4CMyaQ7bAzakIP6hYga1DErBwKsEg/9QIe4egBuSO1rdbY6u&#10;YON3p6jjnfP6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cGAABbQ29udGVudF9UeXBlc10ueG1sUEsBAhQACgAAAAAAh07iQAAAAAAAAAAAAAAA&#10;AAYAAAAAAAAAAAAQAAAAKQUAAF9yZWxzL1BLAQIUABQAAAAIAIdO4kCKFGY80QAAAJQBAAALAAAA&#10;AAAAAAEAIAAAAE0FAABfcmVscy8ucmVsc1BLAQIUAAoAAAAAAIdO4kAAAAAAAAAAAAAAAAAEAAAA&#10;AAAAAAAAEAAAAAAAAABkcnMvUEsBAhQAFAAAAAgAh07iQMJN0UTVAAAABQEAAA8AAAAAAAAAAQAg&#10;AAAAIgAAAGRycy9kb3ducmV2LnhtbFBLAQIUABQAAAAIAIdO4kD2ycJ02QMAALsKAAAOAAAAAAAA&#10;AAEAIAAAACQBAABkcnMvZTJvRG9jLnhtbFBLBQYAAAAABgAGAFkBAABvBwAAAAA=&#10;">
                <o:lock v:ext="edit" aspectratio="f"/>
                <v:shape id="Freeform 2516" o:spid="_x0000_s1026" o:spt="100" style="position:absolute;left:7;top:7;height:1890;width:7815;" filled="f" stroked="t" coordsize="7815,1890" o:gfxdata="UEsDBAoAAAAAAIdO4kAAAAAAAAAAAAAAAAAEAAAAZHJzL1BLAwQUAAAACACHTuJAj0Zx5r8AAADd&#10;AAAADwAAAGRycy9kb3ducmV2LnhtbEWPQWsCMRSE7wX/Q3iCl6KJC1vKulkRpVK8FLUg3h7Jc3dx&#10;87JsUrX/vikUehxm5humXD5cJ240hNazhvlMgSA23rZca/g8vk1fQYSIbLHzTBq+KcCyGj2VWFh/&#10;5z3dDrEWCcKhQA1NjH0hZTANOQwz3xMn7+IHhzHJoZZ2wHuCu05mSr1Ihy2nhQZ7Wjdkrocvp0HF&#10;vclW9fW0O7rM5Jvn3fbjjFpPxnO1ABHpEf/Df+13qyHL8xx+36QnI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9Gcea/&#10;AAAA3QAAAA8AAAAAAAAAAQAgAAAAIgAAAGRycy9kb3ducmV2LnhtbFBLAQIUABQAAAAIAIdO4kAz&#10;LwWeOwAAADkAAAAQAAAAAAAAAAEAIAAAAA4BAABkcnMvc2hhcGV4bWwueG1sUEsFBgAAAAAGAAYA&#10;WwEAALgDAAAAAA==&#10;" path="m0,1890l7815,1890,7815,0,0,0,0,1890xe">
                  <v:path o:connectlocs="0,1890;7815,1890;7815,0;0,0;0,1890" o:connectangles="0,0,0,0,0"/>
                  <v:fill on="f" focussize="0,0"/>
                  <v:stroke color="#000000" joinstyle="round"/>
                  <v:imagedata o:title=""/>
                  <o:lock v:ext="edit" aspectratio="f"/>
                </v:shape>
                <v:rect id="Rectangle 2517" o:spid="_x0000_s1026" o:spt="1" style="position:absolute;left:368;top:235;height:1460;width:7160;" filled="f" stroked="f" coordsize="21600,21600" o:gfxdata="UEsDBAoAAAAAAIdO4kAAAAAAAAAAAAAAAAAEAAAAZHJzL1BLAwQUAAAACACHTuJAldnsnL4AAADd&#10;AAAADwAAAGRycy9kb3ducmV2LnhtbEWPS6vCMBSE94L/IRzBnaYKilajiA90eX2Aujs0x7bYnJQm&#10;Wu/99TeC4HKYmW+Y6fxlCvGkyuWWFfS6EQjixOqcUwWn46YzAuE8ssbCMin4JQfzWbMxxVjbmvf0&#10;PPhUBAi7GBVk3pexlC7JyKDr2pI4eDdbGfRBVqnUFdYBbgrZj6KhNJhzWMiwpGVGyf3wMAq2o3Jx&#10;2dm/Oi3W1+355zxeHcdeqXarF01AeHr5b/jT3mkF/cFgCO834Qn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nsn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autoSpaceDE/>
                          <w:autoSpaceDN/>
                          <w:adjustRightInd/>
                          <w:spacing w:line="1460" w:lineRule="atLeast"/>
                        </w:pPr>
                        <w:r>
                          <w:drawing>
                            <wp:inline distT="0" distB="0" distL="0" distR="0">
                              <wp:extent cx="4514850" cy="92392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514850" cy="923925"/>
                                      </a:xfrm>
                                      <a:prstGeom prst="rect">
                                        <a:avLst/>
                                      </a:prstGeom>
                                      <a:noFill/>
                                      <a:ln>
                                        <a:noFill/>
                                      </a:ln>
                                    </pic:spPr>
                                  </pic:pic>
                                </a:graphicData>
                              </a:graphic>
                            </wp:inline>
                          </w:drawing>
                        </w:r>
                      </w:p>
                      <w:p/>
                    </w:txbxContent>
                  </v:textbox>
                </v:rect>
                <w10:wrap type="none"/>
                <w10:anchorlock/>
              </v:group>
            </w:pict>
          </mc:Fallback>
        </mc:AlternateContent>
      </w:r>
    </w:p>
    <w:p>
      <w:pPr>
        <w:pStyle w:val="9"/>
        <w:adjustRightInd w:val="0"/>
        <w:snapToGrid w:val="0"/>
        <w:spacing w:before="120" w:beforeLines="50" w:line="578" w:lineRule="atLeast"/>
        <w:ind w:firstLine="0"/>
        <w:jc w:val="center"/>
        <w:rPr>
          <w:rFonts w:ascii="仿宋_GB2312" w:hAnsi="宋体" w:eastAsia="仿宋_GB2312"/>
          <w:szCs w:val="28"/>
        </w:rPr>
      </w:pPr>
      <w:r>
        <w:rPr>
          <w:rFonts w:hint="eastAsia" w:ascii="仿宋_GB2312" w:hAnsi="宋体" w:eastAsia="仿宋_GB2312"/>
          <w:szCs w:val="28"/>
        </w:rPr>
        <w:t xml:space="preserve"> 图6-11</w:t>
      </w:r>
      <w:r>
        <w:rPr>
          <w:rFonts w:ascii="仿宋_GB2312" w:hAnsi="宋体" w:eastAsia="仿宋_GB2312"/>
          <w:szCs w:val="28"/>
        </w:rPr>
        <w:t xml:space="preserve"> </w:t>
      </w:r>
      <w:r>
        <w:rPr>
          <w:rFonts w:hint="eastAsia" w:ascii="仿宋_GB2312" w:hAnsi="宋体" w:eastAsia="仿宋_GB2312"/>
          <w:szCs w:val="28"/>
        </w:rPr>
        <w:t>单环网</w:t>
      </w:r>
      <w:r>
        <w:rPr>
          <w:rFonts w:ascii="仿宋_GB2312" w:hAnsi="宋体" w:eastAsia="仿宋_GB2312"/>
          <w:szCs w:val="28"/>
        </w:rPr>
        <w:t>接线示意图</w:t>
      </w:r>
    </w:p>
    <w:p>
      <w:pPr>
        <w:pStyle w:val="8"/>
        <w:kinsoku w:val="0"/>
        <w:overflowPunct w:val="0"/>
        <w:spacing w:before="0"/>
        <w:ind w:left="0"/>
        <w:rPr>
          <w:sz w:val="20"/>
          <w:szCs w:val="20"/>
        </w:rPr>
      </w:pPr>
    </w:p>
    <w:p>
      <w:pPr>
        <w:pStyle w:val="8"/>
        <w:kinsoku w:val="0"/>
        <w:overflowPunct w:val="0"/>
        <w:spacing w:before="13"/>
        <w:ind w:left="0"/>
        <w:rPr>
          <w:sz w:val="26"/>
          <w:szCs w:val="26"/>
        </w:rPr>
      </w:pPr>
    </w:p>
    <w:p>
      <w:pPr>
        <w:pStyle w:val="8"/>
        <w:kinsoku w:val="0"/>
        <w:overflowPunct w:val="0"/>
        <w:spacing w:before="0" w:line="200" w:lineRule="atLeast"/>
        <w:ind w:left="330"/>
        <w:rPr>
          <w:sz w:val="20"/>
          <w:szCs w:val="20"/>
        </w:rPr>
      </w:pPr>
      <w:r>
        <w:rPr>
          <w:sz w:val="20"/>
          <w:szCs w:val="20"/>
        </w:rPr>
        <mc:AlternateContent>
          <mc:Choice Requires="wpg">
            <w:drawing>
              <wp:inline distT="0" distB="0" distL="0" distR="0">
                <wp:extent cx="5195570" cy="2628900"/>
                <wp:effectExtent l="9525" t="3810" r="5080" b="5715"/>
                <wp:docPr id="2551" name="组合 2551"/>
                <wp:cNvGraphicFramePr/>
                <a:graphic xmlns:a="http://schemas.openxmlformats.org/drawingml/2006/main">
                  <a:graphicData uri="http://schemas.microsoft.com/office/word/2010/wordprocessingGroup">
                    <wpg:wgp>
                      <wpg:cNvGrpSpPr/>
                      <wpg:grpSpPr>
                        <a:xfrm>
                          <a:off x="0" y="0"/>
                          <a:ext cx="5195570" cy="2628900"/>
                          <a:chOff x="0" y="0"/>
                          <a:chExt cx="8182" cy="4140"/>
                        </a:xfrm>
                      </wpg:grpSpPr>
                      <wps:wsp>
                        <wps:cNvPr id="2552" name="Freeform 2513"/>
                        <wps:cNvSpPr/>
                        <wps:spPr bwMode="auto">
                          <a:xfrm>
                            <a:off x="7" y="7"/>
                            <a:ext cx="8167" cy="4125"/>
                          </a:xfrm>
                          <a:custGeom>
                            <a:avLst/>
                            <a:gdLst>
                              <a:gd name="T0" fmla="*/ 0 w 8167"/>
                              <a:gd name="T1" fmla="*/ 4125 h 4125"/>
                              <a:gd name="T2" fmla="*/ 8167 w 8167"/>
                              <a:gd name="T3" fmla="*/ 4125 h 4125"/>
                              <a:gd name="T4" fmla="*/ 8167 w 8167"/>
                              <a:gd name="T5" fmla="*/ 0 h 4125"/>
                              <a:gd name="T6" fmla="*/ 0 w 8167"/>
                              <a:gd name="T7" fmla="*/ 0 h 4125"/>
                              <a:gd name="T8" fmla="*/ 0 w 8167"/>
                              <a:gd name="T9" fmla="*/ 4125 h 4125"/>
                            </a:gdLst>
                            <a:ahLst/>
                            <a:cxnLst>
                              <a:cxn ang="0">
                                <a:pos x="T0" y="T1"/>
                              </a:cxn>
                              <a:cxn ang="0">
                                <a:pos x="T2" y="T3"/>
                              </a:cxn>
                              <a:cxn ang="0">
                                <a:pos x="T4" y="T5"/>
                              </a:cxn>
                              <a:cxn ang="0">
                                <a:pos x="T6" y="T7"/>
                              </a:cxn>
                              <a:cxn ang="0">
                                <a:pos x="T8" y="T9"/>
                              </a:cxn>
                            </a:cxnLst>
                            <a:rect l="0" t="0" r="r" b="b"/>
                            <a:pathLst>
                              <a:path w="8167" h="4125">
                                <a:moveTo>
                                  <a:pt x="0" y="4125"/>
                                </a:moveTo>
                                <a:lnTo>
                                  <a:pt x="8167" y="4125"/>
                                </a:lnTo>
                                <a:lnTo>
                                  <a:pt x="8167" y="0"/>
                                </a:lnTo>
                                <a:lnTo>
                                  <a:pt x="0" y="0"/>
                                </a:lnTo>
                                <a:lnTo>
                                  <a:pt x="0" y="4125"/>
                                </a:lnTo>
                                <a:close/>
                              </a:path>
                            </a:pathLst>
                          </a:custGeom>
                          <a:noFill/>
                          <a:ln w="9525">
                            <a:solidFill>
                              <a:srgbClr val="000000"/>
                            </a:solidFill>
                            <a:round/>
                          </a:ln>
                        </wps:spPr>
                        <wps:bodyPr rot="0" vert="horz" wrap="square" lIns="91440" tIns="45720" rIns="91440" bIns="45720" anchor="t" anchorCtr="0" upright="1">
                          <a:noAutofit/>
                        </wps:bodyPr>
                      </wps:wsp>
                      <wps:wsp>
                        <wps:cNvPr id="2553" name="Rectangle 2514"/>
                        <wps:cNvSpPr>
                          <a:spLocks noChangeArrowheads="1"/>
                        </wps:cNvSpPr>
                        <wps:spPr bwMode="auto">
                          <a:xfrm>
                            <a:off x="332" y="99"/>
                            <a:ext cx="7500" cy="3520"/>
                          </a:xfrm>
                          <a:prstGeom prst="rect">
                            <a:avLst/>
                          </a:prstGeom>
                          <a:noFill/>
                          <a:ln>
                            <a:noFill/>
                          </a:ln>
                        </wps:spPr>
                        <wps:txbx>
                          <w:txbxContent>
                            <w:p>
                              <w:pPr>
                                <w:widowControl/>
                                <w:autoSpaceDE/>
                                <w:autoSpaceDN/>
                                <w:adjustRightInd/>
                                <w:spacing w:line="3520" w:lineRule="atLeast"/>
                              </w:pPr>
                              <w:r>
                                <w:drawing>
                                  <wp:inline distT="0" distB="0" distL="0" distR="0">
                                    <wp:extent cx="4762500" cy="2238375"/>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762500" cy="2238375"/>
                                            </a:xfrm>
                                            <a:prstGeom prst="rect">
                                              <a:avLst/>
                                            </a:prstGeom>
                                            <a:noFill/>
                                            <a:ln>
                                              <a:noFill/>
                                            </a:ln>
                                          </pic:spPr>
                                        </pic:pic>
                                      </a:graphicData>
                                    </a:graphic>
                                  </wp:inline>
                                </w:drawing>
                              </w:r>
                            </w:p>
                            <w:p/>
                          </w:txbxContent>
                        </wps:txbx>
                        <wps:bodyPr rot="0" vert="horz" wrap="square" lIns="0" tIns="0" rIns="0" bIns="0" anchor="t" anchorCtr="0" upright="1">
                          <a:noAutofit/>
                        </wps:bodyPr>
                      </wps:wsp>
                    </wpg:wgp>
                  </a:graphicData>
                </a:graphic>
              </wp:inline>
            </w:drawing>
          </mc:Choice>
          <mc:Fallback>
            <w:pict>
              <v:group id="_x0000_s1026" o:spid="_x0000_s1026" o:spt="203" style="height:207pt;width:409.1pt;" coordsize="8182,4140" o:gfxdata="UEsDBAoAAAAAAIdO4kAAAAAAAAAAAAAAAAAEAAAAZHJzL1BLAwQUAAAACACHTuJA1aDsCdYAAAAF&#10;AQAADwAAAGRycy9kb3ducmV2LnhtbE2PQUvDQBCF74L/YRnBm93dWiXEbIoU9VQEW0G8TbPTJDQ7&#10;G7LbpP33rl7sZeDxHu99UyxPrhMjDaH1bEDPFAjiytuWawOf29e7DESIyBY7z2TgTAGW5fVVgbn1&#10;E3/QuIm1SCUccjTQxNjnUoaqIYdh5nvi5O394DAmOdTSDjilctfJuVKP0mHLaaHBnlYNVYfN0Rl4&#10;m3B6vtcv4/qwX52/tw/vX2tNxtzeaPUEItIp/ofhFz+hQ5mYdv7INojOQHok/t3kZTqbg9gZWOiF&#10;AlkW8pK+/AFQSwMEFAAAAAgAh07iQPb8E+bdAwAAugoAAA4AAABkcnMvZTJvRG9jLnhtbL1WzY7b&#10;NhC+F+g7EDwW6MqyrfUPVhsEm+6iQNoGyfYBaImyhEqiStKWt+ceeuz79HmKvka+ISVZdnY3TVLU&#10;B5kUPw5nvvk4o6sXh6pke6lNoeqYhxcTzmSdqLSotzH/+f722yVnxoo6FaWqZcwfpOEvrr/+6qpt&#10;1nKqclWmUjMYqc26bWKeW9usg8AkuayEuVCNrLGYKV0Ji6neBqkWLaxXZTCdTC6DVum00SqRxuDt&#10;K7/Ir539LJOJ/SnLjLSsjDl8s+6p3XNDz+D6Sqy3WjR5kXRuiM/wohJFjUMHU6+EFWyniw9MVUWi&#10;lVGZvUhUFagsKxLpYkA04eQsmjutdo2LZbtut81AE6g94+mzzSY/7t9oVqQxn0ZRyFktKmTpn79+&#10;//vPP5h7BYbaZrsG8E4375o3unux9TMK+pDpiv4RDjs4bh8GbuXBsgQvo3AVRQukIMHa9HK6XE06&#10;9pMcKfpgX5J/1+1chsup3zYP525P0B8ZkGeDI20DDZkjTebLaHqXi0Y69g1Ff6QJ3niabrWUJE0Q&#10;Fc5ISuQBoANLZm1AGNu0P6gUtIqdVU4lZ4QtOAMpCy/GnrBleIn3xNY8nEa0NoQt1snO2DupHOti&#10;/9pYLEN8KUZ+0Hl4D8KzqoSkvwnYhLXMWe3APQZpHzB0FstZfyTZ7GEIe4CRmSeszUawZ6zNR7Bn&#10;rEUj2OQJxy5PMI/HCCoH55+yg1I1wjxuZzXCnEWH9AwJEHmfk+RQd0nBiAkqixOngUYZEj1lCDm+&#10;D7sMA0UZfAKMHBDYiQ3nPQ8GxQTutfM8GCQS2Inwo5bBFIFXY5/9pi5WjcJ7XnI1Zyi5G6/yRlii&#10;iEKlIWtj7gWfd3qnlUrt5b1yGHssEL02ceARUNZjoDcFF0fYHtH/N87kgOwLS7/c/3uYT9K/wTxy&#10;YlIqI/39pVjdRR7iJ9pGl7lWt0VZugta1sTKKsLlJwqMKouUFt1Ebzc3pWZ7QX3N/bpcnMDQP+rU&#10;n1xCViiXviL5SrVR6QOqk1a+K6KLY5Ar/RtnLTpizM2vO6ElZ+X3NWrpKpyj/DLrJvNoMcVEj1c2&#10;4xVRJzAVc8shehreWN92d40utjlOCl1YtXqJqpgVVMGcf96rboJy7n39P+o6Kpev62+hXtzUUlJh&#10;nxOxo8Lu6G9eq+QXw2p1kwMoX2qt2lyKFDT5i3yyoaf9o41gNvMXfOVullj3vWARoVm6XjCLQLvP&#10;aN9EGu17AaNBzOnqOWb7vgCF9RDy/URhJy8AfEQl9rA5dAx8omAGsQxCwcCLBIP/UCDuMwAfSO5m&#10;dR9z9AU2njtBHT85r9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TAYAAFtDb250ZW50X1R5cGVzXS54bWxQSwECFAAKAAAAAACHTuJAAAAAAAAA&#10;AAAAAAAABgAAAAAAAAAAABAAAAAuBQAAX3JlbHMvUEsBAhQAFAAAAAgAh07iQIoUZjzRAAAAlAEA&#10;AAsAAAAAAAAAAQAgAAAAUgUAAF9yZWxzLy5yZWxzUEsBAhQACgAAAAAAh07iQAAAAAAAAAAAAAAA&#10;AAQAAAAAAAAAAAAQAAAAAAAAAGRycy9QSwECFAAUAAAACACHTuJA1aDsCdYAAAAFAQAADwAAAAAA&#10;AAABACAAAAAiAAAAZHJzL2Rvd25yZXYueG1sUEsBAhQAFAAAAAgAh07iQPb8E+bdAwAAugoAAA4A&#10;AAAAAAAAAQAgAAAAJQEAAGRycy9lMm9Eb2MueG1sUEsFBgAAAAAGAAYAWQEAAHQHAAAAAA==&#10;">
                <o:lock v:ext="edit" aspectratio="f"/>
                <v:shape id="Freeform 2513" o:spid="_x0000_s1026" o:spt="100" style="position:absolute;left:7;top:7;height:4125;width:8167;" filled="f" stroked="t" coordsize="8167,4125" o:gfxdata="UEsDBAoAAAAAAIdO4kAAAAAAAAAAAAAAAAAEAAAAZHJzL1BLAwQUAAAACACHTuJAsntWCsAAAADd&#10;AAAADwAAAGRycy9kb3ducmV2LnhtbEWPQWsCMRSE70L/Q3gFbzXrFqXdGkUsFkEPui3i8bF53Sxu&#10;XpYkuvbfN4WCx2FmvmFmi5ttxZV8aBwrGI8yEMSV0w3XCr4+108vIEJE1tg6JgU/FGAxfxjMsNCu&#10;5wNdy1iLBOFQoAITY1dIGSpDFsPIdcTJ+3beYkzS11J77BPctjLPsqm02HBaMNjRylB1Li9WwfPr&#10;Ouzc+yk/135rth/Hfbfc9EoNH8fZG4hIt3gP/7c3WkE+meTw9yY9AT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e1YK&#10;wAAAAN0AAAAPAAAAAAAAAAEAIAAAACIAAABkcnMvZG93bnJldi54bWxQSwECFAAUAAAACACHTuJA&#10;My8FnjsAAAA5AAAAEAAAAAAAAAABACAAAAAPAQAAZHJzL3NoYXBleG1sLnhtbFBLBQYAAAAABgAG&#10;AFsBAAC5AwAAAAA=&#10;" path="m0,4125l8167,4125,8167,0,0,0,0,4125xe">
                  <v:path o:connectlocs="0,4125;8167,4125;8167,0;0,0;0,4125" o:connectangles="0,0,0,0,0"/>
                  <v:fill on="f" focussize="0,0"/>
                  <v:stroke color="#000000" joinstyle="round"/>
                  <v:imagedata o:title=""/>
                  <o:lock v:ext="edit" aspectratio="f"/>
                </v:shape>
                <v:rect id="Rectangle 2514" o:spid="_x0000_s1026" o:spt="1" style="position:absolute;left:332;top:99;height:3520;width:7500;" filled="f" stroked="f" coordsize="21600,21600" o:gfxdata="UEsDBAoAAAAAAIdO4kAAAAAAAAAAAAAAAAAEAAAAZHJzL1BLAwQUAAAACACHTuJAha5PBL8AAADd&#10;AAAADwAAAGRycy9kb3ducmV2LnhtbEWPS4vCQBCE78L+h6EXvOlERYlZR1l8oEdf4O6tyfQmYTM9&#10;ITMa9dc7guCxqKqvqMnsakpxodoVlhX0uhEI4tTqgjMFx8OqE4NwHlljaZkU3MjBbPrRmmCibcM7&#10;uux9JgKEXYIKcu+rREqX5mTQdW1FHLw/Wxv0QdaZ1DU2AW5K2Y+ikTRYcFjIsaJ5Tun//mwUrOPq&#10;+2dj701WLn/Xp+1pvDiMvVLtz170BcLT1b/Dr/ZGK+gPhwN4vglPQE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uTwS/&#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autoSpaceDE/>
                          <w:autoSpaceDN/>
                          <w:adjustRightInd/>
                          <w:spacing w:line="3520" w:lineRule="atLeast"/>
                        </w:pPr>
                        <w:r>
                          <w:drawing>
                            <wp:inline distT="0" distB="0" distL="0" distR="0">
                              <wp:extent cx="4762500" cy="2238375"/>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762500" cy="2238375"/>
                                      </a:xfrm>
                                      <a:prstGeom prst="rect">
                                        <a:avLst/>
                                      </a:prstGeom>
                                      <a:noFill/>
                                      <a:ln>
                                        <a:noFill/>
                                      </a:ln>
                                    </pic:spPr>
                                  </pic:pic>
                                </a:graphicData>
                              </a:graphic>
                            </wp:inline>
                          </w:drawing>
                        </w:r>
                      </w:p>
                      <w:p/>
                    </w:txbxContent>
                  </v:textbox>
                </v:rect>
                <w10:wrap type="none"/>
                <w10:anchorlock/>
              </v:group>
            </w:pict>
          </mc:Fallback>
        </mc:AlternateContent>
      </w:r>
    </w:p>
    <w:p>
      <w:pPr>
        <w:pStyle w:val="9"/>
        <w:adjustRightInd w:val="0"/>
        <w:snapToGrid w:val="0"/>
        <w:spacing w:before="120" w:beforeLines="50" w:line="578" w:lineRule="atLeast"/>
        <w:ind w:firstLine="0"/>
        <w:jc w:val="center"/>
        <w:rPr>
          <w:rFonts w:ascii="仿宋_GB2312" w:hAnsi="宋体" w:eastAsia="仿宋_GB2312"/>
          <w:szCs w:val="28"/>
        </w:rPr>
      </w:pPr>
      <w:r>
        <w:rPr>
          <w:rFonts w:hint="eastAsia" w:ascii="仿宋_GB2312" w:hAnsi="宋体" w:eastAsia="仿宋_GB2312"/>
          <w:szCs w:val="28"/>
        </w:rPr>
        <w:t>图6-12</w:t>
      </w:r>
      <w:r>
        <w:rPr>
          <w:rFonts w:ascii="仿宋_GB2312" w:hAnsi="宋体" w:eastAsia="仿宋_GB2312"/>
          <w:szCs w:val="28"/>
        </w:rPr>
        <w:t xml:space="preserve"> </w:t>
      </w:r>
      <w:r>
        <w:rPr>
          <w:rFonts w:hint="eastAsia" w:ascii="仿宋_GB2312" w:hAnsi="宋体" w:eastAsia="仿宋_GB2312"/>
          <w:szCs w:val="28"/>
        </w:rPr>
        <w:t>双环网</w:t>
      </w:r>
      <w:r>
        <w:rPr>
          <w:rFonts w:ascii="仿宋_GB2312" w:hAnsi="宋体" w:eastAsia="仿宋_GB2312"/>
          <w:szCs w:val="28"/>
        </w:rPr>
        <w:t>接线示意图</w:t>
      </w:r>
    </w:p>
    <w:p>
      <w:pPr>
        <w:pStyle w:val="8"/>
        <w:kinsoku w:val="0"/>
        <w:overflowPunct w:val="0"/>
        <w:spacing w:before="0"/>
        <w:ind w:left="0"/>
        <w:rPr>
          <w:sz w:val="20"/>
          <w:szCs w:val="20"/>
        </w:rPr>
      </w:pPr>
    </w:p>
    <w:p>
      <w:pPr>
        <w:pStyle w:val="8"/>
        <w:kinsoku w:val="0"/>
        <w:overflowPunct w:val="0"/>
        <w:spacing w:before="6"/>
        <w:ind w:left="0"/>
        <w:rPr>
          <w:sz w:val="27"/>
          <w:szCs w:val="27"/>
        </w:rPr>
      </w:pPr>
    </w:p>
    <w:p>
      <w:pPr>
        <w:pStyle w:val="8"/>
        <w:kinsoku w:val="0"/>
        <w:overflowPunct w:val="0"/>
        <w:spacing w:before="0" w:line="200" w:lineRule="atLeast"/>
        <w:ind w:left="307"/>
        <w:rPr>
          <w:sz w:val="20"/>
          <w:szCs w:val="20"/>
        </w:rPr>
      </w:pPr>
      <w:r>
        <w:rPr>
          <w:sz w:val="20"/>
          <w:szCs w:val="20"/>
        </w:rPr>
        <mc:AlternateContent>
          <mc:Choice Requires="wpg">
            <w:drawing>
              <wp:inline distT="0" distB="0" distL="0" distR="0">
                <wp:extent cx="5314315" cy="3890010"/>
                <wp:effectExtent l="7620" t="0" r="0" b="0"/>
                <wp:docPr id="2548" name="组合 2548"/>
                <wp:cNvGraphicFramePr/>
                <a:graphic xmlns:a="http://schemas.openxmlformats.org/drawingml/2006/main">
                  <a:graphicData uri="http://schemas.microsoft.com/office/word/2010/wordprocessingGroup">
                    <wpg:wgp>
                      <wpg:cNvGrpSpPr/>
                      <wpg:grpSpPr>
                        <a:xfrm>
                          <a:off x="0" y="0"/>
                          <a:ext cx="5314315" cy="3890010"/>
                          <a:chOff x="0" y="0"/>
                          <a:chExt cx="8369" cy="6126"/>
                        </a:xfrm>
                      </wpg:grpSpPr>
                      <wps:wsp>
                        <wps:cNvPr id="2549" name="Rectangle 2510"/>
                        <wps:cNvSpPr>
                          <a:spLocks noChangeArrowheads="1"/>
                        </wps:cNvSpPr>
                        <wps:spPr bwMode="auto">
                          <a:xfrm>
                            <a:off x="102" y="0"/>
                            <a:ext cx="8260" cy="6120"/>
                          </a:xfrm>
                          <a:prstGeom prst="rect">
                            <a:avLst/>
                          </a:prstGeom>
                          <a:noFill/>
                          <a:ln>
                            <a:noFill/>
                          </a:ln>
                        </wps:spPr>
                        <wps:txbx>
                          <w:txbxContent>
                            <w:p>
                              <w:pPr>
                                <w:widowControl/>
                                <w:autoSpaceDE/>
                                <w:autoSpaceDN/>
                                <w:adjustRightInd/>
                                <w:spacing w:line="6120" w:lineRule="atLeast"/>
                              </w:pPr>
                              <w:r>
                                <w:drawing>
                                  <wp:inline distT="0" distB="0" distL="0" distR="0">
                                    <wp:extent cx="5229225" cy="390525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29225" cy="3905250"/>
                                            </a:xfrm>
                                            <a:prstGeom prst="rect">
                                              <a:avLst/>
                                            </a:prstGeom>
                                            <a:noFill/>
                                            <a:ln>
                                              <a:noFill/>
                                            </a:ln>
                                          </pic:spPr>
                                        </pic:pic>
                                      </a:graphicData>
                                    </a:graphic>
                                  </wp:inline>
                                </w:drawing>
                              </w:r>
                            </w:p>
                            <w:p/>
                          </w:txbxContent>
                        </wps:txbx>
                        <wps:bodyPr rot="0" vert="horz" wrap="square" lIns="0" tIns="0" rIns="0" bIns="0" anchor="t" anchorCtr="0" upright="1">
                          <a:noAutofit/>
                        </wps:bodyPr>
                      </wps:wsp>
                      <wps:wsp>
                        <wps:cNvPr id="2550" name="Freeform 2511"/>
                        <wps:cNvSpPr/>
                        <wps:spPr bwMode="auto">
                          <a:xfrm>
                            <a:off x="7" y="48"/>
                            <a:ext cx="8190" cy="5970"/>
                          </a:xfrm>
                          <a:custGeom>
                            <a:avLst/>
                            <a:gdLst>
                              <a:gd name="T0" fmla="*/ 0 w 8190"/>
                              <a:gd name="T1" fmla="*/ 5970 h 5970"/>
                              <a:gd name="T2" fmla="*/ 8190 w 8190"/>
                              <a:gd name="T3" fmla="*/ 5970 h 5970"/>
                              <a:gd name="T4" fmla="*/ 8190 w 8190"/>
                              <a:gd name="T5" fmla="*/ 0 h 5970"/>
                              <a:gd name="T6" fmla="*/ 0 w 8190"/>
                              <a:gd name="T7" fmla="*/ 0 h 5970"/>
                              <a:gd name="T8" fmla="*/ 0 w 8190"/>
                              <a:gd name="T9" fmla="*/ 5970 h 5970"/>
                            </a:gdLst>
                            <a:ahLst/>
                            <a:cxnLst>
                              <a:cxn ang="0">
                                <a:pos x="T0" y="T1"/>
                              </a:cxn>
                              <a:cxn ang="0">
                                <a:pos x="T2" y="T3"/>
                              </a:cxn>
                              <a:cxn ang="0">
                                <a:pos x="T4" y="T5"/>
                              </a:cxn>
                              <a:cxn ang="0">
                                <a:pos x="T6" y="T7"/>
                              </a:cxn>
                              <a:cxn ang="0">
                                <a:pos x="T8" y="T9"/>
                              </a:cxn>
                            </a:cxnLst>
                            <a:rect l="0" t="0" r="r" b="b"/>
                            <a:pathLst>
                              <a:path w="8190" h="5970">
                                <a:moveTo>
                                  <a:pt x="0" y="5970"/>
                                </a:moveTo>
                                <a:lnTo>
                                  <a:pt x="8190" y="5970"/>
                                </a:lnTo>
                                <a:lnTo>
                                  <a:pt x="8190" y="0"/>
                                </a:lnTo>
                                <a:lnTo>
                                  <a:pt x="0" y="0"/>
                                </a:lnTo>
                                <a:lnTo>
                                  <a:pt x="0" y="5970"/>
                                </a:lnTo>
                                <a:close/>
                              </a:path>
                            </a:pathLst>
                          </a:custGeom>
                          <a:noFill/>
                          <a:ln w="9525">
                            <a:solidFill>
                              <a:srgbClr val="000000"/>
                            </a:solidFill>
                            <a:round/>
                          </a:ln>
                        </wps:spPr>
                        <wps:bodyPr rot="0" vert="horz" wrap="square" lIns="91440" tIns="45720" rIns="91440" bIns="45720" anchor="t" anchorCtr="0" upright="1">
                          <a:noAutofit/>
                        </wps:bodyPr>
                      </wps:wsp>
                    </wpg:wgp>
                  </a:graphicData>
                </a:graphic>
              </wp:inline>
            </w:drawing>
          </mc:Choice>
          <mc:Fallback>
            <w:pict>
              <v:group id="_x0000_s1026" o:spid="_x0000_s1026" o:spt="203" style="height:306.3pt;width:418.45pt;" coordsize="8369,6126" o:gfxdata="UEsDBAoAAAAAAIdO4kAAAAAAAAAAAAAAAAAEAAAAZHJzL1BLAwQUAAAACACHTuJAd8NOdtYAAAAF&#10;AQAADwAAAGRycy9kb3ducmV2LnhtbE2PQWvCQBCF74X+h2UK3upmlQabZiNFWk8iVAultzE7JsHs&#10;bMiuif77rr20l4HHe7z3Tb682FYM1PvGsQY1TUAQl840XGn43L8/LkD4gGywdUwaruRhWdzf5ZgZ&#10;N/IHDbtQiVjCPkMNdQhdJqUva7Lop64jjt7R9RZDlH0lTY9jLLetnCVJKi02HBdq7GhVU3nana2G&#10;9Yjj61y9DZvTcXX93j9tvzaKtJ48qOQFRKBL+AvDDT+iQxGZDu7MxotWQ3wk/N7oLebpM4iDhlTN&#10;UpBFLv/TFz9QSwMEFAAAAAgAh07iQLHePSfWAwAAugoAAA4AAABkcnMvZTJvRG9jLnhtbL1WS47j&#10;NhDdB8gdCC4DpGX517bQ6sGgJ90IMEkGM84BaIn6IJKokLLlzjqLLHOfnCfINeYVKcmy+5OemSBe&#10;yBT5WKx6VfXEq1eHsmB7qU2uqpD7FxPOZBWpOK/SkP+8uf12xZlpRBWLQlUy5PfS8FfXX3911daB&#10;nKpMFbHUDEYqE7R1yLOmqQPPM1EmS2EuVC0rLCZKl6LBq069WIsW1svCm04mS69VOq61iqQxmH3j&#10;Fvm1tZ8kMmp+ShIjG1aEHL419qntc0tP7/pKBKkWdZZHnRviM7woRV7h0MHUG9EIttP5A1NlHmll&#10;VNJcRKr0VJLkkbQxIBp/chbNnVa72saSBm1aDzSB2jOePtts9OP+nWZ5HPLpYo5cVaJElv756/e/&#10;//yD2Skw1NZpAOCdrj/U73Q3kbo3CvqQ6JL+EQ47WG7vB27loWERJhczfz7zF5xFWJut1hOE69iP&#10;MqTowb4o+67buZot127b0p8uaY/XH+mRZ4MjbY0aMkeazJfR9CETtbTsG4r+SBO8cTS9R3mJKi0k&#10;mHLRkAvAEk1EiKnfqugXwyp1kwEoX2ut2kyKGK75NpKTDfRisJVt2x9UjDyIXaNsWZ0x7E+mnD3k&#10;eDVdosaJYDBl2R2YEkGtTXMnVcloEHIN361psX9rGkdqDyHXK3WbFwXmRVBUJxOwSTPg3nlL9WGC&#10;5rA92MowwVbF9whCK9dtUAcMMqV/46xFp4Xc/LoTWnJWfF+BCGrLfqD7wbYfiCrC1pA3nLnhTePa&#10;d1frPM1g2bdhVOo1yEpyGwo55Lzo/ERZODf/h/pYICBXH7daSpIuKg+bbvKrK4+Oqxel+9ImG+1p&#10;09F31Mpfd9lerC/Psx3tXLYpc32GoU4xck1Tady5uIGJpCyged94bMJaZq3ac44Yf4Shs1jG+iPH&#10;plCTgyky84S12Qj2jLX5CPaMNSjKcOhTji1PMI/HCI7/1Q70cYR53A7EYcCcRYfGGRIgMtd1IogO&#10;VZcUjFDjEPeJrehaGVJFyhA6euP0wuIpg0+AnS5sZp1MAvUMGBST5cWLwCCRwJcvAoMpAq/HYIR/&#10;jJXk5/ybrDnDN3lLeyBXoiGK+iFrQ+4KPsO3hOqdVkq1lxtlMc3xC9LXJg48AopqDHSm4OII2yP6&#10;/9qaHJB9h/XL/b+DuSS9BPPIiVGhjETUcJjCHgY2fqJt1MwnukysrBfThSXDqCKPSbSJD6PT7U2h&#10;2V7Qxcf+ulycwHDBqGJ38iOa/olCvvbnc/DgxHy+uMQniDlB71acqHcr/6Gw22sALkiWuO4yRzew&#10;8TvG4yvn9U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FBgAAW0NvbnRlbnRfVHlwZXNdLnhtbFBLAQIUAAoAAAAAAIdO4kAAAAAAAAAAAAAAAAAG&#10;AAAAAAAAAAAAEAAAACcFAABfcmVscy9QSwECFAAUAAAACACHTuJAihRmPNEAAACUAQAACwAAAAAA&#10;AAABACAAAABLBQAAX3JlbHMvLnJlbHNQSwECFAAKAAAAAACHTuJAAAAAAAAAAAAAAAAABAAAAAAA&#10;AAAAABAAAAAAAAAAZHJzL1BLAQIUABQAAAAIAIdO4kB3w0521gAAAAUBAAAPAAAAAAAAAAEAIAAA&#10;ACIAAABkcnMvZG93bnJldi54bWxQSwECFAAUAAAACACHTuJAsd49J9YDAAC6CgAADgAAAAAAAAAB&#10;ACAAAAAlAQAAZHJzL2Uyb0RvYy54bWxQSwUGAAAAAAYABgBZAQAAbQcAAAAA&#10;">
                <o:lock v:ext="edit" aspectratio="f"/>
                <v:rect id="Rectangle 2510" o:spid="_x0000_s1026" o:spt="1" style="position:absolute;left:102;top:0;height:6120;width:8260;" filled="f" stroked="f" coordsize="21600,21600" o:gfxdata="UEsDBAoAAAAAAIdO4kAAAAAAAAAAAAAAAAAEAAAAZHJzL1BLAwQUAAAACACHTuJAYZ/uM8AAAADd&#10;AAAADwAAAGRycy9kb3ducmV2LnhtbEWPQWvCQBSE7wX/w/KE3upGaUsSXUVsSzy2RlBvj+wzCWbf&#10;huzWpP56t1DocZiZb5jFajCNuFLnassKppMIBHFhdc2lgn3+8RSDcB5ZY2OZFPyQg9Vy9LDAVNue&#10;v+i686UIEHYpKqi8b1MpXVGRQTexLXHwzrYz6IPsSqk77APcNHIWRa/SYM1hocKWNhUVl923UZDF&#10;7fq4tbe+bN5P2eHzkLzliVfqcTyN5iA8Df4//NfeagWzl+cEft+EJy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n+4z&#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widowControl/>
                          <w:autoSpaceDE/>
                          <w:autoSpaceDN/>
                          <w:adjustRightInd/>
                          <w:spacing w:line="6120" w:lineRule="atLeast"/>
                        </w:pPr>
                        <w:r>
                          <w:drawing>
                            <wp:inline distT="0" distB="0" distL="0" distR="0">
                              <wp:extent cx="5229225" cy="390525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29225" cy="3905250"/>
                                      </a:xfrm>
                                      <a:prstGeom prst="rect">
                                        <a:avLst/>
                                      </a:prstGeom>
                                      <a:noFill/>
                                      <a:ln>
                                        <a:noFill/>
                                      </a:ln>
                                    </pic:spPr>
                                  </pic:pic>
                                </a:graphicData>
                              </a:graphic>
                            </wp:inline>
                          </w:drawing>
                        </w:r>
                      </w:p>
                      <w:p/>
                    </w:txbxContent>
                  </v:textbox>
                </v:rect>
                <v:shape id="Freeform 2511" o:spid="_x0000_s1026" o:spt="100" style="position:absolute;left:7;top:48;height:5970;width:8190;" filled="f" stroked="t" coordsize="8190,5970" o:gfxdata="UEsDBAoAAAAAAIdO4kAAAAAAAAAAAAAAAAAEAAAAZHJzL1BLAwQUAAAACACHTuJAD0SG5bkAAADd&#10;AAAADwAAAGRycy9kb3ducmV2LnhtbEVPy4rCMBTdC/MP4QrubFIHRarRhTDgQhimiutLc/vA5qYk&#10;qXX+frIQZnk47/3xZXvxJB86xxryTIEgrpzpuNFwu34ttyBCRDbYOyYNvxTgePiY7bEwbuIfepax&#10;ESmEQ4Ea2hiHQspQtWQxZG4gTlztvMWYoG+k8TilcNvLlVIbabHj1NDiQKeWqkc5Wg31PZ9GeZk+&#10;v8faXkfnsVQ5ar2Y52oHItIr/ovf7rPRsFqv0/70Jj0Befg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9EhuW5AAAA3QAA&#10;AA8AAAAAAAAAAQAgAAAAIgAAAGRycy9kb3ducmV2LnhtbFBLAQIUABQAAAAIAIdO4kAzLwWeOwAA&#10;ADkAAAAQAAAAAAAAAAEAIAAAAAgBAABkcnMvc2hhcGV4bWwueG1sUEsFBgAAAAAGAAYAWwEAALID&#10;AAAAAA==&#10;" path="m0,5970l8190,5970,8190,0,0,0,0,5970xe">
                  <v:path o:connectlocs="0,5970;8190,5970;8190,0;0,0;0,5970" o:connectangles="0,0,0,0,0"/>
                  <v:fill on="f" focussize="0,0"/>
                  <v:stroke color="#000000" joinstyle="round"/>
                  <v:imagedata o:title=""/>
                  <o:lock v:ext="edit" aspectratio="f"/>
                </v:shape>
                <w10:wrap type="none"/>
                <w10:anchorlock/>
              </v:group>
            </w:pict>
          </mc:Fallback>
        </mc:AlternateContent>
      </w:r>
    </w:p>
    <w:p>
      <w:pPr>
        <w:pStyle w:val="9"/>
        <w:adjustRightInd w:val="0"/>
        <w:snapToGrid w:val="0"/>
        <w:spacing w:before="120" w:beforeLines="50" w:line="578" w:lineRule="atLeast"/>
        <w:ind w:firstLine="0"/>
        <w:jc w:val="center"/>
        <w:rPr>
          <w:sz w:val="4"/>
          <w:szCs w:val="4"/>
        </w:rPr>
      </w:pPr>
      <w:r>
        <w:rPr>
          <w:rFonts w:hint="eastAsia" w:ascii="仿宋_GB2312" w:hAnsi="宋体" w:eastAsia="仿宋_GB2312"/>
          <w:szCs w:val="28"/>
        </w:rPr>
        <w:t>图6-13</w:t>
      </w:r>
      <w:r>
        <w:rPr>
          <w:rFonts w:ascii="仿宋_GB2312" w:hAnsi="宋体" w:eastAsia="仿宋_GB2312"/>
          <w:szCs w:val="28"/>
        </w:rPr>
        <w:t xml:space="preserve"> </w:t>
      </w:r>
      <w:r>
        <w:rPr>
          <w:rFonts w:hint="eastAsia" w:ascii="仿宋_GB2312" w:hAnsi="宋体" w:eastAsia="仿宋_GB2312"/>
          <w:szCs w:val="28"/>
        </w:rPr>
        <w:t>电缆单环网向双环网接线过渡示意图</w:t>
      </w:r>
    </w:p>
    <w:p>
      <w:pPr>
        <w:pStyle w:val="8"/>
        <w:kinsoku w:val="0"/>
        <w:overflowPunct w:val="0"/>
        <w:spacing w:before="0" w:line="200" w:lineRule="atLeast"/>
        <w:ind w:left="292"/>
        <w:rPr>
          <w:sz w:val="20"/>
          <w:szCs w:val="20"/>
        </w:rPr>
      </w:pPr>
      <w:r>
        <w:rPr>
          <w:sz w:val="20"/>
          <w:szCs w:val="20"/>
        </w:rPr>
        <mc:AlternateContent>
          <mc:Choice Requires="wpg">
            <w:drawing>
              <wp:inline distT="0" distB="0" distL="0" distR="0">
                <wp:extent cx="5567045" cy="3543300"/>
                <wp:effectExtent l="0" t="0" r="14605" b="0"/>
                <wp:docPr id="2544" name="组合 2544"/>
                <wp:cNvGraphicFramePr/>
                <a:graphic xmlns:a="http://schemas.openxmlformats.org/drawingml/2006/main">
                  <a:graphicData uri="http://schemas.microsoft.com/office/word/2010/wordprocessingGroup">
                    <wpg:wgp>
                      <wpg:cNvGrpSpPr/>
                      <wpg:grpSpPr>
                        <a:xfrm>
                          <a:off x="0" y="0"/>
                          <a:ext cx="5567045" cy="3543300"/>
                          <a:chOff x="7" y="0"/>
                          <a:chExt cx="8767" cy="5580"/>
                        </a:xfrm>
                      </wpg:grpSpPr>
                      <wps:wsp>
                        <wps:cNvPr id="2545" name="Rectangle 2506"/>
                        <wps:cNvSpPr>
                          <a:spLocks noChangeArrowheads="1"/>
                        </wps:cNvSpPr>
                        <wps:spPr bwMode="auto">
                          <a:xfrm>
                            <a:off x="14" y="0"/>
                            <a:ext cx="8760" cy="5580"/>
                          </a:xfrm>
                          <a:prstGeom prst="rect">
                            <a:avLst/>
                          </a:prstGeom>
                          <a:noFill/>
                          <a:ln>
                            <a:noFill/>
                          </a:ln>
                        </wps:spPr>
                        <wps:txbx>
                          <w:txbxContent>
                            <w:p>
                              <w:pPr>
                                <w:widowControl/>
                                <w:autoSpaceDE/>
                                <w:autoSpaceDN/>
                                <w:adjustRightInd/>
                                <w:spacing w:line="5580" w:lineRule="atLeast"/>
                              </w:pPr>
                              <w:r>
                                <w:drawing>
                                  <wp:inline distT="0" distB="0" distL="0" distR="0">
                                    <wp:extent cx="5553075" cy="3562350"/>
                                    <wp:effectExtent l="0" t="0" r="9525" b="6985"/>
                                    <wp:docPr id="5950" name="图片 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0" name="图片 59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553075" cy="3562350"/>
                                            </a:xfrm>
                                            <a:prstGeom prst="rect">
                                              <a:avLst/>
                                            </a:prstGeom>
                                            <a:noFill/>
                                            <a:ln>
                                              <a:noFill/>
                                            </a:ln>
                                          </pic:spPr>
                                        </pic:pic>
                                      </a:graphicData>
                                    </a:graphic>
                                  </wp:inline>
                                </w:drawing>
                              </w:r>
                            </w:p>
                            <w:p/>
                          </w:txbxContent>
                        </wps:txbx>
                        <wps:bodyPr rot="0" vert="horz" wrap="square" lIns="0" tIns="0" rIns="0" bIns="0" anchor="t" anchorCtr="0" upright="1">
                          <a:noAutofit/>
                        </wps:bodyPr>
                      </wps:wsp>
                      <wps:wsp>
                        <wps:cNvPr id="2546" name="Freeform 2507"/>
                        <wps:cNvSpPr/>
                        <wps:spPr bwMode="auto">
                          <a:xfrm>
                            <a:off x="7" y="304"/>
                            <a:ext cx="8160" cy="4935"/>
                          </a:xfrm>
                          <a:custGeom>
                            <a:avLst/>
                            <a:gdLst>
                              <a:gd name="T0" fmla="*/ 0 w 8160"/>
                              <a:gd name="T1" fmla="*/ 4934 h 4935"/>
                              <a:gd name="T2" fmla="*/ 8160 w 8160"/>
                              <a:gd name="T3" fmla="*/ 4934 h 4935"/>
                              <a:gd name="T4" fmla="*/ 8160 w 8160"/>
                              <a:gd name="T5" fmla="*/ 0 h 4935"/>
                              <a:gd name="T6" fmla="*/ 0 w 8160"/>
                              <a:gd name="T7" fmla="*/ 0 h 4935"/>
                              <a:gd name="T8" fmla="*/ 0 w 8160"/>
                              <a:gd name="T9" fmla="*/ 4934 h 4935"/>
                            </a:gdLst>
                            <a:ahLst/>
                            <a:cxnLst>
                              <a:cxn ang="0">
                                <a:pos x="T0" y="T1"/>
                              </a:cxn>
                              <a:cxn ang="0">
                                <a:pos x="T2" y="T3"/>
                              </a:cxn>
                              <a:cxn ang="0">
                                <a:pos x="T4" y="T5"/>
                              </a:cxn>
                              <a:cxn ang="0">
                                <a:pos x="T6" y="T7"/>
                              </a:cxn>
                              <a:cxn ang="0">
                                <a:pos x="T8" y="T9"/>
                              </a:cxn>
                            </a:cxnLst>
                            <a:rect l="0" t="0" r="r" b="b"/>
                            <a:pathLst>
                              <a:path w="8160" h="4935">
                                <a:moveTo>
                                  <a:pt x="0" y="4934"/>
                                </a:moveTo>
                                <a:lnTo>
                                  <a:pt x="8160" y="4934"/>
                                </a:lnTo>
                                <a:lnTo>
                                  <a:pt x="8160" y="0"/>
                                </a:lnTo>
                                <a:lnTo>
                                  <a:pt x="0" y="0"/>
                                </a:lnTo>
                                <a:lnTo>
                                  <a:pt x="0" y="4934"/>
                                </a:lnTo>
                                <a:close/>
                              </a:path>
                            </a:pathLst>
                          </a:custGeom>
                          <a:noFill/>
                          <a:ln w="9525">
                            <a:solidFill>
                              <a:srgbClr val="000000"/>
                            </a:solidFill>
                            <a:round/>
                          </a:ln>
                        </wps:spPr>
                        <wps:bodyPr rot="0" vert="horz" wrap="square" lIns="91440" tIns="45720" rIns="91440" bIns="45720" anchor="t" anchorCtr="0" upright="1">
                          <a:noAutofit/>
                        </wps:bodyPr>
                      </wps:wsp>
                    </wpg:wgp>
                  </a:graphicData>
                </a:graphic>
              </wp:inline>
            </w:drawing>
          </mc:Choice>
          <mc:Fallback>
            <w:pict>
              <v:group id="_x0000_s1026" o:spid="_x0000_s1026" o:spt="203" style="height:279pt;width:438.35pt;" coordorigin="7,0" coordsize="8767,5580" o:gfxdata="UEsDBAoAAAAAAIdO4kAAAAAAAAAAAAAAAAAEAAAAZHJzL1BLAwQUAAAACACHTuJAJ6uWbtYAAAAF&#10;AQAADwAAAGRycy9kb3ducmV2LnhtbE2PQUvDQBCF74L/YRnBm92Nkjak2RQp6qkItoL0Ns1Ok9Ds&#10;bMhuk/bfu3rRy8DjPd77plhdbCdGGnzrWEMyUyCIK2darjV87l4fMhA+IBvsHJOGK3lYlbc3BebG&#10;TfxB4zbUIpawz1FDE0KfS+mrhiz6meuJo3d0g8UQ5VBLM+AUy20nH5WaS4stx4UGe1o3VJ22Z6vh&#10;bcLp+Sl5GTen4/q636XvX5uEtL6/S9QSRKBL+AvDD35EhzIyHdyZjRedhvhI+L3RyxbzBYiDhjTN&#10;FMiykP/py29QSwMEFAAAAAgAh07iQBuYfeLaAwAAugoAAA4AAABkcnMvZTJvRG9jLnhtbL1WzY7b&#10;NhC+F+g7EDwW6Eq2JXstrDYINt1FgaQNGvcBaIn6QSWSJWnL23MPOfZ98jxBX6MzpCRrXa+Rn6I+&#10;yBT5cTjzzTcj3rw4tA3Zc21qKVI6uwop4SKTeS3KlP66uf/+mhJjmchZIwVP6SM39MXtt9/cdCrh&#10;c1nJJueagBFhkk6ltLJWJUFgsoq3zFxJxQUsFlK3zMKrLoNcsw6st00wD8Nl0EmdKy0zbgzMvvKL&#10;9NbZLwqe2Z+LwnBLmpSCb9Y9tXtu8Rnc3rCk1ExVdda7wb7Ai5bVAg4dTb1ilpGdrv9lqq0zLY0s&#10;7FUm20AWRZ1xFwNEMwtPonnQcqdcLGXSlWqkCag94emLzWY/7d9qUucpncdRRIlgLWTp7w9/fvzr&#10;PXFTwFCnygSAD1q9U291P1H6Nwz6UOgW/yEccnDcPo7c8oMlGUzG8XIVRjElGawt4mixCHv2swpS&#10;hPtWlBz3ZdUP/c7r1RJWcFscX7s9wXBkgJ6NjnQKNGSONJmvo+ldxRR37BuM/kgTBOFp+gXkxUTZ&#10;cGAqXKKW0AXAIk1IiFGvZfabIULeVQDkL7WWXcVZDq7NEA8BTDbgi4GtZNu9kTnkge2sdLI6YXgG&#10;mTpSNVAMRIHEzxLFEqWNfeCyJThIqQbXnWW2f20senKEoOdC3tdNA/MsacSTCQDijPMcnfVB28P2&#10;0Me/lfkjxKClLzZoDjCopP6Dkg4KLaXm9x3TnJLmRwE8YFUOAz0MtsOAiQy2ptRS4od31lfvTum6&#10;rMDyzIUh5EvgqqhdKMij96L3E1Th3fw/5LEc5HGvOcfOhepYnaij5+qTsu3rYhFGaIMlY7pnQ7qj&#10;9SJ2ahrqgiXZzqcbNwwphu6UQ7Jxqsx7CW+A/qJtoOd9F5CQdOQarbpzjpjZBANnRaQiw5FTU/MJ&#10;DM08Y20xgV2wBhIfHbtgDYpxhIXPOAYZmWDOxwgkTzDnA4Rv2QRz3s56gjmJDipnTACrfNlBpg6i&#10;TwqMQOTQ3EMnaSUNdkXMENT6xvcLh8cMPgOGHCB40csBUBfAvotsBu1cBgOJaNkJGSK5DAamELye&#10;uuE39bFi/zn9JmtK4Ju89epTzCJF6D0OSZdSJ01SpdSJD1dauecb6TD2+OVB2vuDj4BGTIHeFLg4&#10;wQ6I4V85kyNy+PIMy8O/h/kkfQrmzIlZIw2HmgOGMNZx4OJH2ibF/KQxIyvreB47vRjZ1Dl2beTD&#10;6HJ712iyZ3jxcb+ekicwuGCI3J98pql/Zidfz6Jo7OZRvJrDi+/o/Yrv6v3Kf9jZ3TUALkiOuP4y&#10;hzew6TuMp1fO23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QYAAFtDb250ZW50X1R5cGVzXS54bWxQSwECFAAKAAAAAACHTuJAAAAAAAAAAAAA&#10;AAAABgAAAAAAAAAAABAAAAArBQAAX3JlbHMvUEsBAhQAFAAAAAgAh07iQIoUZjzRAAAAlAEAAAsA&#10;AAAAAAAAAQAgAAAATwUAAF9yZWxzLy5yZWxzUEsBAhQACgAAAAAAh07iQAAAAAAAAAAAAAAAAAQA&#10;AAAAAAAAAAAQAAAAAAAAAGRycy9QSwECFAAUAAAACACHTuJAJ6uWbtYAAAAFAQAADwAAAAAAAAAB&#10;ACAAAAAiAAAAZHJzL2Rvd25yZXYueG1sUEsBAhQAFAAAAAgAh07iQBuYfeLaAwAAugoAAA4AAAAA&#10;AAAAAQAgAAAAJQEAAGRycy9lMm9Eb2MueG1sUEsFBgAAAAAGAAYAWQEAAHEHAAAAAA==&#10;">
                <o:lock v:ext="edit" aspectratio="f"/>
                <v:rect id="Rectangle 2506" o:spid="_x0000_s1026" o:spt="1" style="position:absolute;left:14;top:0;height:5580;width:8760;" filled="f" stroked="f" coordsize="21600,21600" o:gfxdata="UEsDBAoAAAAAAIdO4kAAAAAAAAAAAAAAAAAEAAAAZHJzL1BLAwQUAAAACACHTuJA4NLkNr8AAADd&#10;AAAADwAAAGRycy9kb3ducmV2LnhtbEWPS4vCQBCE78L+h6EXvOlEUYlZR1l8oEdf4O6tyfQmYTM9&#10;ITMa9dc7guCxqKqvqMnsakpxodoVlhX0uhEI4tTqgjMFx8OqE4NwHlljaZkU3MjBbPrRmmCibcM7&#10;uux9JgKEXYIKcu+rREqX5mTQdW1FHLw/Wxv0QdaZ1DU2AW5K2Y+ikTRYcFjIsaJ5Tun//mwUrOPq&#10;+2dj701WLn/Xp+1pvDiMvVLtz170BcLT1b/Dr/ZGK+gPB0N4vglPQE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S5Da/&#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autoSpaceDE/>
                          <w:autoSpaceDN/>
                          <w:adjustRightInd/>
                          <w:spacing w:line="5580" w:lineRule="atLeast"/>
                        </w:pPr>
                        <w:r>
                          <w:drawing>
                            <wp:inline distT="0" distB="0" distL="0" distR="0">
                              <wp:extent cx="5553075" cy="3562350"/>
                              <wp:effectExtent l="0" t="0" r="9525" b="6985"/>
                              <wp:docPr id="5950" name="图片 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0" name="图片 59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553075" cy="3562350"/>
                                      </a:xfrm>
                                      <a:prstGeom prst="rect">
                                        <a:avLst/>
                                      </a:prstGeom>
                                      <a:noFill/>
                                      <a:ln>
                                        <a:noFill/>
                                      </a:ln>
                                    </pic:spPr>
                                  </pic:pic>
                                </a:graphicData>
                              </a:graphic>
                            </wp:inline>
                          </w:drawing>
                        </w:r>
                      </w:p>
                      <w:p/>
                    </w:txbxContent>
                  </v:textbox>
                </v:rect>
                <v:shape id="Freeform 2507" o:spid="_x0000_s1026" o:spt="100" style="position:absolute;left:7;top:304;height:4935;width:8160;" filled="f" stroked="t" coordsize="8160,4935" o:gfxdata="UEsDBAoAAAAAAIdO4kAAAAAAAAAAAAAAAAAEAAAAZHJzL1BLAwQUAAAACACHTuJAsOwLy78AAADd&#10;AAAADwAAAGRycy9kb3ducmV2LnhtbEWPQYvCMBSE78L+h/AWvGmqqJRqFOyy4EEFdRc8PptnW2xe&#10;ShOt7q/fCILHYWa+YWaLu6nEjRpXWlYw6EcgiDOrS84V/By+ezEI55E1VpZJwYMcLOYfnRkm2ra8&#10;o9ve5yJA2CWooPC+TqR0WUEGXd/WxME728agD7LJpW6wDXBTyWEUTaTBksNCgTWlBWWX/dUoaOvt&#10;aL36i9Ov5dGdNukvHeMTKdX9HERTEJ7u/h1+tVdawXA8msDzTXgCcv4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sC8u/&#10;AAAA3QAAAA8AAAAAAAAAAQAgAAAAIgAAAGRycy9kb3ducmV2LnhtbFBLAQIUABQAAAAIAIdO4kAz&#10;LwWeOwAAADkAAAAQAAAAAAAAAAEAIAAAAA4BAABkcnMvc2hhcGV4bWwueG1sUEsFBgAAAAAGAAYA&#10;WwEAALgDAAAAAA==&#10;" path="m0,4934l8160,4934,8160,0,0,0,0,4934xe">
                  <v:path o:connectlocs="0,4934;8160,4934;8160,0;0,0;0,4934" o:connectangles="0,0,0,0,0"/>
                  <v:fill on="f" focussize="0,0"/>
                  <v:stroke color="#000000" joinstyle="round"/>
                  <v:imagedata o:title=""/>
                  <o:lock v:ext="edit" aspectratio="f"/>
                </v:shape>
                <w10:wrap type="none"/>
                <w10:anchorlock/>
              </v:group>
            </w:pict>
          </mc:Fallback>
        </mc:AlternateContent>
      </w:r>
    </w:p>
    <w:p>
      <w:pPr>
        <w:pStyle w:val="9"/>
        <w:adjustRightInd w:val="0"/>
        <w:snapToGrid w:val="0"/>
        <w:spacing w:line="578" w:lineRule="atLeast"/>
        <w:ind w:firstLine="0"/>
        <w:jc w:val="center"/>
        <w:rPr>
          <w:rFonts w:ascii="仿宋_GB2312" w:hAnsi="宋体" w:eastAsia="仿宋_GB2312"/>
          <w:szCs w:val="28"/>
        </w:rPr>
      </w:pPr>
      <w:r>
        <w:rPr>
          <w:rFonts w:hint="eastAsia" w:ascii="仿宋_GB2312" w:hAnsi="宋体" w:eastAsia="仿宋_GB2312"/>
          <w:szCs w:val="28"/>
        </w:rPr>
        <w:t>图6-14</w:t>
      </w:r>
      <w:r>
        <w:rPr>
          <w:rFonts w:ascii="仿宋_GB2312" w:hAnsi="宋体" w:eastAsia="仿宋_GB2312"/>
          <w:szCs w:val="28"/>
        </w:rPr>
        <w:t xml:space="preserve"> </w:t>
      </w:r>
      <w:r>
        <w:rPr>
          <w:rFonts w:hint="eastAsia" w:ascii="仿宋_GB2312" w:hAnsi="宋体" w:eastAsia="仿宋_GB2312"/>
          <w:szCs w:val="28"/>
        </w:rPr>
        <w:t>电缆双辐射向双环网过渡接线示意图</w:t>
      </w:r>
    </w:p>
    <w:p>
      <w:pPr>
        <w:pStyle w:val="3"/>
        <w:pageBreakBefore w:val="0"/>
        <w:widowControl w:val="0"/>
        <w:kinsoku/>
        <w:wordWrap/>
        <w:overflowPunct/>
        <w:topLinePunct w:val="0"/>
        <w:autoSpaceDE/>
        <w:autoSpaceDN/>
        <w:bidi w:val="0"/>
        <w:spacing w:before="0" w:beforeLines="0" w:after="0" w:afterLines="0" w:line="579" w:lineRule="exact"/>
        <w:ind w:firstLine="643" w:firstLineChars="200"/>
        <w:textAlignment w:val="auto"/>
        <w:rPr>
          <w:rFonts w:hint="eastAsia" w:ascii="楷体_GB2312" w:hAnsi="楷体_GB2312" w:eastAsia="楷体_GB2312" w:cs="楷体_GB2312"/>
          <w:b/>
          <w:bCs w:val="0"/>
          <w:sz w:val="32"/>
          <w:szCs w:val="32"/>
        </w:rPr>
      </w:pPr>
      <w:bookmarkStart w:id="57" w:name="_Toc23169588"/>
      <w:bookmarkStart w:id="58" w:name="_Toc19199805"/>
      <w:r>
        <w:rPr>
          <w:rFonts w:hint="eastAsia" w:ascii="楷体_GB2312" w:hAnsi="楷体_GB2312" w:eastAsia="楷体_GB2312" w:cs="楷体_GB2312"/>
          <w:b/>
          <w:bCs w:val="0"/>
          <w:sz w:val="32"/>
          <w:szCs w:val="32"/>
        </w:rPr>
        <w:t>（二）增量配电网布点规划方案</w:t>
      </w:r>
      <w:bookmarkEnd w:id="57"/>
      <w:bookmarkEnd w:id="58"/>
    </w:p>
    <w:p>
      <w:pPr>
        <w:pStyle w:val="4"/>
        <w:pageBreakBefore w:val="0"/>
        <w:widowControl w:val="0"/>
        <w:kinsoku/>
        <w:wordWrap/>
        <w:overflowPunct/>
        <w:topLinePunct w:val="0"/>
        <w:autoSpaceDE/>
        <w:autoSpaceDN/>
        <w:bidi w:val="0"/>
        <w:spacing w:before="0" w:beforeLines="0" w:after="0" w:afterLines="0" w:line="579" w:lineRule="exact"/>
        <w:ind w:left="0" w:firstLine="640" w:firstLineChars="200"/>
        <w:textAlignment w:val="auto"/>
        <w:rPr>
          <w:rFonts w:hint="default" w:ascii="Times New Roman" w:hAnsi="Times New Roman" w:eastAsia="仿宋_GB2312" w:cs="Times New Roman"/>
          <w:sz w:val="32"/>
          <w:szCs w:val="32"/>
        </w:rPr>
      </w:pPr>
      <w:bookmarkStart w:id="59" w:name="_Toc23169589"/>
      <w:r>
        <w:rPr>
          <w:rFonts w:hint="default" w:ascii="Times New Roman" w:hAnsi="Times New Roman" w:eastAsia="仿宋_GB2312" w:cs="Times New Roman"/>
          <w:sz w:val="32"/>
          <w:szCs w:val="32"/>
        </w:rPr>
        <w:t>1．远景规划方案</w:t>
      </w:r>
      <w:bookmarkEnd w:id="59"/>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bookmarkStart w:id="60" w:name="bookmark23"/>
      <w:bookmarkEnd w:id="60"/>
      <w:r>
        <w:rPr>
          <w:rFonts w:hint="default" w:ascii="Times New Roman" w:hAnsi="Times New Roman" w:eastAsia="仿宋_GB2312" w:cs="Times New Roman"/>
          <w:sz w:val="32"/>
          <w:szCs w:val="32"/>
        </w:rPr>
        <w:t>远景年，龙港彩虹智慧创业园增量配电业务改革试点区域需外部供电约为2.52万千瓦，可通过试点区域内新建1座35千伏变电站供电，主变容量按2×31.5兆伏安考虑，通过现状2回35千伏架空线路接入220千伏珠山变35千伏间隔，导线截面按240平方毫米考虑。架空线路载流量约为580安，最大输送能力约为3.16万千瓦，能够满足试点区域的供电要求。</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为提高供电可靠性，在2回35千伏线路供电的基础上，新增1回10千伏线路供电，从外部电网引接。</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试点区域内通过10千伏电缆双环网供电，在试点区域建设5座10千伏开闭所，其中一、三期项目各建2座开闭所，以35千伏彩虹变为电源构建电缆双环网；二期项目建设1座开闭所，通过2回10千伏线路接入35千伏彩虹变，通过1回10千伏线路接入外部电网。</w:t>
      </w:r>
      <w:bookmarkStart w:id="61" w:name="_Toc23169590"/>
    </w:p>
    <w:p>
      <w:pPr>
        <w:pStyle w:val="9"/>
        <w:pageBreakBefore w:val="0"/>
        <w:widowControl w:val="0"/>
        <w:kinsoku/>
        <w:wordWrap/>
        <w:overflowPunct/>
        <w:topLinePunct w:val="0"/>
        <w:autoSpaceDE/>
        <w:autoSpaceDN/>
        <w:bidi w:val="0"/>
        <w:spacing w:line="579" w:lineRule="exact"/>
        <w:ind w:firstLine="640" w:firstLineChars="200"/>
        <w:textAlignment w:val="auto"/>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hint="default" w:ascii="Times New Roman" w:hAnsi="Times New Roman" w:eastAsia="仿宋_GB2312" w:cs="Times New Roman"/>
          <w:sz w:val="32"/>
          <w:szCs w:val="32"/>
        </w:rPr>
        <w:t>2020</w:t>
      </w:r>
      <w:r>
        <w:rPr>
          <w:rFonts w:hint="eastAsia" w:ascii="Times New Roman" w:hAnsi="Times New Roman" w:eastAsia="仿宋_GB2312" w:cs="Times New Roman"/>
          <w:sz w:val="32"/>
          <w:szCs w:val="32"/>
        </w:rPr>
        <w:t>～</w:t>
      </w:r>
      <w:r>
        <w:rPr>
          <w:rFonts w:hint="default" w:ascii="Times New Roman" w:hAnsi="Times New Roman" w:eastAsia="仿宋_GB2312" w:cs="Times New Roman"/>
          <w:sz w:val="32"/>
          <w:szCs w:val="32"/>
        </w:rPr>
        <w:t>2025</w:t>
      </w:r>
      <w:r>
        <w:rPr>
          <w:rFonts w:hint="eastAsia" w:ascii="Times New Roman" w:hAnsi="Times New Roman" w:eastAsia="仿宋_GB2312" w:cs="Times New Roman"/>
          <w:sz w:val="32"/>
          <w:szCs w:val="32"/>
        </w:rPr>
        <w:t>年规划建设方案</w:t>
      </w:r>
      <w:bookmarkEnd w:id="61"/>
    </w:p>
    <w:p>
      <w:pPr>
        <w:pStyle w:val="9"/>
        <w:pageBreakBefore w:val="0"/>
        <w:widowControl w:val="0"/>
        <w:kinsoku/>
        <w:wordWrap/>
        <w:overflowPunct/>
        <w:topLinePunct w:val="0"/>
        <w:autoSpaceDE/>
        <w:autoSpaceDN/>
        <w:bidi w:val="0"/>
        <w:spacing w:line="579" w:lineRule="exact"/>
        <w:ind w:firstLine="640" w:firstLineChars="200"/>
        <w:textAlignment w:val="auto"/>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2020</w:t>
      </w:r>
      <w:r>
        <w:rPr>
          <w:rFonts w:hint="eastAsia" w:ascii="Times New Roman" w:hAnsi="Times New Roman" w:eastAsia="仿宋_GB2312" w:cs="Times New Roman"/>
          <w:sz w:val="32"/>
          <w:szCs w:val="32"/>
        </w:rPr>
        <w:t>～</w:t>
      </w:r>
      <w:r>
        <w:rPr>
          <w:rFonts w:hint="default" w:ascii="Times New Roman" w:hAnsi="Times New Roman" w:eastAsia="仿宋_GB2312" w:cs="Times New Roman"/>
          <w:sz w:val="32"/>
          <w:szCs w:val="32"/>
        </w:rPr>
        <w:t>2025</w:t>
      </w:r>
      <w:r>
        <w:rPr>
          <w:rFonts w:hint="eastAsia" w:ascii="Times New Roman" w:hAnsi="Times New Roman" w:eastAsia="仿宋_GB2312" w:cs="Times New Roman"/>
          <w:sz w:val="32"/>
          <w:szCs w:val="32"/>
        </w:rPr>
        <w:t>年期间，彩虹智慧创业园小微企业相继入驻。根据前述负荷预测及电力平衡分析，</w:t>
      </w:r>
      <w:r>
        <w:rPr>
          <w:rFonts w:hint="default" w:ascii="Times New Roman" w:hAnsi="Times New Roman" w:eastAsia="仿宋_GB2312" w:cs="Times New Roman"/>
          <w:sz w:val="32"/>
          <w:szCs w:val="32"/>
        </w:rPr>
        <w:t>2020</w:t>
      </w:r>
      <w:r>
        <w:rPr>
          <w:rFonts w:hint="eastAsia" w:ascii="Times New Roman" w:hAnsi="Times New Roman" w:eastAsia="仿宋_GB2312" w:cs="Times New Roman"/>
          <w:sz w:val="32"/>
          <w:szCs w:val="32"/>
        </w:rPr>
        <w:t>年，彩虹智慧创业园增量配电业务改革试点区域需从外部受电</w:t>
      </w:r>
      <w:r>
        <w:rPr>
          <w:rFonts w:hint="default" w:ascii="Times New Roman" w:hAnsi="Times New Roman" w:eastAsia="仿宋_GB2312" w:cs="Times New Roman"/>
          <w:sz w:val="32"/>
          <w:szCs w:val="32"/>
        </w:rPr>
        <w:t>0.91</w:t>
      </w:r>
      <w:r>
        <w:rPr>
          <w:rFonts w:hint="eastAsia" w:ascii="Times New Roman" w:hAnsi="Times New Roman" w:eastAsia="仿宋_GB2312" w:cs="Times New Roman"/>
          <w:sz w:val="32"/>
          <w:szCs w:val="32"/>
        </w:rPr>
        <w:t>万千瓦；</w:t>
      </w:r>
      <w:r>
        <w:rPr>
          <w:rFonts w:hint="default" w:ascii="Times New Roman" w:hAnsi="Times New Roman" w:eastAsia="仿宋_GB2312" w:cs="Times New Roman"/>
          <w:sz w:val="32"/>
          <w:szCs w:val="32"/>
        </w:rPr>
        <w:t>2025</w:t>
      </w:r>
      <w:r>
        <w:rPr>
          <w:rFonts w:hint="eastAsia" w:ascii="Times New Roman" w:hAnsi="Times New Roman" w:eastAsia="仿宋_GB2312" w:cs="Times New Roman"/>
          <w:sz w:val="32"/>
          <w:szCs w:val="32"/>
        </w:rPr>
        <w:t>年，彩虹智慧创业园增量配电业务改革试点区域需从外部受电</w:t>
      </w:r>
      <w:r>
        <w:rPr>
          <w:rFonts w:hint="default" w:ascii="Times New Roman" w:hAnsi="Times New Roman" w:eastAsia="仿宋_GB2312" w:cs="Times New Roman"/>
          <w:sz w:val="32"/>
          <w:szCs w:val="32"/>
        </w:rPr>
        <w:t>2.31</w:t>
      </w:r>
      <w:r>
        <w:rPr>
          <w:rFonts w:hint="eastAsia" w:ascii="Times New Roman" w:hAnsi="Times New Roman" w:eastAsia="仿宋_GB2312" w:cs="Times New Roman"/>
          <w:sz w:val="32"/>
          <w:szCs w:val="32"/>
        </w:rPr>
        <w:t>万千瓦。</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hint="default"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hint="default" w:ascii="Times New Roman" w:hAnsi="Times New Roman" w:eastAsia="仿宋_GB2312" w:cs="Times New Roman"/>
          <w:sz w:val="32"/>
          <w:szCs w:val="32"/>
        </w:rPr>
        <w:t>2020</w:t>
      </w:r>
      <w:r>
        <w:rPr>
          <w:rFonts w:hint="eastAsia" w:ascii="Times New Roman" w:hAnsi="Times New Roman" w:eastAsia="仿宋_GB2312" w:cs="Times New Roman"/>
          <w:sz w:val="32"/>
          <w:szCs w:val="32"/>
        </w:rPr>
        <w:t>年增量配电网规划方案</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hint="default" w:ascii="Times New Roman" w:hAnsi="Times New Roman" w:eastAsia="仿宋_GB2312" w:cs="Times New Roman"/>
          <w:sz w:val="32"/>
          <w:szCs w:val="32"/>
        </w:rPr>
        <w:t>35</w:t>
      </w:r>
      <w:r>
        <w:rPr>
          <w:rFonts w:hint="eastAsia" w:ascii="Times New Roman" w:hAnsi="Times New Roman" w:eastAsia="仿宋_GB2312" w:cs="Times New Roman"/>
          <w:sz w:val="32"/>
          <w:szCs w:val="32"/>
        </w:rPr>
        <w:t>千伏变电站新建工程</w:t>
      </w:r>
    </w:p>
    <w:p>
      <w:pPr>
        <w:pStyle w:val="9"/>
        <w:pageBreakBefore w:val="0"/>
        <w:widowControl w:val="0"/>
        <w:kinsoku/>
        <w:wordWrap/>
        <w:overflowPunct/>
        <w:topLinePunct w:val="0"/>
        <w:autoSpaceDE/>
        <w:autoSpaceDN/>
        <w:bidi w:val="0"/>
        <w:spacing w:line="579"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由于试点区域内现状</w:t>
      </w:r>
      <w:r>
        <w:rPr>
          <w:rFonts w:hint="default" w:ascii="Times New Roman" w:hAnsi="Times New Roman" w:eastAsia="仿宋_GB2312" w:cs="Times New Roman"/>
          <w:sz w:val="32"/>
          <w:szCs w:val="32"/>
        </w:rPr>
        <w:t>35</w:t>
      </w:r>
      <w:r>
        <w:rPr>
          <w:rFonts w:hint="eastAsia" w:ascii="Times New Roman" w:hAnsi="Times New Roman" w:eastAsia="仿宋_GB2312" w:cs="Times New Roman"/>
          <w:sz w:val="32"/>
          <w:szCs w:val="32"/>
        </w:rPr>
        <w:t>千伏变电站</w:t>
      </w:r>
      <w:r>
        <w:rPr>
          <w:rFonts w:hint="default" w:ascii="Times New Roman" w:hAnsi="Times New Roman" w:eastAsia="仿宋_GB2312" w:cs="Times New Roman"/>
          <w:sz w:val="32"/>
          <w:szCs w:val="32"/>
        </w:rPr>
        <w:t>2</w:t>
      </w:r>
      <w:r>
        <w:rPr>
          <w:rFonts w:hint="eastAsia" w:ascii="Times New Roman" w:hAnsi="Times New Roman" w:eastAsia="仿宋_GB2312" w:cs="Times New Roman"/>
          <w:sz w:val="32"/>
          <w:szCs w:val="32"/>
        </w:rPr>
        <w:t>台主变（</w:t>
      </w:r>
      <w:r>
        <w:rPr>
          <w:rFonts w:hint="default" w:ascii="Times New Roman" w:hAnsi="Times New Roman" w:eastAsia="仿宋_GB2312" w:cs="Times New Roman"/>
          <w:sz w:val="32"/>
          <w:szCs w:val="32"/>
        </w:rPr>
        <w:t>10+20</w:t>
      </w:r>
      <w:r>
        <w:rPr>
          <w:rFonts w:hint="eastAsia" w:ascii="Times New Roman" w:hAnsi="Times New Roman" w:eastAsia="仿宋_GB2312" w:cs="Times New Roman"/>
          <w:sz w:val="32"/>
          <w:szCs w:val="32"/>
        </w:rPr>
        <w:t>兆伏安）已经退役，因此，考虑在原址上新建</w:t>
      </w:r>
      <w:r>
        <w:rPr>
          <w:rFonts w:hint="default" w:ascii="Times New Roman" w:hAnsi="Times New Roman" w:eastAsia="仿宋_GB2312" w:cs="Times New Roman"/>
          <w:sz w:val="32"/>
          <w:szCs w:val="32"/>
        </w:rPr>
        <w:t>1</w:t>
      </w:r>
      <w:r>
        <w:rPr>
          <w:rFonts w:hint="eastAsia" w:ascii="Times New Roman" w:hAnsi="Times New Roman" w:eastAsia="仿宋_GB2312" w:cs="Times New Roman"/>
          <w:sz w:val="32"/>
          <w:szCs w:val="32"/>
        </w:rPr>
        <w:t>座</w:t>
      </w:r>
      <w:r>
        <w:rPr>
          <w:rFonts w:hint="default" w:ascii="Times New Roman" w:hAnsi="Times New Roman" w:eastAsia="仿宋_GB2312" w:cs="Times New Roman"/>
          <w:sz w:val="32"/>
          <w:szCs w:val="32"/>
        </w:rPr>
        <w:t>35</w:t>
      </w:r>
      <w:r>
        <w:rPr>
          <w:rFonts w:hint="eastAsia" w:ascii="Times New Roman" w:hAnsi="Times New Roman" w:eastAsia="仿宋_GB2312" w:cs="Times New Roman"/>
          <w:sz w:val="32"/>
          <w:szCs w:val="32"/>
        </w:rPr>
        <w:t>千伏彩虹变电站，主变容量为</w:t>
      </w:r>
      <w:r>
        <w:rPr>
          <w:rFonts w:hint="default"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hint="default" w:ascii="Times New Roman" w:hAnsi="Times New Roman" w:eastAsia="仿宋_GB2312" w:cs="Times New Roman"/>
          <w:sz w:val="32"/>
          <w:szCs w:val="32"/>
        </w:rPr>
        <w:t>20</w:t>
      </w:r>
      <w:r>
        <w:rPr>
          <w:rFonts w:hint="eastAsia" w:ascii="Times New Roman" w:hAnsi="Times New Roman" w:eastAsia="仿宋_GB2312" w:cs="Times New Roman"/>
          <w:sz w:val="32"/>
          <w:szCs w:val="32"/>
        </w:rPr>
        <w:t>兆伏安，并对现状</w:t>
      </w:r>
      <w:r>
        <w:rPr>
          <w:rFonts w:hint="default" w:ascii="Times New Roman" w:hAnsi="Times New Roman" w:eastAsia="仿宋_GB2312" w:cs="Times New Roman"/>
          <w:sz w:val="32"/>
          <w:szCs w:val="32"/>
        </w:rPr>
        <w:t>2</w:t>
      </w:r>
      <w:r>
        <w:rPr>
          <w:rFonts w:hint="eastAsia" w:ascii="Times New Roman" w:hAnsi="Times New Roman" w:eastAsia="仿宋_GB2312" w:cs="Times New Roman"/>
          <w:sz w:val="32"/>
          <w:szCs w:val="32"/>
        </w:rPr>
        <w:t>回</w:t>
      </w:r>
      <w:r>
        <w:rPr>
          <w:rFonts w:hint="default" w:ascii="Times New Roman" w:hAnsi="Times New Roman" w:eastAsia="仿宋_GB2312" w:cs="Times New Roman"/>
          <w:sz w:val="32"/>
          <w:szCs w:val="32"/>
        </w:rPr>
        <w:t>35</w:t>
      </w:r>
      <w:r>
        <w:rPr>
          <w:rFonts w:hint="eastAsia" w:ascii="Times New Roman" w:hAnsi="Times New Roman" w:eastAsia="仿宋_GB2312" w:cs="Times New Roman"/>
          <w:sz w:val="32"/>
          <w:szCs w:val="32"/>
        </w:rPr>
        <w:t>千伏线路进行检测和升级改造，线路长度为</w:t>
      </w:r>
      <w:r>
        <w:rPr>
          <w:rFonts w:hint="default"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hint="default" w:ascii="Times New Roman" w:hAnsi="Times New Roman" w:eastAsia="仿宋_GB2312" w:cs="Times New Roman"/>
          <w:sz w:val="32"/>
          <w:szCs w:val="32"/>
        </w:rPr>
        <w:t>12.7</w:t>
      </w:r>
      <w:r>
        <w:rPr>
          <w:rFonts w:hint="eastAsia" w:ascii="Times New Roman" w:hAnsi="Times New Roman" w:eastAsia="仿宋_GB2312" w:cs="Times New Roman"/>
          <w:sz w:val="32"/>
          <w:szCs w:val="32"/>
        </w:rPr>
        <w:t>公里，导线截面按</w:t>
      </w:r>
      <w:r>
        <w:rPr>
          <w:rFonts w:hint="default" w:ascii="Times New Roman" w:hAnsi="Times New Roman" w:eastAsia="仿宋_GB2312" w:cs="Times New Roman"/>
          <w:sz w:val="32"/>
          <w:szCs w:val="32"/>
        </w:rPr>
        <w:t>240</w:t>
      </w:r>
      <w:r>
        <w:rPr>
          <w:rFonts w:hint="eastAsia" w:ascii="Times New Roman" w:hAnsi="Times New Roman" w:eastAsia="仿宋_GB2312" w:cs="Times New Roman"/>
          <w:sz w:val="32"/>
          <w:szCs w:val="32"/>
        </w:rPr>
        <w:t>平方毫米考虑。变电站建成后，试点区域内</w:t>
      </w:r>
      <w:r>
        <w:rPr>
          <w:rFonts w:hint="default" w:ascii="Times New Roman" w:hAnsi="Times New Roman" w:eastAsia="仿宋_GB2312" w:cs="Times New Roman"/>
          <w:sz w:val="32"/>
          <w:szCs w:val="32"/>
        </w:rPr>
        <w:t>35</w:t>
      </w:r>
      <w:r>
        <w:rPr>
          <w:rFonts w:hint="eastAsia" w:ascii="Times New Roman" w:hAnsi="Times New Roman" w:eastAsia="仿宋_GB2312" w:cs="Times New Roman"/>
          <w:sz w:val="32"/>
          <w:szCs w:val="32"/>
        </w:rPr>
        <w:t>千伏彩虹变电站（</w:t>
      </w:r>
      <w:r>
        <w:rPr>
          <w:rFonts w:hint="default"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hint="default" w:ascii="Times New Roman" w:hAnsi="Times New Roman" w:eastAsia="仿宋_GB2312" w:cs="Times New Roman"/>
          <w:sz w:val="32"/>
          <w:szCs w:val="32"/>
        </w:rPr>
        <w:t>20</w:t>
      </w:r>
      <w:r>
        <w:rPr>
          <w:rFonts w:hint="eastAsia" w:ascii="Times New Roman" w:hAnsi="Times New Roman" w:eastAsia="仿宋_GB2312" w:cs="Times New Roman"/>
          <w:sz w:val="32"/>
          <w:szCs w:val="32"/>
        </w:rPr>
        <w:t>兆伏安）通过珠山—彩虹</w:t>
      </w:r>
      <w:r>
        <w:rPr>
          <w:rFonts w:hint="default" w:ascii="Times New Roman" w:hAnsi="Times New Roman" w:eastAsia="仿宋_GB2312" w:cs="Times New Roman"/>
          <w:sz w:val="32"/>
          <w:szCs w:val="32"/>
        </w:rPr>
        <w:t>2</w:t>
      </w:r>
      <w:r>
        <w:rPr>
          <w:rFonts w:hint="eastAsia" w:ascii="Times New Roman" w:hAnsi="Times New Roman" w:eastAsia="仿宋_GB2312" w:cs="Times New Roman"/>
          <w:sz w:val="32"/>
          <w:szCs w:val="32"/>
        </w:rPr>
        <w:t>回</w:t>
      </w:r>
      <w:r>
        <w:rPr>
          <w:rFonts w:hint="default" w:ascii="Times New Roman" w:hAnsi="Times New Roman" w:eastAsia="仿宋_GB2312" w:cs="Times New Roman"/>
          <w:sz w:val="32"/>
          <w:szCs w:val="32"/>
        </w:rPr>
        <w:t>35</w:t>
      </w:r>
      <w:r>
        <w:rPr>
          <w:rFonts w:hint="eastAsia" w:ascii="Times New Roman" w:hAnsi="Times New Roman" w:eastAsia="仿宋_GB2312" w:cs="Times New Roman"/>
          <w:sz w:val="32"/>
          <w:szCs w:val="32"/>
        </w:rPr>
        <w:t>千伏线路供电，业主需委托具有相关资质的专业单位进行检测和评审，以确认改造后的线路具备投入运行的条件。</w:t>
      </w:r>
    </w:p>
    <w:p>
      <w:pPr>
        <w:pStyle w:val="9"/>
        <w:pageBreakBefore w:val="0"/>
        <w:widowControl w:val="0"/>
        <w:kinsoku/>
        <w:wordWrap/>
        <w:overflowPunct/>
        <w:topLinePunct w:val="0"/>
        <w:autoSpaceDE/>
        <w:autoSpaceDN/>
        <w:bidi w:val="0"/>
        <w:spacing w:line="579"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彩虹智慧创业园（一期）中压配网新建工程</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rPr>
        <w:t>彩虹智慧创业园（一期）区域新建</w:t>
      </w:r>
      <w:r>
        <w:rPr>
          <w:rFonts w:hint="default" w:ascii="Times New Roman" w:hAnsi="Times New Roman" w:eastAsia="仿宋_GB2312" w:cs="Times New Roman"/>
          <w:sz w:val="32"/>
          <w:szCs w:val="32"/>
        </w:rPr>
        <w:t>10</w:t>
      </w:r>
      <w:r>
        <w:rPr>
          <w:rFonts w:hint="eastAsia" w:ascii="Times New Roman" w:hAnsi="Times New Roman" w:eastAsia="仿宋_GB2312" w:cs="Times New Roman"/>
          <w:sz w:val="32"/>
          <w:szCs w:val="32"/>
        </w:rPr>
        <w:t>千伏开闭所</w:t>
      </w:r>
      <w:r>
        <w:rPr>
          <w:rFonts w:hint="default" w:ascii="Times New Roman" w:hAnsi="Times New Roman" w:eastAsia="仿宋_GB2312" w:cs="Times New Roman"/>
          <w:sz w:val="32"/>
          <w:szCs w:val="32"/>
        </w:rPr>
        <w:t>2</w:t>
      </w:r>
      <w:r>
        <w:rPr>
          <w:rFonts w:hint="eastAsia" w:ascii="Times New Roman" w:hAnsi="Times New Roman" w:eastAsia="仿宋_GB2312" w:cs="Times New Roman"/>
          <w:sz w:val="32"/>
          <w:szCs w:val="32"/>
        </w:rPr>
        <w:t>座，新建</w:t>
      </w:r>
      <w:r>
        <w:rPr>
          <w:rFonts w:hint="default" w:ascii="Times New Roman" w:hAnsi="Times New Roman" w:eastAsia="仿宋_GB2312" w:cs="Times New Roman"/>
          <w:sz w:val="32"/>
          <w:szCs w:val="32"/>
        </w:rPr>
        <w:t>10</w:t>
      </w:r>
      <w:r>
        <w:rPr>
          <w:rFonts w:hint="eastAsia" w:ascii="Times New Roman" w:hAnsi="Times New Roman" w:eastAsia="仿宋_GB2312" w:cs="Times New Roman"/>
          <w:sz w:val="32"/>
          <w:szCs w:val="32"/>
        </w:rPr>
        <w:t>千伏电缆线路约</w:t>
      </w:r>
      <w:r>
        <w:rPr>
          <w:rFonts w:hint="default" w:ascii="Times New Roman" w:hAnsi="Times New Roman" w:eastAsia="仿宋_GB2312" w:cs="Times New Roman"/>
          <w:sz w:val="32"/>
          <w:szCs w:val="32"/>
        </w:rPr>
        <w:t>3.7</w:t>
      </w:r>
      <w:r>
        <w:rPr>
          <w:rFonts w:hint="eastAsia" w:ascii="Times New Roman" w:hAnsi="Times New Roman" w:eastAsia="仿宋_GB2312" w:cs="Times New Roman"/>
          <w:sz w:val="32"/>
          <w:szCs w:val="32"/>
        </w:rPr>
        <w:t>公里，新建</w:t>
      </w:r>
      <w:r>
        <w:rPr>
          <w:rFonts w:hint="default" w:ascii="Times New Roman" w:hAnsi="Times New Roman" w:eastAsia="仿宋_GB2312" w:cs="Times New Roman"/>
          <w:sz w:val="32"/>
          <w:szCs w:val="32"/>
        </w:rPr>
        <w:t>10</w:t>
      </w:r>
      <w:r>
        <w:rPr>
          <w:rFonts w:hint="eastAsia" w:ascii="Times New Roman" w:hAnsi="Times New Roman" w:eastAsia="仿宋_GB2312" w:cs="Times New Roman"/>
          <w:sz w:val="32"/>
          <w:szCs w:val="32"/>
        </w:rPr>
        <w:t>千伏主变</w:t>
      </w:r>
      <w:r>
        <w:rPr>
          <w:rFonts w:hint="default" w:ascii="Times New Roman" w:hAnsi="Times New Roman" w:eastAsia="仿宋_GB2312" w:cs="Times New Roman"/>
          <w:sz w:val="32"/>
          <w:szCs w:val="32"/>
        </w:rPr>
        <w:t>36</w:t>
      </w:r>
      <w:r>
        <w:rPr>
          <w:rFonts w:hint="eastAsia" w:ascii="Times New Roman" w:hAnsi="Times New Roman" w:eastAsia="仿宋_GB2312" w:cs="Times New Roman"/>
          <w:sz w:val="32"/>
          <w:szCs w:val="32"/>
        </w:rPr>
        <w:t>台，其中</w:t>
      </w:r>
      <w:r>
        <w:rPr>
          <w:rFonts w:hint="default" w:ascii="Times New Roman" w:hAnsi="Times New Roman" w:eastAsia="仿宋_GB2312" w:cs="Times New Roman"/>
          <w:sz w:val="32"/>
          <w:szCs w:val="32"/>
        </w:rPr>
        <w:t>500</w:t>
      </w:r>
      <w:r>
        <w:rPr>
          <w:rFonts w:hint="eastAsia" w:ascii="Times New Roman" w:hAnsi="Times New Roman" w:eastAsia="仿宋_GB2312" w:cs="Times New Roman"/>
          <w:sz w:val="32"/>
          <w:szCs w:val="32"/>
        </w:rPr>
        <w:t>千伏安主变</w:t>
      </w:r>
      <w:r>
        <w:rPr>
          <w:rFonts w:hint="default" w:ascii="Times New Roman" w:hAnsi="Times New Roman" w:eastAsia="仿宋_GB2312" w:cs="Times New Roman"/>
          <w:sz w:val="32"/>
          <w:szCs w:val="32"/>
        </w:rPr>
        <w:t>15</w:t>
      </w:r>
      <w:r>
        <w:rPr>
          <w:rFonts w:hint="eastAsia" w:ascii="Times New Roman" w:hAnsi="Times New Roman" w:eastAsia="仿宋_GB2312" w:cs="Times New Roman"/>
          <w:sz w:val="32"/>
          <w:szCs w:val="32"/>
        </w:rPr>
        <w:t>台，</w:t>
      </w:r>
      <w:r>
        <w:rPr>
          <w:rFonts w:hint="default" w:ascii="Times New Roman" w:hAnsi="Times New Roman" w:eastAsia="仿宋_GB2312" w:cs="Times New Roman"/>
          <w:sz w:val="32"/>
          <w:szCs w:val="32"/>
        </w:rPr>
        <w:t>400</w:t>
      </w:r>
      <w:r>
        <w:rPr>
          <w:rFonts w:hint="eastAsia" w:ascii="Times New Roman" w:hAnsi="Times New Roman" w:eastAsia="仿宋_GB2312" w:cs="Times New Roman"/>
          <w:sz w:val="32"/>
          <w:szCs w:val="32"/>
        </w:rPr>
        <w:t>千伏安主变</w:t>
      </w:r>
      <w:r>
        <w:rPr>
          <w:rFonts w:hint="default" w:ascii="Times New Roman" w:hAnsi="Times New Roman" w:eastAsia="仿宋_GB2312" w:cs="Times New Roman"/>
          <w:sz w:val="32"/>
          <w:szCs w:val="32"/>
        </w:rPr>
        <w:t>21</w:t>
      </w:r>
      <w:r>
        <w:rPr>
          <w:rFonts w:hint="eastAsia" w:ascii="Times New Roman" w:hAnsi="Times New Roman" w:eastAsia="仿宋_GB2312" w:cs="Times New Roman"/>
          <w:sz w:val="32"/>
          <w:szCs w:val="32"/>
        </w:rPr>
        <w:t>台。</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hint="default"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hint="default" w:ascii="Times New Roman" w:hAnsi="Times New Roman" w:eastAsia="仿宋_GB2312" w:cs="Times New Roman"/>
          <w:sz w:val="32"/>
          <w:szCs w:val="32"/>
        </w:rPr>
        <w:t>2021</w:t>
      </w:r>
      <w:r>
        <w:rPr>
          <w:rFonts w:hint="eastAsia" w:ascii="Times New Roman" w:hAnsi="Times New Roman" w:eastAsia="仿宋_GB2312" w:cs="Times New Roman"/>
          <w:sz w:val="32"/>
          <w:szCs w:val="32"/>
        </w:rPr>
        <w:t>年增量配电网规划方案</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hint="eastAsia" w:ascii="Times New Roman" w:hAnsi="Times New Roman" w:eastAsia="仿宋_GB2312" w:cs="Times New Roman"/>
          <w:sz w:val="32"/>
          <w:szCs w:val="32"/>
        </w:rPr>
        <w:t>）彩虹智慧创业园（一期）中压配网扩建工程</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rPr>
        <w:t>新建</w:t>
      </w:r>
      <w:r>
        <w:rPr>
          <w:rFonts w:hint="default" w:ascii="Times New Roman" w:hAnsi="Times New Roman" w:eastAsia="仿宋_GB2312" w:cs="Times New Roman"/>
          <w:sz w:val="32"/>
          <w:szCs w:val="32"/>
        </w:rPr>
        <w:t>10</w:t>
      </w:r>
      <w:r>
        <w:rPr>
          <w:rFonts w:hint="eastAsia" w:ascii="Times New Roman" w:hAnsi="Times New Roman" w:eastAsia="仿宋_GB2312" w:cs="Times New Roman"/>
          <w:sz w:val="32"/>
          <w:szCs w:val="32"/>
        </w:rPr>
        <w:t>千伏电缆线路约</w:t>
      </w:r>
      <w:r>
        <w:rPr>
          <w:rFonts w:hint="default" w:ascii="Times New Roman" w:hAnsi="Times New Roman" w:eastAsia="仿宋_GB2312" w:cs="Times New Roman"/>
          <w:sz w:val="32"/>
          <w:szCs w:val="32"/>
        </w:rPr>
        <w:t>1.9</w:t>
      </w:r>
      <w:r>
        <w:rPr>
          <w:rFonts w:hint="eastAsia" w:ascii="Times New Roman" w:hAnsi="Times New Roman" w:eastAsia="仿宋_GB2312" w:cs="Times New Roman"/>
          <w:sz w:val="32"/>
          <w:szCs w:val="32"/>
        </w:rPr>
        <w:t>公里，新建</w:t>
      </w:r>
      <w:r>
        <w:rPr>
          <w:rFonts w:hint="default" w:ascii="Times New Roman" w:hAnsi="Times New Roman" w:eastAsia="仿宋_GB2312" w:cs="Times New Roman"/>
          <w:sz w:val="32"/>
          <w:szCs w:val="32"/>
        </w:rPr>
        <w:t>10</w:t>
      </w:r>
      <w:r>
        <w:rPr>
          <w:rFonts w:hint="eastAsia" w:ascii="Times New Roman" w:hAnsi="Times New Roman" w:eastAsia="仿宋_GB2312" w:cs="Times New Roman"/>
          <w:sz w:val="32"/>
          <w:szCs w:val="32"/>
        </w:rPr>
        <w:t>千伏主变</w:t>
      </w:r>
      <w:r>
        <w:rPr>
          <w:rFonts w:hint="default" w:ascii="Times New Roman" w:hAnsi="Times New Roman" w:eastAsia="仿宋_GB2312" w:cs="Times New Roman"/>
          <w:sz w:val="32"/>
          <w:szCs w:val="32"/>
        </w:rPr>
        <w:t>10</w:t>
      </w:r>
      <w:r>
        <w:rPr>
          <w:rFonts w:hint="eastAsia" w:ascii="Times New Roman" w:hAnsi="Times New Roman" w:eastAsia="仿宋_GB2312" w:cs="Times New Roman"/>
          <w:sz w:val="32"/>
          <w:szCs w:val="32"/>
        </w:rPr>
        <w:t>台，其中</w:t>
      </w:r>
      <w:r>
        <w:rPr>
          <w:rFonts w:hint="default" w:ascii="Times New Roman" w:hAnsi="Times New Roman" w:eastAsia="仿宋_GB2312" w:cs="Times New Roman"/>
          <w:sz w:val="32"/>
          <w:szCs w:val="32"/>
        </w:rPr>
        <w:t>500</w:t>
      </w:r>
      <w:r>
        <w:rPr>
          <w:rFonts w:hint="eastAsia" w:ascii="Times New Roman" w:hAnsi="Times New Roman" w:eastAsia="仿宋_GB2312" w:cs="Times New Roman"/>
          <w:sz w:val="32"/>
          <w:szCs w:val="32"/>
        </w:rPr>
        <w:t>千伏安主变</w:t>
      </w:r>
      <w:r>
        <w:rPr>
          <w:rFonts w:hint="default" w:ascii="Times New Roman" w:hAnsi="Times New Roman" w:eastAsia="仿宋_GB2312" w:cs="Times New Roman"/>
          <w:sz w:val="32"/>
          <w:szCs w:val="32"/>
        </w:rPr>
        <w:t>4</w:t>
      </w:r>
      <w:r>
        <w:rPr>
          <w:rFonts w:hint="eastAsia" w:ascii="Times New Roman" w:hAnsi="Times New Roman" w:eastAsia="仿宋_GB2312" w:cs="Times New Roman"/>
          <w:sz w:val="32"/>
          <w:szCs w:val="32"/>
        </w:rPr>
        <w:t>台，</w:t>
      </w:r>
      <w:r>
        <w:rPr>
          <w:rFonts w:hint="default" w:ascii="Times New Roman" w:hAnsi="Times New Roman" w:eastAsia="仿宋_GB2312" w:cs="Times New Roman"/>
          <w:sz w:val="32"/>
          <w:szCs w:val="32"/>
        </w:rPr>
        <w:t>400</w:t>
      </w:r>
      <w:r>
        <w:rPr>
          <w:rFonts w:hint="eastAsia" w:ascii="Times New Roman" w:hAnsi="Times New Roman" w:eastAsia="仿宋_GB2312" w:cs="Times New Roman"/>
          <w:sz w:val="32"/>
          <w:szCs w:val="32"/>
        </w:rPr>
        <w:t>千伏安主变</w:t>
      </w:r>
      <w:r>
        <w:rPr>
          <w:rFonts w:hint="default" w:ascii="Times New Roman" w:hAnsi="Times New Roman" w:eastAsia="仿宋_GB2312" w:cs="Times New Roman"/>
          <w:sz w:val="32"/>
          <w:szCs w:val="32"/>
        </w:rPr>
        <w:t>6</w:t>
      </w:r>
      <w:r>
        <w:rPr>
          <w:rFonts w:hint="eastAsia" w:ascii="Times New Roman" w:hAnsi="Times New Roman" w:eastAsia="仿宋_GB2312" w:cs="Times New Roman"/>
          <w:sz w:val="32"/>
          <w:szCs w:val="32"/>
        </w:rPr>
        <w:t>台。</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w:t>
      </w:r>
      <w:r>
        <w:rPr>
          <w:rFonts w:hint="eastAsia" w:ascii="Times New Roman" w:hAnsi="Times New Roman" w:eastAsia="仿宋_GB2312" w:cs="Times New Roman"/>
          <w:sz w:val="32"/>
          <w:szCs w:val="32"/>
          <w:lang w:val="en-US" w:eastAsia="zh-CN"/>
        </w:rPr>
        <w:t>）开发屋顶光伏</w:t>
      </w:r>
      <w:r>
        <w:rPr>
          <w:rFonts w:hint="default" w:ascii="Times New Roman" w:hAnsi="Times New Roman" w:eastAsia="仿宋_GB2312" w:cs="Times New Roman"/>
          <w:sz w:val="32"/>
          <w:szCs w:val="32"/>
          <w:lang w:val="en-US" w:eastAsia="zh-CN"/>
        </w:rPr>
        <w:t>0.1</w:t>
      </w:r>
      <w:r>
        <w:rPr>
          <w:rFonts w:hint="eastAsia" w:ascii="Times New Roman" w:hAnsi="Times New Roman" w:eastAsia="仿宋_GB2312" w:cs="Times New Roman"/>
          <w:sz w:val="32"/>
          <w:szCs w:val="32"/>
          <w:lang w:val="en-US" w:eastAsia="zh-CN"/>
        </w:rPr>
        <w:t>万千瓦。</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3</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2022</w:t>
      </w:r>
      <w:r>
        <w:rPr>
          <w:rFonts w:hint="eastAsia" w:ascii="Times New Roman" w:hAnsi="Times New Roman" w:eastAsia="仿宋_GB2312" w:cs="Times New Roman"/>
          <w:sz w:val="32"/>
          <w:szCs w:val="32"/>
          <w:lang w:val="en-US" w:eastAsia="zh-CN"/>
        </w:rPr>
        <w:t>年增量配电网规划方案</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lang w:val="en-US" w:eastAsia="zh-CN"/>
        </w:rPr>
        <w:t>）彩虹智慧创业园（三期）中压配网新建工程</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彩虹智慧创业园（三期）区域新建</w:t>
      </w:r>
      <w:r>
        <w:rPr>
          <w:rFonts w:hint="default" w:ascii="Times New Roman" w:hAnsi="Times New Roman" w:eastAsia="仿宋_GB2312" w:cs="Times New Roman"/>
          <w:sz w:val="32"/>
          <w:szCs w:val="32"/>
          <w:lang w:val="en-US" w:eastAsia="zh-CN"/>
        </w:rPr>
        <w:t>10</w:t>
      </w:r>
      <w:r>
        <w:rPr>
          <w:rFonts w:hint="eastAsia" w:ascii="Times New Roman" w:hAnsi="Times New Roman" w:eastAsia="仿宋_GB2312" w:cs="Times New Roman"/>
          <w:sz w:val="32"/>
          <w:szCs w:val="32"/>
          <w:lang w:val="en-US" w:eastAsia="zh-CN"/>
        </w:rPr>
        <w:t>千伏开闭所</w:t>
      </w:r>
      <w:r>
        <w:rPr>
          <w:rFonts w:hint="default"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lang w:val="en-US" w:eastAsia="zh-CN"/>
        </w:rPr>
        <w:t>座，新建</w:t>
      </w:r>
      <w:r>
        <w:rPr>
          <w:rFonts w:hint="default" w:ascii="Times New Roman" w:hAnsi="Times New Roman" w:eastAsia="仿宋_GB2312" w:cs="Times New Roman"/>
          <w:sz w:val="32"/>
          <w:szCs w:val="32"/>
          <w:lang w:val="en-US" w:eastAsia="zh-CN"/>
        </w:rPr>
        <w:t>10</w:t>
      </w:r>
      <w:r>
        <w:rPr>
          <w:rFonts w:hint="eastAsia" w:ascii="Times New Roman" w:hAnsi="Times New Roman" w:eastAsia="仿宋_GB2312" w:cs="Times New Roman"/>
          <w:sz w:val="32"/>
          <w:szCs w:val="32"/>
          <w:lang w:val="en-US" w:eastAsia="zh-CN"/>
        </w:rPr>
        <w:t>千伏电缆线路约</w:t>
      </w:r>
      <w:r>
        <w:rPr>
          <w:rFonts w:hint="default" w:ascii="Times New Roman" w:hAnsi="Times New Roman" w:eastAsia="仿宋_GB2312" w:cs="Times New Roman"/>
          <w:sz w:val="32"/>
          <w:szCs w:val="32"/>
          <w:lang w:val="en-US" w:eastAsia="zh-CN"/>
        </w:rPr>
        <w:t>3.2</w:t>
      </w:r>
      <w:r>
        <w:rPr>
          <w:rFonts w:hint="eastAsia" w:ascii="Times New Roman" w:hAnsi="Times New Roman" w:eastAsia="仿宋_GB2312" w:cs="Times New Roman"/>
          <w:sz w:val="32"/>
          <w:szCs w:val="32"/>
          <w:lang w:val="en-US" w:eastAsia="zh-CN"/>
        </w:rPr>
        <w:t>公里，新建</w:t>
      </w:r>
      <w:r>
        <w:rPr>
          <w:rFonts w:hint="default" w:ascii="Times New Roman" w:hAnsi="Times New Roman" w:eastAsia="仿宋_GB2312" w:cs="Times New Roman"/>
          <w:sz w:val="32"/>
          <w:szCs w:val="32"/>
          <w:lang w:val="en-US" w:eastAsia="zh-CN"/>
        </w:rPr>
        <w:t>10</w:t>
      </w:r>
      <w:r>
        <w:rPr>
          <w:rFonts w:hint="eastAsia" w:ascii="Times New Roman" w:hAnsi="Times New Roman" w:eastAsia="仿宋_GB2312" w:cs="Times New Roman"/>
          <w:sz w:val="32"/>
          <w:szCs w:val="32"/>
          <w:lang w:val="en-US" w:eastAsia="zh-CN"/>
        </w:rPr>
        <w:t>千伏主变</w:t>
      </w:r>
      <w:r>
        <w:rPr>
          <w:rFonts w:hint="default" w:ascii="Times New Roman" w:hAnsi="Times New Roman" w:eastAsia="仿宋_GB2312" w:cs="Times New Roman"/>
          <w:sz w:val="32"/>
          <w:szCs w:val="32"/>
          <w:lang w:val="en-US" w:eastAsia="zh-CN"/>
        </w:rPr>
        <w:t>10</w:t>
      </w:r>
      <w:r>
        <w:rPr>
          <w:rFonts w:hint="eastAsia" w:ascii="Times New Roman" w:hAnsi="Times New Roman" w:eastAsia="仿宋_GB2312" w:cs="Times New Roman"/>
          <w:sz w:val="32"/>
          <w:szCs w:val="32"/>
          <w:lang w:val="en-US" w:eastAsia="zh-CN"/>
        </w:rPr>
        <w:t>台，其中</w:t>
      </w:r>
      <w:r>
        <w:rPr>
          <w:rFonts w:hint="default" w:ascii="Times New Roman" w:hAnsi="Times New Roman" w:eastAsia="仿宋_GB2312" w:cs="Times New Roman"/>
          <w:sz w:val="32"/>
          <w:szCs w:val="32"/>
          <w:lang w:val="en-US" w:eastAsia="zh-CN"/>
        </w:rPr>
        <w:t>630</w:t>
      </w:r>
      <w:r>
        <w:rPr>
          <w:rFonts w:hint="eastAsia" w:ascii="Times New Roman" w:hAnsi="Times New Roman" w:eastAsia="仿宋_GB2312" w:cs="Times New Roman"/>
          <w:sz w:val="32"/>
          <w:szCs w:val="32"/>
          <w:lang w:val="en-US" w:eastAsia="zh-CN"/>
        </w:rPr>
        <w:t>千伏安主变</w:t>
      </w:r>
      <w:r>
        <w:rPr>
          <w:rFonts w:hint="default" w:ascii="Times New Roman" w:hAnsi="Times New Roman" w:eastAsia="仿宋_GB2312" w:cs="Times New Roman"/>
          <w:sz w:val="32"/>
          <w:szCs w:val="32"/>
          <w:lang w:val="en-US" w:eastAsia="zh-CN"/>
        </w:rPr>
        <w:t>7</w:t>
      </w:r>
      <w:r>
        <w:rPr>
          <w:rFonts w:hint="eastAsia" w:ascii="Times New Roman" w:hAnsi="Times New Roman" w:eastAsia="仿宋_GB2312" w:cs="Times New Roman"/>
          <w:sz w:val="32"/>
          <w:szCs w:val="32"/>
          <w:lang w:val="en-US" w:eastAsia="zh-CN"/>
        </w:rPr>
        <w:t>台，</w:t>
      </w:r>
      <w:r>
        <w:rPr>
          <w:rFonts w:hint="default" w:ascii="Times New Roman" w:hAnsi="Times New Roman" w:eastAsia="仿宋_GB2312" w:cs="Times New Roman"/>
          <w:sz w:val="32"/>
          <w:szCs w:val="32"/>
          <w:lang w:val="en-US" w:eastAsia="zh-CN"/>
        </w:rPr>
        <w:t>500</w:t>
      </w:r>
      <w:r>
        <w:rPr>
          <w:rFonts w:hint="eastAsia" w:ascii="Times New Roman" w:hAnsi="Times New Roman" w:eastAsia="仿宋_GB2312" w:cs="Times New Roman"/>
          <w:sz w:val="32"/>
          <w:szCs w:val="32"/>
          <w:lang w:val="en-US" w:eastAsia="zh-CN"/>
        </w:rPr>
        <w:t>千伏安主变</w:t>
      </w:r>
      <w:r>
        <w:rPr>
          <w:rFonts w:hint="default" w:ascii="Times New Roman" w:hAnsi="Times New Roman" w:eastAsia="仿宋_GB2312" w:cs="Times New Roman"/>
          <w:sz w:val="32"/>
          <w:szCs w:val="32"/>
          <w:lang w:val="en-US" w:eastAsia="zh-CN"/>
        </w:rPr>
        <w:t>3</w:t>
      </w:r>
      <w:r>
        <w:rPr>
          <w:rFonts w:hint="eastAsia" w:ascii="Times New Roman" w:hAnsi="Times New Roman" w:eastAsia="仿宋_GB2312" w:cs="Times New Roman"/>
          <w:sz w:val="32"/>
          <w:szCs w:val="32"/>
          <w:lang w:val="en-US" w:eastAsia="zh-CN"/>
        </w:rPr>
        <w:t>台。</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w:t>
      </w:r>
      <w:r>
        <w:rPr>
          <w:rFonts w:hint="eastAsia" w:ascii="Times New Roman" w:hAnsi="Times New Roman" w:eastAsia="仿宋_GB2312" w:cs="Times New Roman"/>
          <w:sz w:val="32"/>
          <w:szCs w:val="32"/>
          <w:lang w:val="en-US" w:eastAsia="zh-CN"/>
        </w:rPr>
        <w:t>）开发屋顶光伏</w:t>
      </w:r>
      <w:r>
        <w:rPr>
          <w:rFonts w:hint="default" w:ascii="Times New Roman" w:hAnsi="Times New Roman" w:eastAsia="仿宋_GB2312" w:cs="Times New Roman"/>
          <w:sz w:val="32"/>
          <w:szCs w:val="32"/>
          <w:lang w:val="en-US" w:eastAsia="zh-CN"/>
        </w:rPr>
        <w:t>0.1</w:t>
      </w:r>
      <w:r>
        <w:rPr>
          <w:rFonts w:hint="eastAsia" w:ascii="Times New Roman" w:hAnsi="Times New Roman" w:eastAsia="仿宋_GB2312" w:cs="Times New Roman"/>
          <w:sz w:val="32"/>
          <w:szCs w:val="32"/>
          <w:lang w:val="en-US" w:eastAsia="zh-CN"/>
        </w:rPr>
        <w:t>万千瓦。</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4</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2023</w:t>
      </w:r>
      <w:r>
        <w:rPr>
          <w:rFonts w:hint="eastAsia" w:ascii="Times New Roman" w:hAnsi="Times New Roman" w:eastAsia="仿宋_GB2312" w:cs="Times New Roman"/>
          <w:sz w:val="32"/>
          <w:szCs w:val="32"/>
          <w:lang w:val="en-US" w:eastAsia="zh-CN"/>
        </w:rPr>
        <w:t>年增量配电网规划方案</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lang w:val="en-US" w:eastAsia="zh-CN"/>
        </w:rPr>
        <w:t>）彩虹智慧创业园（三期）中压配网扩建工程</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新建</w:t>
      </w:r>
      <w:r>
        <w:rPr>
          <w:rFonts w:hint="default" w:ascii="Times New Roman" w:hAnsi="Times New Roman" w:eastAsia="仿宋_GB2312" w:cs="Times New Roman"/>
          <w:sz w:val="32"/>
          <w:szCs w:val="32"/>
          <w:lang w:val="en-US" w:eastAsia="zh-CN"/>
        </w:rPr>
        <w:t>10</w:t>
      </w:r>
      <w:r>
        <w:rPr>
          <w:rFonts w:hint="eastAsia" w:ascii="Times New Roman" w:hAnsi="Times New Roman" w:eastAsia="仿宋_GB2312" w:cs="Times New Roman"/>
          <w:sz w:val="32"/>
          <w:szCs w:val="32"/>
          <w:lang w:val="en-US" w:eastAsia="zh-CN"/>
        </w:rPr>
        <w:t>千伏电缆线路约</w:t>
      </w:r>
      <w:r>
        <w:rPr>
          <w:rFonts w:hint="default" w:ascii="Times New Roman" w:hAnsi="Times New Roman" w:eastAsia="仿宋_GB2312" w:cs="Times New Roman"/>
          <w:sz w:val="32"/>
          <w:szCs w:val="32"/>
          <w:lang w:val="en-US" w:eastAsia="zh-CN"/>
        </w:rPr>
        <w:t>2</w:t>
      </w:r>
      <w:r>
        <w:rPr>
          <w:rFonts w:hint="eastAsia" w:ascii="Times New Roman" w:hAnsi="Times New Roman" w:eastAsia="仿宋_GB2312" w:cs="Times New Roman"/>
          <w:sz w:val="32"/>
          <w:szCs w:val="32"/>
          <w:lang w:val="en-US" w:eastAsia="zh-CN"/>
        </w:rPr>
        <w:t>公里，新建</w:t>
      </w:r>
      <w:r>
        <w:rPr>
          <w:rFonts w:hint="default" w:ascii="Times New Roman" w:hAnsi="Times New Roman" w:eastAsia="仿宋_GB2312" w:cs="Times New Roman"/>
          <w:sz w:val="32"/>
          <w:szCs w:val="32"/>
          <w:lang w:val="en-US" w:eastAsia="zh-CN"/>
        </w:rPr>
        <w:t>10</w:t>
      </w:r>
      <w:r>
        <w:rPr>
          <w:rFonts w:hint="eastAsia" w:ascii="Times New Roman" w:hAnsi="Times New Roman" w:eastAsia="仿宋_GB2312" w:cs="Times New Roman"/>
          <w:sz w:val="32"/>
          <w:szCs w:val="32"/>
          <w:lang w:val="en-US" w:eastAsia="zh-CN"/>
        </w:rPr>
        <w:t>千伏主变</w:t>
      </w:r>
      <w:r>
        <w:rPr>
          <w:rFonts w:hint="default" w:ascii="Times New Roman" w:hAnsi="Times New Roman" w:eastAsia="仿宋_GB2312" w:cs="Times New Roman"/>
          <w:sz w:val="32"/>
          <w:szCs w:val="32"/>
          <w:lang w:val="en-US" w:eastAsia="zh-CN"/>
        </w:rPr>
        <w:t>8</w:t>
      </w:r>
      <w:r>
        <w:rPr>
          <w:rFonts w:hint="eastAsia" w:ascii="Times New Roman" w:hAnsi="Times New Roman" w:eastAsia="仿宋_GB2312" w:cs="Times New Roman"/>
          <w:sz w:val="32"/>
          <w:szCs w:val="32"/>
          <w:lang w:val="en-US" w:eastAsia="zh-CN"/>
        </w:rPr>
        <w:t>台，其中</w:t>
      </w:r>
      <w:r>
        <w:rPr>
          <w:rFonts w:hint="default" w:ascii="Times New Roman" w:hAnsi="Times New Roman" w:eastAsia="仿宋_GB2312" w:cs="Times New Roman"/>
          <w:sz w:val="32"/>
          <w:szCs w:val="32"/>
          <w:lang w:val="en-US" w:eastAsia="zh-CN"/>
        </w:rPr>
        <w:t>630</w:t>
      </w:r>
      <w:r>
        <w:rPr>
          <w:rFonts w:hint="eastAsia" w:ascii="Times New Roman" w:hAnsi="Times New Roman" w:eastAsia="仿宋_GB2312" w:cs="Times New Roman"/>
          <w:sz w:val="32"/>
          <w:szCs w:val="32"/>
          <w:lang w:val="en-US" w:eastAsia="zh-CN"/>
        </w:rPr>
        <w:t>千伏安主变</w:t>
      </w:r>
      <w:r>
        <w:rPr>
          <w:rFonts w:hint="default" w:ascii="Times New Roman" w:hAnsi="Times New Roman" w:eastAsia="仿宋_GB2312" w:cs="Times New Roman"/>
          <w:sz w:val="32"/>
          <w:szCs w:val="32"/>
          <w:lang w:val="en-US" w:eastAsia="zh-CN"/>
        </w:rPr>
        <w:t>6</w:t>
      </w:r>
      <w:r>
        <w:rPr>
          <w:rFonts w:hint="eastAsia" w:ascii="Times New Roman" w:hAnsi="Times New Roman" w:eastAsia="仿宋_GB2312" w:cs="Times New Roman"/>
          <w:sz w:val="32"/>
          <w:szCs w:val="32"/>
          <w:lang w:val="en-US" w:eastAsia="zh-CN"/>
        </w:rPr>
        <w:t>台，</w:t>
      </w:r>
      <w:r>
        <w:rPr>
          <w:rFonts w:hint="default" w:ascii="Times New Roman" w:hAnsi="Times New Roman" w:eastAsia="仿宋_GB2312" w:cs="Times New Roman"/>
          <w:sz w:val="32"/>
          <w:szCs w:val="32"/>
          <w:lang w:val="en-US" w:eastAsia="zh-CN"/>
        </w:rPr>
        <w:t>500</w:t>
      </w:r>
      <w:r>
        <w:rPr>
          <w:rFonts w:hint="eastAsia" w:ascii="Times New Roman" w:hAnsi="Times New Roman" w:eastAsia="仿宋_GB2312" w:cs="Times New Roman"/>
          <w:sz w:val="32"/>
          <w:szCs w:val="32"/>
          <w:lang w:val="en-US" w:eastAsia="zh-CN"/>
        </w:rPr>
        <w:t>千伏安主变</w:t>
      </w:r>
      <w:r>
        <w:rPr>
          <w:rFonts w:hint="default" w:ascii="Times New Roman" w:hAnsi="Times New Roman" w:eastAsia="仿宋_GB2312" w:cs="Times New Roman"/>
          <w:sz w:val="32"/>
          <w:szCs w:val="32"/>
          <w:lang w:val="en-US" w:eastAsia="zh-CN"/>
        </w:rPr>
        <w:t>2</w:t>
      </w:r>
      <w:r>
        <w:rPr>
          <w:rFonts w:hint="eastAsia" w:ascii="Times New Roman" w:hAnsi="Times New Roman" w:eastAsia="仿宋_GB2312" w:cs="Times New Roman"/>
          <w:sz w:val="32"/>
          <w:szCs w:val="32"/>
          <w:lang w:val="en-US" w:eastAsia="zh-CN"/>
        </w:rPr>
        <w:t>台。</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w:t>
      </w:r>
      <w:r>
        <w:rPr>
          <w:rFonts w:hint="eastAsia" w:ascii="Times New Roman" w:hAnsi="Times New Roman" w:eastAsia="仿宋_GB2312" w:cs="Times New Roman"/>
          <w:sz w:val="32"/>
          <w:szCs w:val="32"/>
          <w:lang w:val="en-US" w:eastAsia="zh-CN"/>
        </w:rPr>
        <w:t>）开发屋顶光伏</w:t>
      </w:r>
      <w:r>
        <w:rPr>
          <w:rFonts w:hint="default" w:ascii="Times New Roman" w:hAnsi="Times New Roman" w:eastAsia="仿宋_GB2312" w:cs="Times New Roman"/>
          <w:sz w:val="32"/>
          <w:szCs w:val="32"/>
          <w:lang w:val="en-US" w:eastAsia="zh-CN"/>
        </w:rPr>
        <w:t>0.1</w:t>
      </w:r>
      <w:r>
        <w:rPr>
          <w:rFonts w:hint="eastAsia" w:ascii="Times New Roman" w:hAnsi="Times New Roman" w:eastAsia="仿宋_GB2312" w:cs="Times New Roman"/>
          <w:sz w:val="32"/>
          <w:szCs w:val="32"/>
          <w:lang w:val="en-US" w:eastAsia="zh-CN"/>
        </w:rPr>
        <w:t>万千瓦。</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5</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2024</w:t>
      </w:r>
      <w:r>
        <w:rPr>
          <w:rFonts w:hint="eastAsia" w:ascii="Times New Roman" w:hAnsi="Times New Roman" w:eastAsia="仿宋_GB2312" w:cs="Times New Roman"/>
          <w:sz w:val="32"/>
          <w:szCs w:val="32"/>
          <w:lang w:val="en-US" w:eastAsia="zh-CN"/>
        </w:rPr>
        <w:t>年增量配电网规划方案</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lang w:val="en-US" w:eastAsia="zh-CN"/>
        </w:rPr>
        <w:t>）彩虹智慧创业园（三期）中压配网扩建工程</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彩虹智慧创业园（三期）区域新建</w:t>
      </w:r>
      <w:r>
        <w:rPr>
          <w:rFonts w:hint="default" w:ascii="Times New Roman" w:hAnsi="Times New Roman" w:eastAsia="仿宋_GB2312" w:cs="Times New Roman"/>
          <w:sz w:val="32"/>
          <w:szCs w:val="32"/>
          <w:lang w:val="en-US" w:eastAsia="zh-CN"/>
        </w:rPr>
        <w:t>10</w:t>
      </w:r>
      <w:r>
        <w:rPr>
          <w:rFonts w:hint="eastAsia" w:ascii="Times New Roman" w:hAnsi="Times New Roman" w:eastAsia="仿宋_GB2312" w:cs="Times New Roman"/>
          <w:sz w:val="32"/>
          <w:szCs w:val="32"/>
          <w:lang w:val="en-US" w:eastAsia="zh-CN"/>
        </w:rPr>
        <w:t>千伏开闭所</w:t>
      </w:r>
      <w:r>
        <w:rPr>
          <w:rFonts w:hint="default"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lang w:val="en-US" w:eastAsia="zh-CN"/>
        </w:rPr>
        <w:t>座，新建</w:t>
      </w:r>
      <w:r>
        <w:rPr>
          <w:rFonts w:hint="default" w:ascii="Times New Roman" w:hAnsi="Times New Roman" w:eastAsia="仿宋_GB2312" w:cs="Times New Roman"/>
          <w:sz w:val="32"/>
          <w:szCs w:val="32"/>
          <w:lang w:val="en-US" w:eastAsia="zh-CN"/>
        </w:rPr>
        <w:t>10</w:t>
      </w:r>
      <w:r>
        <w:rPr>
          <w:rFonts w:hint="eastAsia" w:ascii="Times New Roman" w:hAnsi="Times New Roman" w:eastAsia="仿宋_GB2312" w:cs="Times New Roman"/>
          <w:sz w:val="32"/>
          <w:szCs w:val="32"/>
          <w:lang w:val="en-US" w:eastAsia="zh-CN"/>
        </w:rPr>
        <w:t>千伏电缆线路约</w:t>
      </w:r>
      <w:r>
        <w:rPr>
          <w:rFonts w:hint="default" w:ascii="Times New Roman" w:hAnsi="Times New Roman" w:eastAsia="仿宋_GB2312" w:cs="Times New Roman"/>
          <w:sz w:val="32"/>
          <w:szCs w:val="32"/>
          <w:lang w:val="en-US" w:eastAsia="zh-CN"/>
        </w:rPr>
        <w:t>3</w:t>
      </w:r>
      <w:r>
        <w:rPr>
          <w:rFonts w:hint="eastAsia" w:ascii="Times New Roman" w:hAnsi="Times New Roman" w:eastAsia="仿宋_GB2312" w:cs="Times New Roman"/>
          <w:sz w:val="32"/>
          <w:szCs w:val="32"/>
          <w:lang w:val="en-US" w:eastAsia="zh-CN"/>
        </w:rPr>
        <w:t>公里，新建</w:t>
      </w:r>
      <w:r>
        <w:rPr>
          <w:rFonts w:hint="default" w:ascii="Times New Roman" w:hAnsi="Times New Roman" w:eastAsia="仿宋_GB2312" w:cs="Times New Roman"/>
          <w:sz w:val="32"/>
          <w:szCs w:val="32"/>
          <w:lang w:val="en-US" w:eastAsia="zh-CN"/>
        </w:rPr>
        <w:t>10</w:t>
      </w:r>
      <w:r>
        <w:rPr>
          <w:rFonts w:hint="eastAsia" w:ascii="Times New Roman" w:hAnsi="Times New Roman" w:eastAsia="仿宋_GB2312" w:cs="Times New Roman"/>
          <w:sz w:val="32"/>
          <w:szCs w:val="32"/>
          <w:lang w:val="en-US" w:eastAsia="zh-CN"/>
        </w:rPr>
        <w:t>千伏主变</w:t>
      </w:r>
      <w:r>
        <w:rPr>
          <w:rFonts w:hint="default" w:ascii="Times New Roman" w:hAnsi="Times New Roman" w:eastAsia="仿宋_GB2312" w:cs="Times New Roman"/>
          <w:sz w:val="32"/>
          <w:szCs w:val="32"/>
          <w:lang w:val="en-US" w:eastAsia="zh-CN"/>
        </w:rPr>
        <w:t>8</w:t>
      </w:r>
      <w:r>
        <w:rPr>
          <w:rFonts w:hint="eastAsia" w:ascii="Times New Roman" w:hAnsi="Times New Roman" w:eastAsia="仿宋_GB2312" w:cs="Times New Roman"/>
          <w:sz w:val="32"/>
          <w:szCs w:val="32"/>
          <w:lang w:val="en-US" w:eastAsia="zh-CN"/>
        </w:rPr>
        <w:t>台，其中</w:t>
      </w:r>
      <w:r>
        <w:rPr>
          <w:rFonts w:hint="default" w:ascii="Times New Roman" w:hAnsi="Times New Roman" w:eastAsia="仿宋_GB2312" w:cs="Times New Roman"/>
          <w:sz w:val="32"/>
          <w:szCs w:val="32"/>
          <w:lang w:val="en-US" w:eastAsia="zh-CN"/>
        </w:rPr>
        <w:t>630</w:t>
      </w:r>
      <w:r>
        <w:rPr>
          <w:rFonts w:hint="eastAsia" w:ascii="Times New Roman" w:hAnsi="Times New Roman" w:eastAsia="仿宋_GB2312" w:cs="Times New Roman"/>
          <w:sz w:val="32"/>
          <w:szCs w:val="32"/>
          <w:lang w:val="en-US" w:eastAsia="zh-CN"/>
        </w:rPr>
        <w:t>千伏安主变</w:t>
      </w:r>
      <w:r>
        <w:rPr>
          <w:rFonts w:hint="default" w:ascii="Times New Roman" w:hAnsi="Times New Roman" w:eastAsia="仿宋_GB2312" w:cs="Times New Roman"/>
          <w:sz w:val="32"/>
          <w:szCs w:val="32"/>
          <w:lang w:val="en-US" w:eastAsia="zh-CN"/>
        </w:rPr>
        <w:t>6</w:t>
      </w:r>
      <w:r>
        <w:rPr>
          <w:rFonts w:hint="eastAsia" w:ascii="Times New Roman" w:hAnsi="Times New Roman" w:eastAsia="仿宋_GB2312" w:cs="Times New Roman"/>
          <w:sz w:val="32"/>
          <w:szCs w:val="32"/>
          <w:lang w:val="en-US" w:eastAsia="zh-CN"/>
        </w:rPr>
        <w:t>台，</w:t>
      </w:r>
      <w:r>
        <w:rPr>
          <w:rFonts w:hint="default" w:ascii="Times New Roman" w:hAnsi="Times New Roman" w:eastAsia="仿宋_GB2312" w:cs="Times New Roman"/>
          <w:sz w:val="32"/>
          <w:szCs w:val="32"/>
          <w:lang w:val="en-US" w:eastAsia="zh-CN"/>
        </w:rPr>
        <w:t>500</w:t>
      </w:r>
      <w:r>
        <w:rPr>
          <w:rFonts w:hint="eastAsia" w:ascii="Times New Roman" w:hAnsi="Times New Roman" w:eastAsia="仿宋_GB2312" w:cs="Times New Roman"/>
          <w:sz w:val="32"/>
          <w:szCs w:val="32"/>
          <w:lang w:val="en-US" w:eastAsia="zh-CN"/>
        </w:rPr>
        <w:t>千伏安主变</w:t>
      </w:r>
      <w:r>
        <w:rPr>
          <w:rFonts w:hint="default" w:ascii="Times New Roman" w:hAnsi="Times New Roman" w:eastAsia="仿宋_GB2312" w:cs="Times New Roman"/>
          <w:sz w:val="32"/>
          <w:szCs w:val="32"/>
          <w:lang w:val="en-US" w:eastAsia="zh-CN"/>
        </w:rPr>
        <w:t>2</w:t>
      </w:r>
      <w:r>
        <w:rPr>
          <w:rFonts w:hint="eastAsia" w:ascii="Times New Roman" w:hAnsi="Times New Roman" w:eastAsia="仿宋_GB2312" w:cs="Times New Roman"/>
          <w:sz w:val="32"/>
          <w:szCs w:val="32"/>
          <w:lang w:val="en-US" w:eastAsia="zh-CN"/>
        </w:rPr>
        <w:t>台。</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w:t>
      </w:r>
      <w:r>
        <w:rPr>
          <w:rFonts w:hint="eastAsia" w:ascii="Times New Roman" w:hAnsi="Times New Roman" w:eastAsia="仿宋_GB2312" w:cs="Times New Roman"/>
          <w:sz w:val="32"/>
          <w:szCs w:val="32"/>
          <w:lang w:val="en-US" w:eastAsia="zh-CN"/>
        </w:rPr>
        <w:t>）开发屋顶光伏</w:t>
      </w:r>
      <w:r>
        <w:rPr>
          <w:rFonts w:hint="default" w:ascii="Times New Roman" w:hAnsi="Times New Roman" w:eastAsia="仿宋_GB2312" w:cs="Times New Roman"/>
          <w:sz w:val="32"/>
          <w:szCs w:val="32"/>
          <w:lang w:val="en-US" w:eastAsia="zh-CN"/>
        </w:rPr>
        <w:t>0.1</w:t>
      </w:r>
      <w:r>
        <w:rPr>
          <w:rFonts w:hint="eastAsia" w:ascii="Times New Roman" w:hAnsi="Times New Roman" w:eastAsia="仿宋_GB2312" w:cs="Times New Roman"/>
          <w:sz w:val="32"/>
          <w:szCs w:val="32"/>
          <w:lang w:val="en-US" w:eastAsia="zh-CN"/>
        </w:rPr>
        <w:t>万千瓦。</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6</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2025</w:t>
      </w:r>
      <w:r>
        <w:rPr>
          <w:rFonts w:hint="eastAsia" w:ascii="Times New Roman" w:hAnsi="Times New Roman" w:eastAsia="仿宋_GB2312" w:cs="Times New Roman"/>
          <w:sz w:val="32"/>
          <w:szCs w:val="32"/>
          <w:lang w:val="en-US" w:eastAsia="zh-CN"/>
        </w:rPr>
        <w:t>年增量配电网规划方案</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35</w:t>
      </w:r>
      <w:r>
        <w:rPr>
          <w:rFonts w:hint="eastAsia" w:ascii="Times New Roman" w:hAnsi="Times New Roman" w:eastAsia="仿宋_GB2312" w:cs="Times New Roman"/>
          <w:sz w:val="32"/>
          <w:szCs w:val="32"/>
          <w:lang w:val="en-US" w:eastAsia="zh-CN"/>
        </w:rPr>
        <w:t>千伏彩虹变主变改造工程</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将试点区域内</w:t>
      </w:r>
      <w:r>
        <w:rPr>
          <w:rFonts w:hint="default" w:ascii="Times New Roman" w:hAnsi="Times New Roman" w:eastAsia="仿宋_GB2312" w:cs="Times New Roman"/>
          <w:sz w:val="32"/>
          <w:szCs w:val="32"/>
          <w:lang w:val="en-US" w:eastAsia="zh-CN"/>
        </w:rPr>
        <w:t>35</w:t>
      </w:r>
      <w:r>
        <w:rPr>
          <w:rFonts w:hint="eastAsia" w:ascii="Times New Roman" w:hAnsi="Times New Roman" w:eastAsia="仿宋_GB2312" w:cs="Times New Roman"/>
          <w:sz w:val="32"/>
          <w:szCs w:val="32"/>
          <w:lang w:val="en-US" w:eastAsia="zh-CN"/>
        </w:rPr>
        <w:t>千伏彩虹变</w:t>
      </w:r>
      <w:r>
        <w:rPr>
          <w:rFonts w:hint="default" w:ascii="Times New Roman" w:hAnsi="Times New Roman" w:eastAsia="仿宋_GB2312" w:cs="Times New Roman"/>
          <w:sz w:val="32"/>
          <w:szCs w:val="32"/>
          <w:lang w:val="en-US" w:eastAsia="zh-CN"/>
        </w:rPr>
        <w:t>2</w:t>
      </w:r>
      <w:r>
        <w:rPr>
          <w:rFonts w:hint="eastAsia" w:ascii="Times New Roman" w:hAnsi="Times New Roman" w:eastAsia="仿宋_GB2312" w:cs="Times New Roman"/>
          <w:sz w:val="32"/>
          <w:szCs w:val="32"/>
          <w:lang w:val="en-US" w:eastAsia="zh-CN"/>
        </w:rPr>
        <w:t>台</w:t>
      </w:r>
      <w:r>
        <w:rPr>
          <w:rFonts w:hint="default" w:ascii="Times New Roman" w:hAnsi="Times New Roman" w:eastAsia="仿宋_GB2312" w:cs="Times New Roman"/>
          <w:sz w:val="32"/>
          <w:szCs w:val="32"/>
          <w:lang w:val="en-US" w:eastAsia="zh-CN"/>
        </w:rPr>
        <w:t>20</w:t>
      </w:r>
      <w:r>
        <w:rPr>
          <w:rFonts w:hint="eastAsia" w:ascii="Times New Roman" w:hAnsi="Times New Roman" w:eastAsia="仿宋_GB2312" w:cs="Times New Roman"/>
          <w:sz w:val="32"/>
          <w:szCs w:val="32"/>
          <w:lang w:val="en-US" w:eastAsia="zh-CN"/>
        </w:rPr>
        <w:t>兆伏安主变改造为</w:t>
      </w:r>
      <w:r>
        <w:rPr>
          <w:rFonts w:hint="default" w:ascii="Times New Roman" w:hAnsi="Times New Roman" w:eastAsia="仿宋_GB2312" w:cs="Times New Roman"/>
          <w:sz w:val="32"/>
          <w:szCs w:val="32"/>
          <w:lang w:val="en-US" w:eastAsia="zh-CN"/>
        </w:rPr>
        <w:t>2</w:t>
      </w:r>
      <w:r>
        <w:rPr>
          <w:rFonts w:hint="eastAsia" w:ascii="Times New Roman" w:hAnsi="Times New Roman" w:eastAsia="仿宋_GB2312" w:cs="Times New Roman"/>
          <w:sz w:val="32"/>
          <w:szCs w:val="32"/>
          <w:lang w:val="en-US" w:eastAsia="zh-CN"/>
        </w:rPr>
        <w:t>台</w:t>
      </w:r>
      <w:r>
        <w:rPr>
          <w:rFonts w:hint="default" w:ascii="Times New Roman" w:hAnsi="Times New Roman" w:eastAsia="仿宋_GB2312" w:cs="Times New Roman"/>
          <w:sz w:val="32"/>
          <w:szCs w:val="32"/>
          <w:lang w:val="en-US" w:eastAsia="zh-CN"/>
        </w:rPr>
        <w:t>31.5</w:t>
      </w:r>
      <w:r>
        <w:rPr>
          <w:rFonts w:hint="eastAsia" w:ascii="Times New Roman" w:hAnsi="Times New Roman" w:eastAsia="仿宋_GB2312" w:cs="Times New Roman"/>
          <w:sz w:val="32"/>
          <w:szCs w:val="32"/>
          <w:lang w:val="en-US" w:eastAsia="zh-CN"/>
        </w:rPr>
        <w:t>兆伏安主变。</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w:t>
      </w:r>
      <w:r>
        <w:rPr>
          <w:rFonts w:hint="eastAsia" w:ascii="Times New Roman" w:hAnsi="Times New Roman" w:eastAsia="仿宋_GB2312" w:cs="Times New Roman"/>
          <w:sz w:val="32"/>
          <w:szCs w:val="32"/>
          <w:lang w:val="en-US" w:eastAsia="zh-CN"/>
        </w:rPr>
        <w:t>）彩虹智慧创业园（三期）中压配网扩建工程</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新建</w:t>
      </w:r>
      <w:r>
        <w:rPr>
          <w:rFonts w:hint="default" w:ascii="Times New Roman" w:hAnsi="Times New Roman" w:eastAsia="仿宋_GB2312" w:cs="Times New Roman"/>
          <w:sz w:val="32"/>
          <w:szCs w:val="32"/>
          <w:lang w:val="en-US" w:eastAsia="zh-CN"/>
        </w:rPr>
        <w:t>10</w:t>
      </w:r>
      <w:r>
        <w:rPr>
          <w:rFonts w:hint="eastAsia" w:ascii="Times New Roman" w:hAnsi="Times New Roman" w:eastAsia="仿宋_GB2312" w:cs="Times New Roman"/>
          <w:sz w:val="32"/>
          <w:szCs w:val="32"/>
          <w:lang w:val="en-US" w:eastAsia="zh-CN"/>
        </w:rPr>
        <w:t>千伏电缆线路约</w:t>
      </w:r>
      <w:r>
        <w:rPr>
          <w:rFonts w:hint="default" w:ascii="Times New Roman" w:hAnsi="Times New Roman" w:eastAsia="仿宋_GB2312" w:cs="Times New Roman"/>
          <w:sz w:val="32"/>
          <w:szCs w:val="32"/>
          <w:lang w:val="en-US" w:eastAsia="zh-CN"/>
        </w:rPr>
        <w:t>2</w:t>
      </w:r>
      <w:r>
        <w:rPr>
          <w:rFonts w:hint="eastAsia" w:ascii="Times New Roman" w:hAnsi="Times New Roman" w:eastAsia="仿宋_GB2312" w:cs="Times New Roman"/>
          <w:sz w:val="32"/>
          <w:szCs w:val="32"/>
          <w:lang w:val="en-US" w:eastAsia="zh-CN"/>
        </w:rPr>
        <w:t>公里，新建</w:t>
      </w:r>
      <w:r>
        <w:rPr>
          <w:rFonts w:hint="default" w:ascii="Times New Roman" w:hAnsi="Times New Roman" w:eastAsia="仿宋_GB2312" w:cs="Times New Roman"/>
          <w:sz w:val="32"/>
          <w:szCs w:val="32"/>
          <w:lang w:val="en-US" w:eastAsia="zh-CN"/>
        </w:rPr>
        <w:t>10</w:t>
      </w:r>
      <w:r>
        <w:rPr>
          <w:rFonts w:hint="eastAsia" w:ascii="Times New Roman" w:hAnsi="Times New Roman" w:eastAsia="仿宋_GB2312" w:cs="Times New Roman"/>
          <w:sz w:val="32"/>
          <w:szCs w:val="32"/>
          <w:lang w:val="en-US" w:eastAsia="zh-CN"/>
        </w:rPr>
        <w:t>千伏主变</w:t>
      </w:r>
      <w:r>
        <w:rPr>
          <w:rFonts w:hint="default" w:ascii="Times New Roman" w:hAnsi="Times New Roman" w:eastAsia="仿宋_GB2312" w:cs="Times New Roman"/>
          <w:sz w:val="32"/>
          <w:szCs w:val="32"/>
          <w:lang w:val="en-US" w:eastAsia="zh-CN"/>
        </w:rPr>
        <w:t>6</w:t>
      </w:r>
      <w:r>
        <w:rPr>
          <w:rFonts w:hint="eastAsia" w:ascii="Times New Roman" w:hAnsi="Times New Roman" w:eastAsia="仿宋_GB2312" w:cs="Times New Roman"/>
          <w:sz w:val="32"/>
          <w:szCs w:val="32"/>
          <w:lang w:val="en-US" w:eastAsia="zh-CN"/>
        </w:rPr>
        <w:t>台，其中</w:t>
      </w:r>
      <w:r>
        <w:rPr>
          <w:rFonts w:hint="default" w:ascii="Times New Roman" w:hAnsi="Times New Roman" w:eastAsia="仿宋_GB2312" w:cs="Times New Roman"/>
          <w:sz w:val="32"/>
          <w:szCs w:val="32"/>
          <w:lang w:val="en-US" w:eastAsia="zh-CN"/>
        </w:rPr>
        <w:t>630</w:t>
      </w:r>
      <w:r>
        <w:rPr>
          <w:rFonts w:hint="eastAsia" w:ascii="Times New Roman" w:hAnsi="Times New Roman" w:eastAsia="仿宋_GB2312" w:cs="Times New Roman"/>
          <w:sz w:val="32"/>
          <w:szCs w:val="32"/>
          <w:lang w:val="en-US" w:eastAsia="zh-CN"/>
        </w:rPr>
        <w:t>千伏安主变</w:t>
      </w:r>
      <w:r>
        <w:rPr>
          <w:rFonts w:hint="default" w:ascii="Times New Roman" w:hAnsi="Times New Roman" w:eastAsia="仿宋_GB2312" w:cs="Times New Roman"/>
          <w:sz w:val="32"/>
          <w:szCs w:val="32"/>
          <w:lang w:val="en-US" w:eastAsia="zh-CN"/>
        </w:rPr>
        <w:t>5</w:t>
      </w:r>
      <w:r>
        <w:rPr>
          <w:rFonts w:hint="eastAsia" w:ascii="Times New Roman" w:hAnsi="Times New Roman" w:eastAsia="仿宋_GB2312" w:cs="Times New Roman"/>
          <w:sz w:val="32"/>
          <w:szCs w:val="32"/>
          <w:lang w:val="en-US" w:eastAsia="zh-CN"/>
        </w:rPr>
        <w:t>台，</w:t>
      </w:r>
      <w:r>
        <w:rPr>
          <w:rFonts w:hint="default" w:ascii="Times New Roman" w:hAnsi="Times New Roman" w:eastAsia="仿宋_GB2312" w:cs="Times New Roman"/>
          <w:sz w:val="32"/>
          <w:szCs w:val="32"/>
          <w:lang w:val="en-US" w:eastAsia="zh-CN"/>
        </w:rPr>
        <w:t>500</w:t>
      </w:r>
      <w:r>
        <w:rPr>
          <w:rFonts w:hint="eastAsia" w:ascii="Times New Roman" w:hAnsi="Times New Roman" w:eastAsia="仿宋_GB2312" w:cs="Times New Roman"/>
          <w:sz w:val="32"/>
          <w:szCs w:val="32"/>
          <w:lang w:val="en-US" w:eastAsia="zh-CN"/>
        </w:rPr>
        <w:t>千伏安主变</w:t>
      </w:r>
      <w:r>
        <w:rPr>
          <w:rFonts w:hint="default"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lang w:val="en-US" w:eastAsia="zh-CN"/>
        </w:rPr>
        <w:t>台。</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w:t>
      </w:r>
      <w:r>
        <w:rPr>
          <w:rFonts w:hint="eastAsia" w:ascii="Times New Roman" w:hAnsi="Times New Roman" w:eastAsia="仿宋_GB2312" w:cs="Times New Roman"/>
          <w:sz w:val="32"/>
          <w:szCs w:val="32"/>
          <w:lang w:val="en-US" w:eastAsia="zh-CN"/>
        </w:rPr>
        <w:t>）开发屋顶光伏</w:t>
      </w:r>
      <w:r>
        <w:rPr>
          <w:rFonts w:hint="default" w:ascii="Times New Roman" w:hAnsi="Times New Roman" w:eastAsia="仿宋_GB2312" w:cs="Times New Roman"/>
          <w:sz w:val="32"/>
          <w:szCs w:val="32"/>
          <w:lang w:val="en-US" w:eastAsia="zh-CN"/>
        </w:rPr>
        <w:t>0.1</w:t>
      </w:r>
      <w:r>
        <w:rPr>
          <w:rFonts w:hint="eastAsia" w:ascii="Times New Roman" w:hAnsi="Times New Roman" w:eastAsia="仿宋_GB2312" w:cs="Times New Roman"/>
          <w:sz w:val="32"/>
          <w:szCs w:val="32"/>
          <w:lang w:val="en-US" w:eastAsia="zh-CN"/>
        </w:rPr>
        <w:t>万千瓦。</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bookmarkStart w:id="62" w:name="_Toc23169591"/>
      <w:r>
        <w:rPr>
          <w:rFonts w:hint="default" w:ascii="Times New Roman" w:hAnsi="Times New Roman" w:eastAsia="仿宋_GB2312" w:cs="Times New Roman"/>
          <w:sz w:val="32"/>
          <w:szCs w:val="32"/>
        </w:rPr>
        <w:t>3</w:t>
      </w:r>
      <w:r>
        <w:rPr>
          <w:rFonts w:hint="eastAsia" w:ascii="Times New Roman" w:hAnsi="Times New Roman" w:eastAsia="仿宋_GB2312" w:cs="Times New Roman"/>
          <w:sz w:val="32"/>
          <w:szCs w:val="32"/>
        </w:rPr>
        <w:t>．彩虹智慧创业园（二期）项目建设敏感性分析</w:t>
      </w:r>
      <w:bookmarkEnd w:id="62"/>
    </w:p>
    <w:p>
      <w:pPr>
        <w:pStyle w:val="9"/>
        <w:pageBreakBefore w:val="0"/>
        <w:widowControl w:val="0"/>
        <w:kinsoku/>
        <w:wordWrap/>
        <w:overflowPunct/>
        <w:topLinePunct w:val="0"/>
        <w:autoSpaceDE/>
        <w:autoSpaceDN/>
        <w:bidi w:val="0"/>
        <w:spacing w:line="579"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龙港彩虹智慧创业园（二期）项目尚未完全落地，还处于规划阶段，负荷发展存在一定的不确定性。</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规划中考虑“十四五”期间二期项目处于发展初期阶段，负荷规模相对较小，考虑通过一期区域内的10千伏开闭所引出10千伏线路供电。若二期项目在“十四五”期间提前建设完成，则2025年，试点区域供电负荷将达到2.52万千瓦，规划1个10千伏双环网已经不能满足试点区域的要求，可考虑在二期项目区域提前实施布点1座10千伏开闭所，并通过2回10千伏线路接入试点区域内35千伏变电站10千伏母线（不同母线段），新增投资约327万元。</w:t>
      </w:r>
    </w:p>
    <w:p>
      <w:pPr>
        <w:pStyle w:val="4"/>
        <w:pageBreakBefore w:val="0"/>
        <w:widowControl w:val="0"/>
        <w:wordWrap/>
        <w:topLinePunct w:val="0"/>
        <w:bidi w:val="0"/>
        <w:spacing w:before="0" w:beforeLines="0" w:after="0" w:afterLines="0" w:line="579" w:lineRule="exact"/>
        <w:ind w:left="0" w:firstLine="640" w:firstLineChars="200"/>
        <w:textAlignment w:val="auto"/>
        <w:rPr>
          <w:rFonts w:hint="default" w:ascii="Times New Roman" w:hAnsi="Times New Roman" w:cs="Times New Roman"/>
          <w:spacing w:val="23"/>
          <w:w w:val="99"/>
        </w:rPr>
      </w:pPr>
      <w:bookmarkStart w:id="63" w:name="bookmark24"/>
      <w:bookmarkEnd w:id="63"/>
      <w:bookmarkStart w:id="64" w:name="_Toc23169592"/>
      <w:r>
        <w:rPr>
          <w:rFonts w:hint="default" w:ascii="Times New Roman" w:hAnsi="Times New Roman" w:eastAsia="仿宋_GB2312" w:cs="Times New Roman"/>
          <w:sz w:val="32"/>
          <w:szCs w:val="32"/>
        </w:rPr>
        <w:t>4．</w:t>
      </w:r>
      <w:bookmarkEnd w:id="64"/>
      <w:r>
        <w:rPr>
          <w:rFonts w:hint="default" w:ascii="Times New Roman" w:hAnsi="Times New Roman" w:eastAsia="仿宋_GB2312" w:cs="Times New Roman"/>
          <w:sz w:val="32"/>
          <w:szCs w:val="32"/>
        </w:rPr>
        <w:t>短路电流计算</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至2025年，珠山变35千伏侧母线三相短路电流水平达到25.1/20.5千安,彩虹变35千伏侧母线三相短路电流水平为8.1千安，彩虹变10千伏侧母线三相短路电流水平为11.3千安。</w:t>
      </w:r>
    </w:p>
    <w:p>
      <w:pPr>
        <w:pStyle w:val="4"/>
        <w:pageBreakBefore w:val="0"/>
        <w:widowControl w:val="0"/>
        <w:wordWrap/>
        <w:topLinePunct w:val="0"/>
        <w:bidi w:val="0"/>
        <w:spacing w:before="0" w:beforeLines="0" w:after="0" w:afterLines="0" w:line="579" w:lineRule="exact"/>
        <w:ind w:left="0" w:firstLine="640" w:firstLineChars="200"/>
        <w:textAlignment w:val="auto"/>
        <w:rPr>
          <w:rFonts w:hint="default" w:ascii="Times New Roman" w:hAnsi="Times New Roman" w:eastAsia="仿宋_GB2312" w:cs="Times New Roman"/>
          <w:sz w:val="32"/>
          <w:szCs w:val="32"/>
        </w:rPr>
      </w:pPr>
      <w:bookmarkStart w:id="65" w:name="_Toc23169593"/>
      <w:r>
        <w:rPr>
          <w:rFonts w:hint="default" w:ascii="Times New Roman" w:hAnsi="Times New Roman" w:eastAsia="仿宋_GB2312" w:cs="Times New Roman"/>
          <w:sz w:val="32"/>
          <w:szCs w:val="32"/>
        </w:rPr>
        <w:t>5．变电站建设原则及设备选择</w:t>
      </w:r>
      <w:bookmarkEnd w:id="65"/>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试点区域内新建35千伏变电站考虑采用户外布置型式。35千伏主接线考虑采用单母线分段接线，10千伏主接线考虑采用单母线分段接线。35千伏主变采用干式三相双圈有载调压变压器，35千伏配电装置采用铠装移开式交流金属封闭开关柜。35、10千伏短路电流水平按31.5千安考虑。</w:t>
      </w:r>
    </w:p>
    <w:p>
      <w:pPr>
        <w:pStyle w:val="3"/>
        <w:pageBreakBefore w:val="0"/>
        <w:widowControl w:val="0"/>
        <w:wordWrap/>
        <w:topLinePunct w:val="0"/>
        <w:bidi w:val="0"/>
        <w:spacing w:before="0" w:beforeLines="0" w:after="0" w:afterLines="0" w:line="579" w:lineRule="exact"/>
        <w:ind w:firstLine="640" w:firstLineChars="200"/>
        <w:textAlignment w:val="auto"/>
        <w:rPr>
          <w:rFonts w:hint="default" w:ascii="Times New Roman" w:hAnsi="Times New Roman" w:cs="Times New Roman"/>
          <w:spacing w:val="26"/>
          <w:w w:val="99"/>
        </w:rPr>
      </w:pPr>
      <w:bookmarkStart w:id="66" w:name="_Toc23169594"/>
      <w:r>
        <w:rPr>
          <w:rFonts w:hint="default" w:ascii="Times New Roman" w:hAnsi="Times New Roman" w:eastAsia="仿宋_GB2312" w:cs="Times New Roman"/>
          <w:b w:val="0"/>
          <w:sz w:val="32"/>
          <w:szCs w:val="32"/>
        </w:rPr>
        <w:t>（三）重复建设辨识</w:t>
      </w:r>
      <w:bookmarkEnd w:id="66"/>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eastAsia" w:ascii="Times New Roman" w:eastAsia="仿宋_GB2312" w:cs="Times New Roman"/>
          <w:sz w:val="32"/>
          <w:szCs w:val="32"/>
          <w:lang w:val="en-US" w:eastAsia="zh-CN"/>
        </w:rPr>
        <w:t>根据</w:t>
      </w:r>
      <w:r>
        <w:rPr>
          <w:rFonts w:hint="default" w:ascii="Times New Roman" w:hAnsi="Times New Roman" w:eastAsia="仿宋_GB2312" w:cs="Times New Roman"/>
          <w:sz w:val="32"/>
          <w:szCs w:val="32"/>
        </w:rPr>
        <w:t>《国家发展改革委、国家能源局关于规范开展增量配电业务改革试点的通知》等国家相关文件精神</w:t>
      </w:r>
      <w:r>
        <w:rPr>
          <w:rFonts w:hint="eastAsia" w:ascii="Times New Roman" w:eastAsia="仿宋_GB2312" w:cs="Times New Roman"/>
          <w:sz w:val="32"/>
          <w:szCs w:val="32"/>
          <w:lang w:eastAsia="zh-CN"/>
        </w:rPr>
        <w:t>，</w:t>
      </w:r>
      <w:r>
        <w:rPr>
          <w:rFonts w:hint="default" w:ascii="Times New Roman" w:hAnsi="Times New Roman" w:eastAsia="仿宋_GB2312" w:cs="Times New Roman"/>
          <w:sz w:val="32"/>
          <w:szCs w:val="32"/>
        </w:rPr>
        <w:t>严格按照界限清晰、责任明确的原则，</w:t>
      </w:r>
      <w:r>
        <w:rPr>
          <w:rFonts w:hint="eastAsia" w:ascii="Times New Roman" w:eastAsia="仿宋_GB2312" w:cs="Times New Roman"/>
          <w:sz w:val="32"/>
          <w:szCs w:val="32"/>
          <w:lang w:val="en-US" w:eastAsia="zh-CN"/>
        </w:rPr>
        <w:t>增量配电网需</w:t>
      </w:r>
      <w:r>
        <w:rPr>
          <w:rFonts w:hint="default" w:ascii="Times New Roman" w:hAnsi="Times New Roman" w:eastAsia="仿宋_GB2312" w:cs="Times New Roman"/>
          <w:sz w:val="32"/>
          <w:szCs w:val="32"/>
        </w:rPr>
        <w:t>避免重复建设、防止交叉供电，确保电力供应的安全可靠。</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试点区域现状有1座35千伏变电站，通过2回35千伏线路接入220千伏珠山变。220千伏珠山变规划35千伏出线间隔8个，本工程投产前已出线8回，其中山瑞3641、山田3646即为本工程2回35千伏线路进线间隔。</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工程35千伏变电站以及35千伏线路均属于增量配电网运营公司资产，与电网公司资产有较为清晰的边界。本规划考虑对现有35千伏变电站和线路进行改造，以满足试点区域供电，不涉及重复建设相关问题，也不涉及电网公司存量资产处置的问题。</w:t>
      </w:r>
    </w:p>
    <w:p>
      <w:pPr>
        <w:pStyle w:val="3"/>
        <w:pageBreakBefore w:val="0"/>
        <w:widowControl w:val="0"/>
        <w:wordWrap/>
        <w:topLinePunct w:val="0"/>
        <w:bidi w:val="0"/>
        <w:spacing w:before="0" w:beforeLines="0" w:after="0" w:afterLines="0" w:line="579" w:lineRule="exact"/>
        <w:ind w:firstLine="640" w:firstLineChars="200"/>
        <w:textAlignment w:val="auto"/>
        <w:rPr>
          <w:rFonts w:hint="default" w:ascii="Times New Roman" w:hAnsi="Times New Roman" w:eastAsia="仿宋_GB2312" w:cs="Times New Roman"/>
          <w:b w:val="0"/>
          <w:sz w:val="32"/>
          <w:szCs w:val="32"/>
        </w:rPr>
      </w:pPr>
      <w:bookmarkStart w:id="67" w:name="bookmark25"/>
      <w:bookmarkEnd w:id="67"/>
      <w:bookmarkStart w:id="68" w:name="_Toc23169595"/>
      <w:r>
        <w:rPr>
          <w:rFonts w:hint="default" w:ascii="Times New Roman" w:hAnsi="Times New Roman" w:eastAsia="仿宋_GB2312" w:cs="Times New Roman"/>
          <w:b w:val="0"/>
          <w:sz w:val="32"/>
          <w:szCs w:val="32"/>
        </w:rPr>
        <w:t>（四）建设方案和投资</w:t>
      </w:r>
      <w:bookmarkEnd w:id="68"/>
    </w:p>
    <w:p>
      <w:pPr>
        <w:pStyle w:val="9"/>
        <w:spacing w:before="120" w:beforeLines="50" w:line="240" w:lineRule="auto"/>
        <w:ind w:firstLine="640" w:firstLineChars="200"/>
        <w:rPr>
          <w:sz w:val="26"/>
          <w:szCs w:val="26"/>
        </w:rPr>
      </w:pPr>
      <w:r>
        <w:rPr>
          <w:rFonts w:hint="default" w:ascii="Times New Roman" w:hAnsi="Times New Roman" w:eastAsia="仿宋_GB2312" w:cs="Times New Roman"/>
          <w:sz w:val="32"/>
          <w:szCs w:val="32"/>
        </w:rPr>
        <w:t>2020～2025年期间，龙港彩虹智慧创业园增量配电网建设项目总投资为10051万元，其中35千伏建设项目投</w:t>
      </w:r>
      <w:r>
        <w:rPr>
          <w:rFonts w:hint="eastAsia" w:ascii="Times New Roman" w:eastAsia="仿宋_GB2312" w:cs="Times New Roman"/>
          <w:sz w:val="32"/>
          <w:szCs w:val="32"/>
          <w:lang w:val="en-US" w:eastAsia="zh-CN"/>
        </w:rPr>
        <w:t>资</w:t>
      </w:r>
      <w:r>
        <w:rPr>
          <w:rFonts w:hint="default" w:ascii="Times New Roman" w:hAnsi="Times New Roman" w:eastAsia="仿宋_GB2312" w:cs="Times New Roman"/>
          <w:sz w:val="32"/>
          <w:szCs w:val="32"/>
        </w:rPr>
        <w:t>2758万元，10千伏建设项目投资4969万元，380伏建设项目投资200万元，屋顶光伏开发投资2000万元，配电自动化及通信投资124万元。</w:t>
      </w:r>
    </w:p>
    <w:p>
      <w:pPr>
        <w:pStyle w:val="3"/>
        <w:pageBreakBefore w:val="0"/>
        <w:widowControl w:val="0"/>
        <w:kinsoku/>
        <w:wordWrap/>
        <w:overflowPunct/>
        <w:topLinePunct w:val="0"/>
        <w:autoSpaceDE/>
        <w:autoSpaceDN/>
        <w:bidi w:val="0"/>
        <w:spacing w:before="0" w:beforeLines="0" w:after="0" w:afterLines="0" w:line="579" w:lineRule="exact"/>
        <w:ind w:firstLine="640" w:firstLineChars="200"/>
        <w:textAlignment w:val="auto"/>
        <w:rPr>
          <w:rFonts w:hint="default" w:ascii="Times New Roman" w:hAnsi="Times New Roman" w:eastAsia="仿宋_GB2312" w:cs="Times New Roman"/>
          <w:b w:val="0"/>
          <w:color w:val="000000"/>
          <w:sz w:val="32"/>
          <w:szCs w:val="32"/>
        </w:rPr>
      </w:pPr>
      <w:bookmarkStart w:id="69" w:name="bookmark26"/>
      <w:bookmarkEnd w:id="69"/>
      <w:bookmarkStart w:id="70" w:name="_Toc19199808"/>
      <w:bookmarkStart w:id="71" w:name="_Toc23169596"/>
      <w:r>
        <w:rPr>
          <w:rFonts w:hint="default" w:ascii="Times New Roman" w:hAnsi="Times New Roman" w:eastAsia="仿宋_GB2312" w:cs="Times New Roman"/>
          <w:b w:val="0"/>
          <w:color w:val="000000"/>
          <w:sz w:val="32"/>
          <w:szCs w:val="32"/>
        </w:rPr>
        <w:t>（五）技术经济</w:t>
      </w:r>
      <w:bookmarkEnd w:id="70"/>
      <w:bookmarkEnd w:id="71"/>
      <w:r>
        <w:rPr>
          <w:rFonts w:hint="default" w:ascii="Times New Roman" w:hAnsi="Times New Roman" w:eastAsia="仿宋_GB2312" w:cs="Times New Roman"/>
          <w:b w:val="0"/>
          <w:color w:val="000000"/>
          <w:sz w:val="32"/>
          <w:szCs w:val="32"/>
        </w:rPr>
        <w:t>及建设成效</w:t>
      </w:r>
    </w:p>
    <w:p>
      <w:pPr>
        <w:pStyle w:val="4"/>
        <w:pageBreakBefore w:val="0"/>
        <w:widowControl w:val="0"/>
        <w:kinsoku/>
        <w:wordWrap/>
        <w:overflowPunct/>
        <w:topLinePunct w:val="0"/>
        <w:autoSpaceDE/>
        <w:autoSpaceDN/>
        <w:bidi w:val="0"/>
        <w:spacing w:before="0" w:beforeLines="0" w:after="0" w:afterLines="0" w:line="579" w:lineRule="exact"/>
        <w:ind w:left="0" w:firstLine="640" w:firstLineChars="200"/>
        <w:textAlignment w:val="auto"/>
        <w:rPr>
          <w:rFonts w:hint="default" w:ascii="Times New Roman" w:hAnsi="Times New Roman" w:eastAsia="仿宋_GB2312" w:cs="Times New Roman"/>
          <w:color w:val="000000"/>
          <w:sz w:val="32"/>
          <w:szCs w:val="32"/>
        </w:rPr>
      </w:pPr>
      <w:bookmarkStart w:id="72" w:name="_Toc23169597"/>
      <w:r>
        <w:rPr>
          <w:rFonts w:hint="default" w:ascii="Times New Roman" w:hAnsi="Times New Roman" w:eastAsia="仿宋_GB2312" w:cs="Times New Roman"/>
          <w:color w:val="000000"/>
          <w:sz w:val="32"/>
          <w:szCs w:val="32"/>
        </w:rPr>
        <w:t>1</w:t>
      </w:r>
      <w:r>
        <w:rPr>
          <w:rFonts w:hint="default" w:ascii="Times New Roman" w:hAnsi="Times New Roman" w:eastAsia="仿宋_GB2312" w:cs="Times New Roman"/>
          <w:sz w:val="32"/>
          <w:szCs w:val="32"/>
        </w:rPr>
        <w:t>．</w:t>
      </w:r>
      <w:r>
        <w:rPr>
          <w:rFonts w:hint="default" w:ascii="Times New Roman" w:hAnsi="Times New Roman" w:eastAsia="仿宋_GB2312" w:cs="Times New Roman"/>
          <w:color w:val="000000"/>
          <w:sz w:val="32"/>
          <w:szCs w:val="32"/>
        </w:rPr>
        <w:t>技术指标及建设成效</w:t>
      </w:r>
      <w:bookmarkEnd w:id="72"/>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（1）规划成效分析</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到2025年，龙港彩虹智慧创业园增量配电试点区域实现从零到坚强可靠电网的跨越式发展，为近千家小微企业提供安全可靠优质的供电服务，推动清洁能源发展以及供电能力提升，支撑经济发展和服务社会民生，满足用户接入需求。规划主要成效如下：</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1）解决了试点区域内近1000家小微企业的用电需求，服务实体经济发展。</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新建改造35千伏变电站1座，35千伏线路2×12.7公里；新建10千伏开闭所4座，新建10千伏电缆线路15.8公里，新建10千伏主变78台。试点区域内10千伏电网实现电缆双环网供电结构，电网安全可靠供电水平得到较大提升。</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3）试点区域开发屋顶光伏规模0.5万千瓦，构建清洁能源供电体系。</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4）试点区域配电自动化覆盖率和信息自动采集率均达到100%，线路故障发现和处理能力明显提升。</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（2）技术指标提升情况</w:t>
      </w:r>
    </w:p>
    <w:p>
      <w:pPr>
        <w:pStyle w:val="9"/>
        <w:keepNext w:val="0"/>
        <w:keepLines w:val="0"/>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根据《DL/T1563-2016</w:t>
      </w:r>
      <w:r>
        <w:rPr>
          <w:rFonts w:hint="eastAsia" w:asci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中压配电网可靠性评估导则》中的“两状态模型”和“三状态模型”，并结合《GB/T31367-2015中低压配电网能效评估导则》的相关要求，经评估，到2025年，试点区域供电可靠率达到99.976%，用户年均停电时间为2.89小时，综合电压合格率达到99.9%，满足B类区域供电可靠性要求；到远景年，试点区域供电可靠率达到99.983%，用户年均停电时间为2.84小时，综合电压合格率达到99.9%，满足B类区域供电可靠性要求。</w:t>
      </w:r>
    </w:p>
    <w:p>
      <w:pPr>
        <w:keepNext w:val="0"/>
        <w:keepLines w:val="0"/>
        <w:pageBreakBefore w:val="0"/>
        <w:widowControl w:val="0"/>
        <w:kinsoku/>
        <w:wordWrap/>
        <w:overflowPunct/>
        <w:topLinePunct w:val="0"/>
        <w:bidi w:val="0"/>
        <w:snapToGrid w:val="0"/>
        <w:spacing w:line="579" w:lineRule="exact"/>
        <w:ind w:firstLine="280" w:firstLineChars="100"/>
        <w:jc w:val="center"/>
        <w:textAlignment w:val="auto"/>
        <w:rPr>
          <w:rFonts w:ascii="仿宋_GB2312" w:hAnsi="宋体" w:eastAsia="仿宋_GB2312"/>
          <w:sz w:val="28"/>
          <w:szCs w:val="28"/>
        </w:rPr>
      </w:pPr>
      <w:r>
        <w:rPr>
          <w:rFonts w:hint="eastAsia" w:ascii="仿宋_GB2312" w:hAnsi="宋体" w:eastAsia="仿宋_GB2312"/>
          <w:sz w:val="28"/>
          <w:szCs w:val="28"/>
        </w:rPr>
        <w:t>表</w:t>
      </w:r>
      <w:r>
        <w:rPr>
          <w:rFonts w:ascii="仿宋_GB2312" w:hAnsi="宋体" w:eastAsia="仿宋_GB2312"/>
          <w:sz w:val="28"/>
          <w:szCs w:val="28"/>
        </w:rPr>
        <w:t>6</w:t>
      </w:r>
      <w:r>
        <w:rPr>
          <w:rFonts w:hint="eastAsia" w:ascii="仿宋_GB2312" w:hAnsi="宋体" w:eastAsia="仿宋_GB2312"/>
          <w:sz w:val="28"/>
          <w:szCs w:val="28"/>
        </w:rPr>
        <w:t>-</w:t>
      </w:r>
      <w:r>
        <w:rPr>
          <w:rFonts w:ascii="仿宋_GB2312" w:hAnsi="宋体" w:eastAsia="仿宋_GB2312"/>
          <w:sz w:val="28"/>
          <w:szCs w:val="28"/>
        </w:rPr>
        <w:t xml:space="preserve">4  </w:t>
      </w:r>
      <w:r>
        <w:rPr>
          <w:rFonts w:hint="eastAsia" w:ascii="仿宋_GB2312" w:hAnsi="宋体" w:eastAsia="仿宋_GB2312"/>
          <w:sz w:val="28"/>
          <w:szCs w:val="28"/>
        </w:rPr>
        <w:t>试点区域增量配电网规划技术指标情况</w:t>
      </w:r>
    </w:p>
    <w:tbl>
      <w:tblPr>
        <w:tblStyle w:val="23"/>
        <w:tblW w:w="8437" w:type="dxa"/>
        <w:tblInd w:w="197" w:type="dxa"/>
        <w:tblLayout w:type="fixed"/>
        <w:tblCellMar>
          <w:top w:w="0" w:type="dxa"/>
          <w:left w:w="0" w:type="dxa"/>
          <w:bottom w:w="0" w:type="dxa"/>
          <w:right w:w="0" w:type="dxa"/>
        </w:tblCellMar>
      </w:tblPr>
      <w:tblGrid>
        <w:gridCol w:w="914"/>
        <w:gridCol w:w="3599"/>
        <w:gridCol w:w="1308"/>
        <w:gridCol w:w="1308"/>
        <w:gridCol w:w="1308"/>
      </w:tblGrid>
      <w:tr>
        <w:tblPrEx>
          <w:tblLayout w:type="fixed"/>
          <w:tblCellMar>
            <w:top w:w="0" w:type="dxa"/>
            <w:left w:w="0" w:type="dxa"/>
            <w:bottom w:w="0" w:type="dxa"/>
            <w:right w:w="0" w:type="dxa"/>
          </w:tblCellMar>
        </w:tblPrEx>
        <w:trPr>
          <w:trHeight w:val="403" w:hRule="exact"/>
        </w:trPr>
        <w:tc>
          <w:tcPr>
            <w:tcW w:w="914" w:type="dxa"/>
            <w:tcBorders>
              <w:top w:val="single" w:color="000000" w:sz="12" w:space="0"/>
              <w:left w:val="single" w:color="000000" w:sz="12" w:space="0"/>
              <w:bottom w:val="single" w:color="000000" w:sz="4" w:space="0"/>
              <w:right w:val="single" w:color="000000" w:sz="4" w:space="0"/>
            </w:tcBorders>
          </w:tcPr>
          <w:p>
            <w:pPr>
              <w:pStyle w:val="34"/>
              <w:kinsoku w:val="0"/>
              <w:overflowPunct w:val="0"/>
              <w:spacing w:before="34"/>
              <w:ind w:left="241"/>
            </w:pPr>
            <w:r>
              <w:rPr>
                <w:rFonts w:hint="eastAsia" w:ascii="宋体" w:eastAsia="宋体" w:cs="宋体"/>
                <w:sz w:val="20"/>
                <w:szCs w:val="20"/>
              </w:rPr>
              <w:t>序</w:t>
            </w:r>
            <w:r>
              <w:rPr>
                <w:rFonts w:hint="eastAsia" w:ascii="宋体" w:eastAsia="宋体" w:cs="宋体"/>
                <w:spacing w:val="2"/>
                <w:sz w:val="20"/>
                <w:szCs w:val="20"/>
              </w:rPr>
              <w:t>号</w:t>
            </w:r>
          </w:p>
        </w:tc>
        <w:tc>
          <w:tcPr>
            <w:tcW w:w="3599" w:type="dxa"/>
            <w:tcBorders>
              <w:top w:val="single" w:color="000000" w:sz="12" w:space="0"/>
              <w:left w:val="single" w:color="000000" w:sz="4" w:space="0"/>
              <w:bottom w:val="single" w:color="000000" w:sz="4" w:space="0"/>
              <w:right w:val="single" w:color="000000" w:sz="4" w:space="0"/>
            </w:tcBorders>
          </w:tcPr>
          <w:p>
            <w:pPr>
              <w:pStyle w:val="34"/>
              <w:kinsoku w:val="0"/>
              <w:overflowPunct w:val="0"/>
              <w:spacing w:before="34"/>
              <w:ind w:left="95"/>
              <w:jc w:val="center"/>
            </w:pPr>
            <w:r>
              <w:rPr>
                <w:rFonts w:hint="eastAsia" w:ascii="宋体" w:eastAsia="宋体" w:cs="宋体"/>
                <w:sz w:val="20"/>
                <w:szCs w:val="20"/>
              </w:rPr>
              <w:t>指</w:t>
            </w:r>
            <w:r>
              <w:rPr>
                <w:rFonts w:hint="eastAsia" w:ascii="宋体" w:eastAsia="宋体" w:cs="宋体"/>
                <w:spacing w:val="2"/>
                <w:sz w:val="20"/>
                <w:szCs w:val="20"/>
              </w:rPr>
              <w:t>标</w:t>
            </w:r>
          </w:p>
        </w:tc>
        <w:tc>
          <w:tcPr>
            <w:tcW w:w="1308" w:type="dxa"/>
            <w:tcBorders>
              <w:top w:val="single" w:color="000000" w:sz="12" w:space="0"/>
              <w:left w:val="single" w:color="000000" w:sz="4" w:space="0"/>
              <w:bottom w:val="single" w:color="000000" w:sz="4" w:space="0"/>
              <w:right w:val="single" w:color="000000" w:sz="4" w:space="0"/>
            </w:tcBorders>
          </w:tcPr>
          <w:p>
            <w:pPr>
              <w:pStyle w:val="34"/>
              <w:kinsoku w:val="0"/>
              <w:overflowPunct w:val="0"/>
              <w:spacing w:before="34"/>
              <w:ind w:left="322"/>
            </w:pPr>
            <w:r>
              <w:rPr>
                <w:rFonts w:ascii="宋体" w:eastAsia="宋体" w:cs="宋体"/>
                <w:sz w:val="20"/>
                <w:szCs w:val="20"/>
              </w:rPr>
              <w:t>2020</w:t>
            </w:r>
            <w:r>
              <w:rPr>
                <w:rFonts w:hint="eastAsia" w:ascii="宋体" w:eastAsia="宋体" w:cs="宋体"/>
                <w:spacing w:val="-3"/>
                <w:sz w:val="20"/>
                <w:szCs w:val="20"/>
              </w:rPr>
              <w:t>年</w:t>
            </w:r>
          </w:p>
        </w:tc>
        <w:tc>
          <w:tcPr>
            <w:tcW w:w="1308" w:type="dxa"/>
            <w:tcBorders>
              <w:top w:val="single" w:color="000000" w:sz="12" w:space="0"/>
              <w:left w:val="single" w:color="000000" w:sz="4" w:space="0"/>
              <w:bottom w:val="single" w:color="000000" w:sz="4" w:space="0"/>
              <w:right w:val="single" w:color="000000" w:sz="4" w:space="0"/>
            </w:tcBorders>
          </w:tcPr>
          <w:p>
            <w:pPr>
              <w:pStyle w:val="34"/>
              <w:kinsoku w:val="0"/>
              <w:overflowPunct w:val="0"/>
              <w:spacing w:before="34"/>
              <w:ind w:left="322"/>
            </w:pPr>
            <w:r>
              <w:rPr>
                <w:rFonts w:ascii="宋体" w:eastAsia="宋体" w:cs="宋体"/>
                <w:sz w:val="20"/>
                <w:szCs w:val="20"/>
              </w:rPr>
              <w:t>2025</w:t>
            </w:r>
            <w:r>
              <w:rPr>
                <w:rFonts w:hint="eastAsia" w:ascii="宋体" w:eastAsia="宋体" w:cs="宋体"/>
                <w:spacing w:val="-2"/>
                <w:sz w:val="20"/>
                <w:szCs w:val="20"/>
              </w:rPr>
              <w:t>年</w:t>
            </w:r>
          </w:p>
        </w:tc>
        <w:tc>
          <w:tcPr>
            <w:tcW w:w="1308" w:type="dxa"/>
            <w:tcBorders>
              <w:top w:val="single" w:color="000000" w:sz="12" w:space="0"/>
              <w:left w:val="single" w:color="000000" w:sz="4" w:space="0"/>
              <w:bottom w:val="single" w:color="000000" w:sz="4" w:space="0"/>
              <w:right w:val="single" w:color="000000" w:sz="12" w:space="0"/>
            </w:tcBorders>
          </w:tcPr>
          <w:p>
            <w:pPr>
              <w:pStyle w:val="34"/>
              <w:kinsoku w:val="0"/>
              <w:overflowPunct w:val="0"/>
              <w:spacing w:before="34"/>
              <w:ind w:left="322"/>
            </w:pPr>
            <w:r>
              <w:rPr>
                <w:rFonts w:ascii="宋体" w:eastAsia="宋体" w:cs="宋体"/>
                <w:sz w:val="20"/>
                <w:szCs w:val="20"/>
              </w:rPr>
              <w:t>2030</w:t>
            </w:r>
            <w:r>
              <w:rPr>
                <w:rFonts w:hint="eastAsia" w:ascii="宋体" w:eastAsia="宋体" w:cs="宋体"/>
                <w:spacing w:val="-3"/>
                <w:sz w:val="20"/>
                <w:szCs w:val="20"/>
              </w:rPr>
              <w:t>年</w:t>
            </w:r>
          </w:p>
        </w:tc>
      </w:tr>
      <w:tr>
        <w:tblPrEx>
          <w:tblLayout w:type="fixed"/>
          <w:tblCellMar>
            <w:top w:w="0" w:type="dxa"/>
            <w:left w:w="0" w:type="dxa"/>
            <w:bottom w:w="0" w:type="dxa"/>
            <w:right w:w="0" w:type="dxa"/>
          </w:tblCellMar>
        </w:tblPrEx>
        <w:trPr>
          <w:trHeight w:val="408" w:hRule="exact"/>
        </w:trPr>
        <w:tc>
          <w:tcPr>
            <w:tcW w:w="914" w:type="dxa"/>
            <w:tcBorders>
              <w:top w:val="single" w:color="000000" w:sz="4" w:space="0"/>
              <w:left w:val="single" w:color="000000" w:sz="12" w:space="0"/>
              <w:bottom w:val="single" w:color="000000" w:sz="4" w:space="0"/>
              <w:right w:val="single" w:color="000000" w:sz="4" w:space="0"/>
            </w:tcBorders>
          </w:tcPr>
          <w:p>
            <w:pPr>
              <w:pStyle w:val="34"/>
              <w:kinsoku w:val="0"/>
              <w:overflowPunct w:val="0"/>
              <w:spacing w:before="36"/>
              <w:ind w:left="87"/>
              <w:jc w:val="center"/>
            </w:pPr>
            <w:r>
              <w:rPr>
                <w:rFonts w:ascii="宋体" w:eastAsia="宋体" w:cs="宋体"/>
                <w:spacing w:val="1"/>
                <w:sz w:val="20"/>
                <w:szCs w:val="20"/>
              </w:rPr>
              <w:t>1</w:t>
            </w:r>
          </w:p>
        </w:tc>
        <w:tc>
          <w:tcPr>
            <w:tcW w:w="3599"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36"/>
              <w:ind w:left="1041"/>
            </w:pPr>
            <w:r>
              <w:rPr>
                <w:rFonts w:hint="eastAsia" w:ascii="宋体" w:eastAsia="宋体" w:cs="宋体"/>
                <w:sz w:val="20"/>
                <w:szCs w:val="20"/>
              </w:rPr>
              <w:t>供电可靠率（</w:t>
            </w:r>
            <w:r>
              <w:rPr>
                <w:rFonts w:ascii="宋体" w:eastAsia="宋体" w:cs="宋体"/>
                <w:sz w:val="20"/>
                <w:szCs w:val="20"/>
              </w:rPr>
              <w:t>%</w:t>
            </w:r>
            <w:r>
              <w:rPr>
                <w:rFonts w:hint="eastAsia" w:ascii="宋体" w:eastAsia="宋体" w:cs="宋体"/>
                <w:sz w:val="20"/>
                <w:szCs w:val="20"/>
              </w:rPr>
              <w:t>）</w:t>
            </w:r>
          </w:p>
        </w:tc>
        <w:tc>
          <w:tcPr>
            <w:tcW w:w="1308"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36"/>
              <w:ind w:left="346"/>
            </w:pPr>
            <w:r>
              <w:rPr>
                <w:rFonts w:ascii="宋体" w:eastAsia="宋体" w:cs="宋体"/>
                <w:sz w:val="20"/>
                <w:szCs w:val="20"/>
              </w:rPr>
              <w:t>99.965</w:t>
            </w:r>
          </w:p>
        </w:tc>
        <w:tc>
          <w:tcPr>
            <w:tcW w:w="1308"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36"/>
              <w:ind w:left="346"/>
            </w:pPr>
            <w:r>
              <w:rPr>
                <w:rFonts w:ascii="宋体" w:eastAsia="宋体" w:cs="宋体"/>
                <w:sz w:val="20"/>
                <w:szCs w:val="20"/>
              </w:rPr>
              <w:t>99.976</w:t>
            </w:r>
          </w:p>
        </w:tc>
        <w:tc>
          <w:tcPr>
            <w:tcW w:w="1308" w:type="dxa"/>
            <w:tcBorders>
              <w:top w:val="single" w:color="000000" w:sz="4" w:space="0"/>
              <w:left w:val="single" w:color="000000" w:sz="4" w:space="0"/>
              <w:bottom w:val="single" w:color="000000" w:sz="4" w:space="0"/>
              <w:right w:val="single" w:color="000000" w:sz="12" w:space="0"/>
            </w:tcBorders>
          </w:tcPr>
          <w:p>
            <w:pPr>
              <w:pStyle w:val="34"/>
              <w:kinsoku w:val="0"/>
              <w:overflowPunct w:val="0"/>
              <w:spacing w:before="36"/>
              <w:ind w:left="346"/>
            </w:pPr>
            <w:r>
              <w:rPr>
                <w:rFonts w:ascii="宋体" w:eastAsia="宋体" w:cs="宋体"/>
                <w:sz w:val="20"/>
                <w:szCs w:val="20"/>
              </w:rPr>
              <w:t>99.983</w:t>
            </w:r>
          </w:p>
        </w:tc>
      </w:tr>
      <w:tr>
        <w:tblPrEx>
          <w:tblLayout w:type="fixed"/>
          <w:tblCellMar>
            <w:top w:w="0" w:type="dxa"/>
            <w:left w:w="0" w:type="dxa"/>
            <w:bottom w:w="0" w:type="dxa"/>
            <w:right w:w="0" w:type="dxa"/>
          </w:tblCellMar>
        </w:tblPrEx>
        <w:trPr>
          <w:trHeight w:val="408" w:hRule="exact"/>
        </w:trPr>
        <w:tc>
          <w:tcPr>
            <w:tcW w:w="914" w:type="dxa"/>
            <w:tcBorders>
              <w:top w:val="single" w:color="000000" w:sz="4" w:space="0"/>
              <w:left w:val="single" w:color="000000" w:sz="12" w:space="0"/>
              <w:bottom w:val="single" w:color="000000" w:sz="4" w:space="0"/>
              <w:right w:val="single" w:color="000000" w:sz="4" w:space="0"/>
            </w:tcBorders>
          </w:tcPr>
          <w:p>
            <w:pPr>
              <w:pStyle w:val="34"/>
              <w:kinsoku w:val="0"/>
              <w:overflowPunct w:val="0"/>
              <w:spacing w:before="36"/>
              <w:ind w:left="87"/>
              <w:jc w:val="center"/>
            </w:pPr>
            <w:r>
              <w:rPr>
                <w:rFonts w:ascii="宋体" w:eastAsia="宋体" w:cs="宋体"/>
                <w:spacing w:val="1"/>
                <w:sz w:val="20"/>
                <w:szCs w:val="20"/>
              </w:rPr>
              <w:t>2</w:t>
            </w:r>
          </w:p>
        </w:tc>
        <w:tc>
          <w:tcPr>
            <w:tcW w:w="3599"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36"/>
              <w:ind w:left="740"/>
            </w:pPr>
            <w:r>
              <w:rPr>
                <w:rFonts w:hint="eastAsia" w:ascii="宋体" w:eastAsia="宋体" w:cs="宋体"/>
                <w:sz w:val="20"/>
                <w:szCs w:val="20"/>
              </w:rPr>
              <w:t>用户年均停电时间（</w:t>
            </w:r>
            <w:r>
              <w:rPr>
                <w:rFonts w:ascii="宋体" w:eastAsia="宋体" w:cs="宋体"/>
                <w:sz w:val="20"/>
                <w:szCs w:val="20"/>
              </w:rPr>
              <w:t>h</w:t>
            </w:r>
            <w:r>
              <w:rPr>
                <w:rFonts w:hint="eastAsia" w:ascii="宋体" w:eastAsia="宋体" w:cs="宋体"/>
                <w:sz w:val="20"/>
                <w:szCs w:val="20"/>
              </w:rPr>
              <w:t>）</w:t>
            </w:r>
          </w:p>
        </w:tc>
        <w:tc>
          <w:tcPr>
            <w:tcW w:w="1308"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36"/>
              <w:ind w:left="447"/>
            </w:pPr>
            <w:r>
              <w:rPr>
                <w:rFonts w:ascii="宋体" w:eastAsia="宋体" w:cs="宋体"/>
                <w:sz w:val="20"/>
                <w:szCs w:val="20"/>
              </w:rPr>
              <w:t>2.96</w:t>
            </w:r>
          </w:p>
        </w:tc>
        <w:tc>
          <w:tcPr>
            <w:tcW w:w="1308" w:type="dxa"/>
            <w:tcBorders>
              <w:top w:val="single" w:color="000000" w:sz="4" w:space="0"/>
              <w:left w:val="single" w:color="000000" w:sz="4" w:space="0"/>
              <w:bottom w:val="single" w:color="000000" w:sz="4" w:space="0"/>
              <w:right w:val="single" w:color="000000" w:sz="4" w:space="0"/>
            </w:tcBorders>
          </w:tcPr>
          <w:p>
            <w:pPr>
              <w:pStyle w:val="34"/>
              <w:kinsoku w:val="0"/>
              <w:overflowPunct w:val="0"/>
              <w:spacing w:before="36"/>
              <w:ind w:left="447"/>
            </w:pPr>
            <w:r>
              <w:rPr>
                <w:rFonts w:ascii="宋体" w:eastAsia="宋体" w:cs="宋体"/>
                <w:sz w:val="20"/>
                <w:szCs w:val="20"/>
              </w:rPr>
              <w:t>2.89</w:t>
            </w:r>
          </w:p>
        </w:tc>
        <w:tc>
          <w:tcPr>
            <w:tcW w:w="1308" w:type="dxa"/>
            <w:tcBorders>
              <w:top w:val="single" w:color="000000" w:sz="4" w:space="0"/>
              <w:left w:val="single" w:color="000000" w:sz="4" w:space="0"/>
              <w:bottom w:val="single" w:color="000000" w:sz="4" w:space="0"/>
              <w:right w:val="single" w:color="000000" w:sz="12" w:space="0"/>
            </w:tcBorders>
          </w:tcPr>
          <w:p>
            <w:pPr>
              <w:pStyle w:val="34"/>
              <w:kinsoku w:val="0"/>
              <w:overflowPunct w:val="0"/>
              <w:spacing w:before="36"/>
              <w:ind w:left="447"/>
            </w:pPr>
            <w:r>
              <w:rPr>
                <w:rFonts w:ascii="宋体" w:eastAsia="宋体" w:cs="宋体"/>
                <w:sz w:val="20"/>
                <w:szCs w:val="20"/>
              </w:rPr>
              <w:t>2.84</w:t>
            </w:r>
          </w:p>
        </w:tc>
      </w:tr>
      <w:tr>
        <w:tblPrEx>
          <w:tblLayout w:type="fixed"/>
          <w:tblCellMar>
            <w:top w:w="0" w:type="dxa"/>
            <w:left w:w="0" w:type="dxa"/>
            <w:bottom w:w="0" w:type="dxa"/>
            <w:right w:w="0" w:type="dxa"/>
          </w:tblCellMar>
        </w:tblPrEx>
        <w:trPr>
          <w:trHeight w:val="425" w:hRule="exact"/>
        </w:trPr>
        <w:tc>
          <w:tcPr>
            <w:tcW w:w="914" w:type="dxa"/>
            <w:tcBorders>
              <w:top w:val="single" w:color="000000" w:sz="4" w:space="0"/>
              <w:left w:val="single" w:color="000000" w:sz="12" w:space="0"/>
              <w:bottom w:val="single" w:color="000000" w:sz="12" w:space="0"/>
              <w:right w:val="single" w:color="000000" w:sz="4" w:space="0"/>
            </w:tcBorders>
          </w:tcPr>
          <w:p>
            <w:pPr>
              <w:pStyle w:val="34"/>
              <w:kinsoku w:val="0"/>
              <w:overflowPunct w:val="0"/>
              <w:spacing w:before="36"/>
              <w:ind w:left="87"/>
              <w:jc w:val="center"/>
            </w:pPr>
            <w:r>
              <w:rPr>
                <w:rFonts w:ascii="宋体" w:eastAsia="宋体" w:cs="宋体"/>
                <w:spacing w:val="1"/>
                <w:sz w:val="20"/>
                <w:szCs w:val="20"/>
              </w:rPr>
              <w:t>3</w:t>
            </w:r>
          </w:p>
        </w:tc>
        <w:tc>
          <w:tcPr>
            <w:tcW w:w="3599" w:type="dxa"/>
            <w:tcBorders>
              <w:top w:val="single" w:color="000000" w:sz="4" w:space="0"/>
              <w:left w:val="single" w:color="000000" w:sz="4" w:space="0"/>
              <w:bottom w:val="single" w:color="000000" w:sz="12" w:space="0"/>
              <w:right w:val="single" w:color="000000" w:sz="4" w:space="0"/>
            </w:tcBorders>
          </w:tcPr>
          <w:p>
            <w:pPr>
              <w:pStyle w:val="34"/>
              <w:kinsoku w:val="0"/>
              <w:overflowPunct w:val="0"/>
              <w:spacing w:before="36"/>
              <w:ind w:left="841"/>
            </w:pPr>
            <w:r>
              <w:rPr>
                <w:rFonts w:hint="eastAsia" w:ascii="宋体" w:eastAsia="宋体" w:cs="宋体"/>
                <w:sz w:val="20"/>
                <w:szCs w:val="20"/>
              </w:rPr>
              <w:t>综合电压合格率（</w:t>
            </w:r>
            <w:r>
              <w:rPr>
                <w:rFonts w:ascii="宋体" w:eastAsia="宋体" w:cs="宋体"/>
                <w:sz w:val="20"/>
                <w:szCs w:val="20"/>
              </w:rPr>
              <w:t>%</w:t>
            </w:r>
            <w:r>
              <w:rPr>
                <w:rFonts w:hint="eastAsia" w:ascii="宋体" w:eastAsia="宋体" w:cs="宋体"/>
                <w:sz w:val="20"/>
                <w:szCs w:val="20"/>
              </w:rPr>
              <w:t>）</w:t>
            </w:r>
          </w:p>
        </w:tc>
        <w:tc>
          <w:tcPr>
            <w:tcW w:w="1308" w:type="dxa"/>
            <w:tcBorders>
              <w:top w:val="single" w:color="000000" w:sz="4" w:space="0"/>
              <w:left w:val="single" w:color="000000" w:sz="4" w:space="0"/>
              <w:bottom w:val="single" w:color="000000" w:sz="12" w:space="0"/>
              <w:right w:val="single" w:color="000000" w:sz="4" w:space="0"/>
            </w:tcBorders>
          </w:tcPr>
          <w:p>
            <w:pPr>
              <w:pStyle w:val="34"/>
              <w:kinsoku w:val="0"/>
              <w:overflowPunct w:val="0"/>
              <w:spacing w:before="36"/>
              <w:ind w:left="447"/>
            </w:pPr>
            <w:r>
              <w:rPr>
                <w:rFonts w:ascii="宋体" w:eastAsia="宋体" w:cs="宋体"/>
                <w:sz w:val="20"/>
                <w:szCs w:val="20"/>
              </w:rPr>
              <w:t>99.9</w:t>
            </w:r>
          </w:p>
        </w:tc>
        <w:tc>
          <w:tcPr>
            <w:tcW w:w="1308" w:type="dxa"/>
            <w:tcBorders>
              <w:top w:val="single" w:color="000000" w:sz="4" w:space="0"/>
              <w:left w:val="single" w:color="000000" w:sz="4" w:space="0"/>
              <w:bottom w:val="single" w:color="000000" w:sz="12" w:space="0"/>
              <w:right w:val="single" w:color="000000" w:sz="4" w:space="0"/>
            </w:tcBorders>
          </w:tcPr>
          <w:p>
            <w:pPr>
              <w:pStyle w:val="34"/>
              <w:kinsoku w:val="0"/>
              <w:overflowPunct w:val="0"/>
              <w:spacing w:before="36"/>
              <w:ind w:left="447"/>
            </w:pPr>
            <w:r>
              <w:rPr>
                <w:rFonts w:ascii="宋体" w:eastAsia="宋体" w:cs="宋体"/>
                <w:sz w:val="20"/>
                <w:szCs w:val="20"/>
              </w:rPr>
              <w:t>99.9</w:t>
            </w:r>
          </w:p>
        </w:tc>
        <w:tc>
          <w:tcPr>
            <w:tcW w:w="1308" w:type="dxa"/>
            <w:tcBorders>
              <w:top w:val="single" w:color="000000" w:sz="4" w:space="0"/>
              <w:left w:val="single" w:color="000000" w:sz="4" w:space="0"/>
              <w:bottom w:val="single" w:color="000000" w:sz="12" w:space="0"/>
              <w:right w:val="single" w:color="000000" w:sz="12" w:space="0"/>
            </w:tcBorders>
          </w:tcPr>
          <w:p>
            <w:pPr>
              <w:pStyle w:val="34"/>
              <w:kinsoku w:val="0"/>
              <w:overflowPunct w:val="0"/>
              <w:spacing w:before="36"/>
              <w:ind w:left="447"/>
            </w:pPr>
            <w:r>
              <w:rPr>
                <w:rFonts w:ascii="宋体" w:eastAsia="宋体" w:cs="宋体"/>
                <w:sz w:val="20"/>
                <w:szCs w:val="20"/>
              </w:rPr>
              <w:t>99.9</w:t>
            </w:r>
          </w:p>
        </w:tc>
      </w:tr>
    </w:tbl>
    <w:p>
      <w:pPr>
        <w:pStyle w:val="9"/>
        <w:keepNext w:val="0"/>
        <w:keepLines w:val="0"/>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2025</w:t>
      </w:r>
      <w:r>
        <w:rPr>
          <w:rFonts w:hint="eastAsia" w:ascii="Times New Roman" w:hAnsi="Times New Roman" w:eastAsia="仿宋_GB2312" w:cs="Times New Roman"/>
          <w:sz w:val="32"/>
          <w:szCs w:val="32"/>
        </w:rPr>
        <w:t>年，试点区域</w:t>
      </w:r>
      <w:r>
        <w:rPr>
          <w:rFonts w:hint="default" w:ascii="Times New Roman" w:hAnsi="Times New Roman" w:eastAsia="仿宋_GB2312" w:cs="Times New Roman"/>
          <w:sz w:val="32"/>
          <w:szCs w:val="32"/>
        </w:rPr>
        <w:t>10</w:t>
      </w:r>
      <w:r>
        <w:rPr>
          <w:rFonts w:hint="eastAsia" w:ascii="Times New Roman" w:hAnsi="Times New Roman" w:eastAsia="仿宋_GB2312" w:cs="Times New Roman"/>
          <w:sz w:val="32"/>
          <w:szCs w:val="32"/>
        </w:rPr>
        <w:t>千伏电网最大公用负荷为</w:t>
      </w:r>
      <w:r>
        <w:rPr>
          <w:rFonts w:hint="default" w:ascii="Times New Roman" w:hAnsi="Times New Roman" w:eastAsia="仿宋_GB2312" w:cs="Times New Roman"/>
          <w:sz w:val="32"/>
          <w:szCs w:val="32"/>
        </w:rPr>
        <w:t>2.31</w:t>
      </w:r>
      <w:r>
        <w:rPr>
          <w:rFonts w:hint="eastAsia" w:ascii="Times New Roman" w:hAnsi="Times New Roman" w:eastAsia="仿宋_GB2312" w:cs="Times New Roman"/>
          <w:sz w:val="32"/>
          <w:szCs w:val="32"/>
        </w:rPr>
        <w:t>万千瓦，</w:t>
      </w:r>
      <w:r>
        <w:rPr>
          <w:rFonts w:hint="default" w:ascii="Times New Roman" w:hAnsi="Times New Roman" w:eastAsia="仿宋_GB2312" w:cs="Times New Roman"/>
          <w:sz w:val="32"/>
          <w:szCs w:val="32"/>
        </w:rPr>
        <w:t>10</w:t>
      </w:r>
      <w:r>
        <w:rPr>
          <w:rFonts w:hint="eastAsia" w:ascii="Times New Roman" w:hAnsi="Times New Roman" w:eastAsia="仿宋_GB2312" w:cs="Times New Roman"/>
          <w:sz w:val="32"/>
          <w:szCs w:val="32"/>
        </w:rPr>
        <w:t>千伏线路最大供电能力</w:t>
      </w:r>
      <w:r>
        <w:rPr>
          <w:rFonts w:hint="default" w:ascii="Times New Roman" w:hAnsi="Times New Roman" w:eastAsia="仿宋_GB2312" w:cs="Times New Roman"/>
          <w:sz w:val="32"/>
          <w:szCs w:val="32"/>
        </w:rPr>
        <w:t>7.86</w:t>
      </w:r>
      <w:r>
        <w:rPr>
          <w:rFonts w:hint="eastAsia" w:ascii="Times New Roman" w:hAnsi="Times New Roman" w:eastAsia="仿宋_GB2312" w:cs="Times New Roman"/>
          <w:sz w:val="32"/>
          <w:szCs w:val="32"/>
        </w:rPr>
        <w:t>兆瓦，线路最大负载率为</w:t>
      </w:r>
      <w:r>
        <w:rPr>
          <w:rFonts w:hint="default" w:ascii="Times New Roman" w:hAnsi="Times New Roman" w:eastAsia="仿宋_GB2312" w:cs="Times New Roman"/>
          <w:sz w:val="32"/>
          <w:szCs w:val="32"/>
        </w:rPr>
        <w:t>73.4%</w:t>
      </w:r>
      <w:r>
        <w:rPr>
          <w:rFonts w:hint="eastAsia" w:ascii="Times New Roman" w:hAnsi="Times New Roman" w:eastAsia="仿宋_GB2312" w:cs="Times New Roman"/>
          <w:sz w:val="32"/>
          <w:szCs w:val="32"/>
        </w:rPr>
        <w:t>，能够通过“</w:t>
      </w:r>
      <w:r>
        <w:rPr>
          <w:rFonts w:hint="default" w:ascii="Times New Roman" w:hAnsi="Times New Roman" w:eastAsia="仿宋_GB2312" w:cs="Times New Roman"/>
          <w:sz w:val="32"/>
          <w:szCs w:val="32"/>
        </w:rPr>
        <w:t>N-1</w:t>
      </w:r>
      <w:r>
        <w:rPr>
          <w:rFonts w:hint="eastAsia" w:ascii="Times New Roman" w:hAnsi="Times New Roman" w:eastAsia="仿宋_GB2312" w:cs="Times New Roman"/>
          <w:sz w:val="32"/>
          <w:szCs w:val="32"/>
        </w:rPr>
        <w:t>”校验。远景年，试点区域</w:t>
      </w:r>
      <w:r>
        <w:rPr>
          <w:rFonts w:hint="default" w:ascii="Times New Roman" w:hAnsi="Times New Roman" w:eastAsia="仿宋_GB2312" w:cs="Times New Roman"/>
          <w:sz w:val="32"/>
          <w:szCs w:val="32"/>
        </w:rPr>
        <w:t>10</w:t>
      </w:r>
      <w:r>
        <w:rPr>
          <w:rFonts w:hint="eastAsia" w:ascii="Times New Roman" w:hAnsi="Times New Roman" w:eastAsia="仿宋_GB2312" w:cs="Times New Roman"/>
          <w:sz w:val="32"/>
          <w:szCs w:val="32"/>
        </w:rPr>
        <w:t>千伏电网最大公用负荷为</w:t>
      </w:r>
      <w:r>
        <w:rPr>
          <w:rFonts w:hint="default" w:ascii="Times New Roman" w:hAnsi="Times New Roman" w:eastAsia="仿宋_GB2312" w:cs="Times New Roman"/>
          <w:sz w:val="32"/>
          <w:szCs w:val="32"/>
        </w:rPr>
        <w:t>2.52</w:t>
      </w:r>
      <w:r>
        <w:rPr>
          <w:rFonts w:hint="eastAsia" w:ascii="Times New Roman" w:hAnsi="Times New Roman" w:eastAsia="仿宋_GB2312" w:cs="Times New Roman"/>
          <w:sz w:val="32"/>
          <w:szCs w:val="32"/>
        </w:rPr>
        <w:t>万千瓦，线路最大负载率为</w:t>
      </w:r>
      <w:r>
        <w:rPr>
          <w:rFonts w:hint="default" w:ascii="Times New Roman" w:hAnsi="Times New Roman" w:eastAsia="仿宋_GB2312" w:cs="Times New Roman"/>
          <w:sz w:val="32"/>
          <w:szCs w:val="32"/>
        </w:rPr>
        <w:t>53.4%</w:t>
      </w:r>
      <w:r>
        <w:rPr>
          <w:rFonts w:hint="eastAsia" w:ascii="Times New Roman" w:hAnsi="Times New Roman" w:eastAsia="仿宋_GB2312" w:cs="Times New Roman"/>
          <w:sz w:val="32"/>
          <w:szCs w:val="32"/>
        </w:rPr>
        <w:t>，能够通过“</w:t>
      </w:r>
      <w:r>
        <w:rPr>
          <w:rFonts w:hint="default" w:ascii="Times New Roman" w:hAnsi="Times New Roman" w:eastAsia="仿宋_GB2312" w:cs="Times New Roman"/>
          <w:sz w:val="32"/>
          <w:szCs w:val="32"/>
        </w:rPr>
        <w:t>N-1</w:t>
      </w:r>
      <w:r>
        <w:rPr>
          <w:rFonts w:hint="eastAsia" w:ascii="Times New Roman" w:hAnsi="Times New Roman" w:eastAsia="仿宋_GB2312" w:cs="Times New Roman"/>
          <w:sz w:val="32"/>
          <w:szCs w:val="32"/>
        </w:rPr>
        <w:t>”校验。</w:t>
      </w:r>
    </w:p>
    <w:p>
      <w:pPr>
        <w:pStyle w:val="9"/>
        <w:keepNext w:val="0"/>
        <w:keepLines w:val="0"/>
        <w:pageBreakBefore w:val="0"/>
        <w:widowControl w:val="0"/>
        <w:kinsoku/>
        <w:wordWrap/>
        <w:overflowPunct/>
        <w:topLinePunct w:val="0"/>
        <w:autoSpaceDE/>
        <w:autoSpaceDN/>
        <w:bidi w:val="0"/>
        <w:spacing w:line="579"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试点区域增量配电网</w:t>
      </w:r>
      <w:r>
        <w:rPr>
          <w:rFonts w:hint="default" w:ascii="Times New Roman" w:hAnsi="Times New Roman" w:eastAsia="仿宋_GB2312" w:cs="Times New Roman"/>
          <w:sz w:val="32"/>
          <w:szCs w:val="32"/>
        </w:rPr>
        <w:t>10</w:t>
      </w:r>
      <w:r>
        <w:rPr>
          <w:rFonts w:hint="eastAsia" w:ascii="Times New Roman" w:hAnsi="Times New Roman" w:eastAsia="仿宋_GB2312" w:cs="Times New Roman"/>
          <w:sz w:val="32"/>
          <w:szCs w:val="32"/>
        </w:rPr>
        <w:t>千伏电网指标见表</w:t>
      </w:r>
      <w:r>
        <w:rPr>
          <w:rFonts w:hint="default" w:ascii="Times New Roman" w:hAnsi="Times New Roman" w:eastAsia="仿宋_GB2312" w:cs="Times New Roman"/>
          <w:sz w:val="32"/>
          <w:szCs w:val="32"/>
        </w:rPr>
        <w:t>6-5</w:t>
      </w:r>
      <w:r>
        <w:rPr>
          <w:rFonts w:hint="eastAsia" w:ascii="Times New Roman" w:hAnsi="Times New Roman" w:eastAsia="仿宋_GB2312" w:cs="Times New Roman"/>
          <w:sz w:val="32"/>
          <w:szCs w:val="32"/>
        </w:rPr>
        <w:t>，相关指标满足目标要求。</w:t>
      </w:r>
    </w:p>
    <w:p>
      <w:pPr>
        <w:keepNext w:val="0"/>
        <w:keepLines w:val="0"/>
        <w:pageBreakBefore w:val="0"/>
        <w:widowControl w:val="0"/>
        <w:kinsoku/>
        <w:wordWrap/>
        <w:overflowPunct/>
        <w:topLinePunct w:val="0"/>
        <w:bidi w:val="0"/>
        <w:snapToGrid w:val="0"/>
        <w:spacing w:line="579" w:lineRule="exact"/>
        <w:jc w:val="center"/>
        <w:textAlignment w:val="auto"/>
        <w:rPr>
          <w:rFonts w:ascii="仿宋_GB2312" w:hAnsi="宋体" w:eastAsia="仿宋_GB2312"/>
          <w:sz w:val="28"/>
          <w:szCs w:val="28"/>
        </w:rPr>
      </w:pPr>
      <w:r>
        <w:rPr>
          <w:rFonts w:hint="eastAsia" w:ascii="仿宋_GB2312" w:hAnsi="宋体" w:eastAsia="仿宋_GB2312"/>
          <w:sz w:val="28"/>
          <w:szCs w:val="28"/>
        </w:rPr>
        <w:t>表</w:t>
      </w:r>
      <w:r>
        <w:rPr>
          <w:rFonts w:ascii="仿宋_GB2312" w:hAnsi="宋体" w:eastAsia="仿宋_GB2312"/>
          <w:sz w:val="28"/>
          <w:szCs w:val="28"/>
        </w:rPr>
        <w:t>6</w:t>
      </w:r>
      <w:r>
        <w:rPr>
          <w:rFonts w:hint="eastAsia" w:ascii="仿宋_GB2312" w:hAnsi="宋体" w:eastAsia="仿宋_GB2312"/>
          <w:sz w:val="28"/>
          <w:szCs w:val="28"/>
        </w:rPr>
        <w:t>-</w:t>
      </w:r>
      <w:r>
        <w:rPr>
          <w:rFonts w:ascii="仿宋_GB2312" w:hAnsi="宋体" w:eastAsia="仿宋_GB2312"/>
          <w:sz w:val="28"/>
          <w:szCs w:val="28"/>
        </w:rPr>
        <w:t xml:space="preserve">5  </w:t>
      </w:r>
      <w:r>
        <w:rPr>
          <w:rFonts w:hint="eastAsia" w:ascii="仿宋_GB2312" w:hAnsi="宋体" w:eastAsia="仿宋_GB2312"/>
          <w:sz w:val="28"/>
          <w:szCs w:val="28"/>
        </w:rPr>
        <w:t>试点区域增量配电网1</w:t>
      </w:r>
      <w:r>
        <w:rPr>
          <w:rFonts w:ascii="仿宋_GB2312" w:hAnsi="宋体" w:eastAsia="仿宋_GB2312"/>
          <w:sz w:val="28"/>
          <w:szCs w:val="28"/>
        </w:rPr>
        <w:t>0</w:t>
      </w:r>
      <w:r>
        <w:rPr>
          <w:rFonts w:hint="eastAsia" w:ascii="仿宋_GB2312" w:hAnsi="宋体" w:eastAsia="仿宋_GB2312"/>
          <w:sz w:val="28"/>
          <w:szCs w:val="28"/>
        </w:rPr>
        <w:t>千伏</w:t>
      </w:r>
      <w:r>
        <w:rPr>
          <w:rFonts w:ascii="仿宋_GB2312" w:hAnsi="宋体" w:eastAsia="仿宋_GB2312"/>
          <w:sz w:val="28"/>
          <w:szCs w:val="28"/>
        </w:rPr>
        <w:t>电网指标</w:t>
      </w:r>
    </w:p>
    <w:tbl>
      <w:tblPr>
        <w:tblStyle w:val="23"/>
        <w:tblW w:w="870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124"/>
        <w:gridCol w:w="2540"/>
        <w:gridCol w:w="2018"/>
        <w:gridCol w:w="20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blHeader/>
        </w:trPr>
        <w:tc>
          <w:tcPr>
            <w:tcW w:w="4664" w:type="dxa"/>
            <w:gridSpan w:val="2"/>
            <w:noWrap/>
            <w:tcMar>
              <w:top w:w="15" w:type="dxa"/>
              <w:left w:w="15" w:type="dxa"/>
              <w:bottom w:w="0" w:type="dxa"/>
              <w:right w:w="15" w:type="dxa"/>
            </w:tcMar>
            <w:vAlign w:val="center"/>
          </w:tcPr>
          <w:p>
            <w:pPr>
              <w:widowControl/>
              <w:jc w:val="center"/>
              <w:rPr>
                <w:rFonts w:ascii="宋体" w:hAnsi="宋体" w:eastAsia="宋体"/>
                <w:sz w:val="20"/>
                <w:szCs w:val="20"/>
              </w:rPr>
            </w:pPr>
            <w:r>
              <w:rPr>
                <w:rFonts w:hint="eastAsia" w:ascii="宋体" w:hAnsi="宋体" w:eastAsia="宋体"/>
                <w:sz w:val="20"/>
                <w:szCs w:val="20"/>
              </w:rPr>
              <w:t>项目</w:t>
            </w:r>
          </w:p>
        </w:tc>
        <w:tc>
          <w:tcPr>
            <w:tcW w:w="2018" w:type="dxa"/>
            <w:noWrap/>
            <w:tcMar>
              <w:top w:w="15" w:type="dxa"/>
              <w:left w:w="15" w:type="dxa"/>
              <w:bottom w:w="0" w:type="dxa"/>
              <w:right w:w="15" w:type="dxa"/>
            </w:tcMar>
            <w:vAlign w:val="center"/>
          </w:tcPr>
          <w:p>
            <w:pPr>
              <w:jc w:val="center"/>
              <w:rPr>
                <w:rFonts w:ascii="宋体" w:hAnsi="宋体" w:eastAsia="宋体"/>
                <w:sz w:val="20"/>
                <w:szCs w:val="20"/>
              </w:rPr>
            </w:pPr>
            <w:r>
              <w:rPr>
                <w:rFonts w:hint="eastAsia" w:ascii="宋体" w:hAnsi="宋体" w:eastAsia="宋体"/>
                <w:sz w:val="20"/>
                <w:szCs w:val="20"/>
              </w:rPr>
              <w:t>2020年指标</w:t>
            </w:r>
          </w:p>
        </w:tc>
        <w:tc>
          <w:tcPr>
            <w:tcW w:w="2018" w:type="dxa"/>
            <w:tcMar>
              <w:top w:w="15" w:type="dxa"/>
              <w:left w:w="15" w:type="dxa"/>
              <w:bottom w:w="0" w:type="dxa"/>
              <w:right w:w="15" w:type="dxa"/>
            </w:tcMar>
            <w:vAlign w:val="center"/>
          </w:tcPr>
          <w:p>
            <w:pPr>
              <w:jc w:val="center"/>
              <w:rPr>
                <w:rFonts w:ascii="宋体" w:hAnsi="宋体" w:eastAsia="宋体"/>
                <w:sz w:val="20"/>
                <w:szCs w:val="20"/>
              </w:rPr>
            </w:pPr>
            <w:r>
              <w:rPr>
                <w:rFonts w:hint="eastAsia" w:ascii="宋体" w:hAnsi="宋体" w:eastAsia="宋体"/>
                <w:sz w:val="20"/>
                <w:szCs w:val="20"/>
              </w:rPr>
              <w:t>2025年指标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4664" w:type="dxa"/>
            <w:gridSpan w:val="2"/>
            <w:noWrap/>
            <w:tcMar>
              <w:top w:w="15" w:type="dxa"/>
              <w:left w:w="15" w:type="dxa"/>
              <w:bottom w:w="0" w:type="dxa"/>
              <w:right w:w="15" w:type="dxa"/>
            </w:tcMar>
            <w:vAlign w:val="center"/>
          </w:tcPr>
          <w:p>
            <w:pPr>
              <w:widowControl/>
              <w:jc w:val="center"/>
              <w:rPr>
                <w:rFonts w:ascii="宋体" w:hAnsi="宋体" w:eastAsia="宋体"/>
                <w:sz w:val="20"/>
                <w:szCs w:val="20"/>
              </w:rPr>
            </w:pPr>
            <w:r>
              <w:rPr>
                <w:rFonts w:hint="eastAsia" w:ascii="宋体" w:hAnsi="宋体" w:eastAsia="宋体"/>
                <w:sz w:val="20"/>
                <w:szCs w:val="20"/>
              </w:rPr>
              <w:t>中压线路数量</w:t>
            </w:r>
          </w:p>
        </w:tc>
        <w:tc>
          <w:tcPr>
            <w:tcW w:w="2018" w:type="dxa"/>
            <w:noWrap/>
            <w:tcMar>
              <w:top w:w="15" w:type="dxa"/>
              <w:left w:w="15" w:type="dxa"/>
              <w:bottom w:w="0" w:type="dxa"/>
              <w:right w:w="15" w:type="dxa"/>
            </w:tcMar>
            <w:vAlign w:val="center"/>
          </w:tcPr>
          <w:p>
            <w:pPr>
              <w:widowControl/>
              <w:jc w:val="center"/>
              <w:rPr>
                <w:rFonts w:ascii="宋体" w:hAnsi="宋体" w:eastAsia="宋体"/>
                <w:color w:val="000000"/>
                <w:sz w:val="20"/>
                <w:szCs w:val="20"/>
              </w:rPr>
            </w:pPr>
            <w:r>
              <w:rPr>
                <w:rFonts w:ascii="宋体" w:hAnsi="宋体" w:eastAsia="宋体"/>
                <w:color w:val="000000"/>
                <w:sz w:val="20"/>
                <w:szCs w:val="20"/>
              </w:rPr>
              <w:t>9</w:t>
            </w:r>
          </w:p>
        </w:tc>
        <w:tc>
          <w:tcPr>
            <w:tcW w:w="2018" w:type="dxa"/>
            <w:tcMar>
              <w:top w:w="15" w:type="dxa"/>
              <w:left w:w="15" w:type="dxa"/>
              <w:bottom w:w="0" w:type="dxa"/>
              <w:right w:w="15" w:type="dxa"/>
            </w:tcMar>
            <w:vAlign w:val="center"/>
          </w:tcPr>
          <w:p>
            <w:pPr>
              <w:widowControl/>
              <w:jc w:val="center"/>
              <w:rPr>
                <w:rFonts w:ascii="宋体" w:hAnsi="宋体" w:eastAsia="宋体"/>
                <w:color w:val="000000"/>
                <w:sz w:val="20"/>
                <w:szCs w:val="20"/>
              </w:rPr>
            </w:pPr>
            <w:r>
              <w:rPr>
                <w:rFonts w:ascii="宋体" w:hAnsi="宋体" w:eastAsia="宋体"/>
                <w:color w:val="000000"/>
                <w:sz w:val="20"/>
                <w:szCs w:val="20"/>
              </w:rPr>
              <w:t>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2124" w:type="dxa"/>
            <w:vMerge w:val="restart"/>
            <w:noWrap/>
            <w:tcMar>
              <w:top w:w="15" w:type="dxa"/>
              <w:left w:w="15" w:type="dxa"/>
              <w:bottom w:w="0" w:type="dxa"/>
              <w:right w:w="15" w:type="dxa"/>
            </w:tcMar>
            <w:vAlign w:val="center"/>
          </w:tcPr>
          <w:p>
            <w:pPr>
              <w:widowControl/>
              <w:jc w:val="center"/>
              <w:rPr>
                <w:rFonts w:ascii="宋体" w:hAnsi="宋体" w:eastAsia="宋体"/>
                <w:sz w:val="20"/>
                <w:szCs w:val="20"/>
              </w:rPr>
            </w:pPr>
            <w:r>
              <w:rPr>
                <w:rFonts w:hint="eastAsia" w:ascii="宋体" w:hAnsi="宋体" w:eastAsia="宋体"/>
                <w:sz w:val="20"/>
                <w:szCs w:val="20"/>
              </w:rPr>
              <w:t>中压线路主干长度</w:t>
            </w:r>
          </w:p>
        </w:tc>
        <w:tc>
          <w:tcPr>
            <w:tcW w:w="2540" w:type="dxa"/>
            <w:noWrap/>
            <w:tcMar>
              <w:top w:w="15" w:type="dxa"/>
              <w:left w:w="15" w:type="dxa"/>
              <w:bottom w:w="0" w:type="dxa"/>
              <w:right w:w="15" w:type="dxa"/>
            </w:tcMar>
            <w:vAlign w:val="center"/>
          </w:tcPr>
          <w:p>
            <w:pPr>
              <w:widowControl/>
              <w:jc w:val="center"/>
              <w:rPr>
                <w:rFonts w:ascii="宋体" w:hAnsi="宋体" w:eastAsia="宋体"/>
                <w:sz w:val="20"/>
                <w:szCs w:val="20"/>
              </w:rPr>
            </w:pPr>
            <w:r>
              <w:rPr>
                <w:rFonts w:hint="eastAsia" w:ascii="宋体" w:hAnsi="宋体" w:eastAsia="宋体"/>
                <w:sz w:val="20"/>
                <w:szCs w:val="20"/>
              </w:rPr>
              <w:t>绝缘线（公里）</w:t>
            </w:r>
          </w:p>
        </w:tc>
        <w:tc>
          <w:tcPr>
            <w:tcW w:w="2018" w:type="dxa"/>
            <w:noWrap/>
            <w:tcMar>
              <w:top w:w="15" w:type="dxa"/>
              <w:left w:w="15" w:type="dxa"/>
              <w:bottom w:w="0" w:type="dxa"/>
              <w:right w:w="15" w:type="dxa"/>
            </w:tcMar>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w:t>
            </w:r>
          </w:p>
        </w:tc>
        <w:tc>
          <w:tcPr>
            <w:tcW w:w="2018" w:type="dxa"/>
            <w:tcMar>
              <w:top w:w="15" w:type="dxa"/>
              <w:left w:w="15" w:type="dxa"/>
              <w:bottom w:w="0" w:type="dxa"/>
              <w:right w:w="15" w:type="dxa"/>
            </w:tcMar>
            <w:vAlign w:val="center"/>
          </w:tcPr>
          <w:p>
            <w:pPr>
              <w:widowControl/>
              <w:jc w:val="center"/>
              <w:rPr>
                <w:rFonts w:ascii="宋体" w:hAnsi="宋体" w:eastAsia="宋体"/>
                <w:color w:val="000000"/>
                <w:sz w:val="20"/>
                <w:szCs w:val="20"/>
              </w:rPr>
            </w:pPr>
            <w:r>
              <w:rPr>
                <w:rFonts w:hint="eastAsia" w:ascii="宋体" w:hAnsi="宋体" w:eastAsia="宋体"/>
                <w:color w:val="000000"/>
                <w:sz w:val="20"/>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2124" w:type="dxa"/>
            <w:vMerge w:val="continue"/>
            <w:vAlign w:val="center"/>
          </w:tcPr>
          <w:p>
            <w:pPr>
              <w:widowControl/>
              <w:jc w:val="center"/>
              <w:rPr>
                <w:rFonts w:ascii="宋体" w:hAnsi="宋体" w:eastAsia="宋体"/>
                <w:sz w:val="20"/>
                <w:szCs w:val="20"/>
              </w:rPr>
            </w:pPr>
          </w:p>
        </w:tc>
        <w:tc>
          <w:tcPr>
            <w:tcW w:w="2540" w:type="dxa"/>
            <w:noWrap/>
            <w:tcMar>
              <w:top w:w="15" w:type="dxa"/>
              <w:left w:w="15" w:type="dxa"/>
              <w:bottom w:w="0" w:type="dxa"/>
              <w:right w:w="15" w:type="dxa"/>
            </w:tcMar>
            <w:vAlign w:val="center"/>
          </w:tcPr>
          <w:p>
            <w:pPr>
              <w:widowControl/>
              <w:jc w:val="center"/>
              <w:rPr>
                <w:rFonts w:ascii="宋体" w:hAnsi="宋体" w:eastAsia="宋体"/>
                <w:sz w:val="20"/>
                <w:szCs w:val="20"/>
              </w:rPr>
            </w:pPr>
            <w:r>
              <w:rPr>
                <w:rFonts w:hint="eastAsia" w:ascii="宋体" w:hAnsi="宋体" w:eastAsia="宋体"/>
                <w:sz w:val="20"/>
                <w:szCs w:val="20"/>
              </w:rPr>
              <w:t>裸导线（公里）</w:t>
            </w:r>
          </w:p>
        </w:tc>
        <w:tc>
          <w:tcPr>
            <w:tcW w:w="2018" w:type="dxa"/>
            <w:noWrap/>
            <w:tcMar>
              <w:top w:w="15" w:type="dxa"/>
              <w:left w:w="15" w:type="dxa"/>
              <w:bottom w:w="0" w:type="dxa"/>
              <w:right w:w="15" w:type="dxa"/>
            </w:tcMar>
            <w:vAlign w:val="center"/>
          </w:tcPr>
          <w:p>
            <w:pPr>
              <w:widowControl/>
              <w:jc w:val="center"/>
              <w:rPr>
                <w:rFonts w:ascii="宋体" w:hAnsi="宋体" w:eastAsia="宋体"/>
                <w:sz w:val="20"/>
                <w:szCs w:val="20"/>
              </w:rPr>
            </w:pPr>
            <w:r>
              <w:rPr>
                <w:rFonts w:hint="eastAsia" w:ascii="宋体" w:hAnsi="宋体" w:eastAsia="宋体"/>
                <w:sz w:val="20"/>
                <w:szCs w:val="20"/>
              </w:rPr>
              <w:t>-</w:t>
            </w:r>
          </w:p>
        </w:tc>
        <w:tc>
          <w:tcPr>
            <w:tcW w:w="2018" w:type="dxa"/>
            <w:tcMar>
              <w:top w:w="15" w:type="dxa"/>
              <w:left w:w="15" w:type="dxa"/>
              <w:bottom w:w="0" w:type="dxa"/>
              <w:right w:w="15" w:type="dxa"/>
            </w:tcMar>
            <w:vAlign w:val="center"/>
          </w:tcPr>
          <w:p>
            <w:pPr>
              <w:widowControl/>
              <w:jc w:val="center"/>
              <w:rPr>
                <w:rFonts w:ascii="宋体" w:hAnsi="宋体" w:eastAsia="宋体"/>
                <w:sz w:val="20"/>
                <w:szCs w:val="20"/>
              </w:rPr>
            </w:pPr>
            <w:r>
              <w:rPr>
                <w:rFonts w:hint="eastAsia" w:ascii="宋体" w:hAnsi="宋体" w:eastAsia="宋体"/>
                <w:sz w:val="20"/>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2124" w:type="dxa"/>
            <w:vMerge w:val="continue"/>
            <w:vAlign w:val="center"/>
          </w:tcPr>
          <w:p>
            <w:pPr>
              <w:widowControl/>
              <w:jc w:val="center"/>
              <w:rPr>
                <w:rFonts w:ascii="宋体" w:hAnsi="宋体" w:eastAsia="宋体"/>
                <w:sz w:val="20"/>
                <w:szCs w:val="20"/>
              </w:rPr>
            </w:pPr>
          </w:p>
        </w:tc>
        <w:tc>
          <w:tcPr>
            <w:tcW w:w="2540" w:type="dxa"/>
            <w:noWrap/>
            <w:tcMar>
              <w:top w:w="15" w:type="dxa"/>
              <w:left w:w="15" w:type="dxa"/>
              <w:bottom w:w="0" w:type="dxa"/>
              <w:right w:w="15" w:type="dxa"/>
            </w:tcMar>
            <w:vAlign w:val="center"/>
          </w:tcPr>
          <w:p>
            <w:pPr>
              <w:widowControl/>
              <w:jc w:val="center"/>
              <w:rPr>
                <w:rFonts w:ascii="宋体" w:hAnsi="宋体" w:eastAsia="宋体"/>
                <w:sz w:val="20"/>
                <w:szCs w:val="20"/>
              </w:rPr>
            </w:pPr>
            <w:r>
              <w:rPr>
                <w:rFonts w:hint="eastAsia" w:ascii="宋体" w:hAnsi="宋体" w:eastAsia="宋体"/>
                <w:sz w:val="20"/>
                <w:szCs w:val="20"/>
              </w:rPr>
              <w:t>电缆线路（公里）</w:t>
            </w:r>
          </w:p>
        </w:tc>
        <w:tc>
          <w:tcPr>
            <w:tcW w:w="2018" w:type="dxa"/>
            <w:noWrap/>
            <w:tcMar>
              <w:top w:w="15" w:type="dxa"/>
              <w:left w:w="15" w:type="dxa"/>
              <w:bottom w:w="0" w:type="dxa"/>
              <w:right w:w="15" w:type="dxa"/>
            </w:tcMar>
            <w:vAlign w:val="center"/>
          </w:tcPr>
          <w:p>
            <w:pPr>
              <w:widowControl/>
              <w:jc w:val="center"/>
              <w:rPr>
                <w:rFonts w:ascii="宋体" w:hAnsi="宋体" w:eastAsia="宋体"/>
                <w:sz w:val="20"/>
                <w:szCs w:val="20"/>
              </w:rPr>
            </w:pPr>
            <w:r>
              <w:rPr>
                <w:rFonts w:hint="eastAsia" w:ascii="宋体" w:hAnsi="宋体" w:eastAsia="宋体"/>
                <w:sz w:val="20"/>
                <w:szCs w:val="20"/>
              </w:rPr>
              <w:t>3.7</w:t>
            </w:r>
          </w:p>
        </w:tc>
        <w:tc>
          <w:tcPr>
            <w:tcW w:w="2018" w:type="dxa"/>
            <w:noWrap/>
            <w:tcMar>
              <w:top w:w="15" w:type="dxa"/>
              <w:left w:w="15" w:type="dxa"/>
              <w:bottom w:w="0" w:type="dxa"/>
              <w:right w:w="15" w:type="dxa"/>
            </w:tcMar>
            <w:vAlign w:val="center"/>
          </w:tcPr>
          <w:p>
            <w:pPr>
              <w:widowControl/>
              <w:jc w:val="center"/>
              <w:rPr>
                <w:rFonts w:ascii="宋体" w:hAnsi="宋体" w:eastAsia="宋体"/>
                <w:sz w:val="20"/>
                <w:szCs w:val="20"/>
              </w:rPr>
            </w:pPr>
            <w:r>
              <w:rPr>
                <w:rFonts w:hint="eastAsia" w:ascii="宋体" w:hAnsi="宋体" w:eastAsia="宋体"/>
                <w:sz w:val="20"/>
                <w:szCs w:val="20"/>
              </w:rPr>
              <w:t>15.8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2124" w:type="dxa"/>
            <w:vMerge w:val="continue"/>
            <w:vAlign w:val="center"/>
          </w:tcPr>
          <w:p>
            <w:pPr>
              <w:widowControl/>
              <w:jc w:val="center"/>
              <w:rPr>
                <w:rFonts w:ascii="宋体" w:hAnsi="宋体" w:eastAsia="宋体"/>
                <w:sz w:val="20"/>
                <w:szCs w:val="20"/>
              </w:rPr>
            </w:pPr>
          </w:p>
        </w:tc>
        <w:tc>
          <w:tcPr>
            <w:tcW w:w="2540" w:type="dxa"/>
            <w:noWrap/>
            <w:tcMar>
              <w:top w:w="15" w:type="dxa"/>
              <w:left w:w="15" w:type="dxa"/>
              <w:bottom w:w="0" w:type="dxa"/>
              <w:right w:w="15" w:type="dxa"/>
            </w:tcMar>
            <w:vAlign w:val="center"/>
          </w:tcPr>
          <w:p>
            <w:pPr>
              <w:widowControl/>
              <w:jc w:val="center"/>
              <w:rPr>
                <w:rFonts w:ascii="宋体" w:hAnsi="宋体" w:eastAsia="宋体"/>
                <w:sz w:val="20"/>
                <w:szCs w:val="20"/>
              </w:rPr>
            </w:pPr>
            <w:r>
              <w:rPr>
                <w:rFonts w:hint="eastAsia" w:ascii="宋体" w:hAnsi="宋体" w:eastAsia="宋体"/>
                <w:sz w:val="20"/>
                <w:szCs w:val="20"/>
              </w:rPr>
              <w:t>总长度（公里）</w:t>
            </w:r>
          </w:p>
        </w:tc>
        <w:tc>
          <w:tcPr>
            <w:tcW w:w="2018" w:type="dxa"/>
            <w:noWrap/>
            <w:tcMar>
              <w:top w:w="15" w:type="dxa"/>
              <w:left w:w="15" w:type="dxa"/>
              <w:bottom w:w="0" w:type="dxa"/>
              <w:right w:w="15" w:type="dxa"/>
            </w:tcMar>
            <w:vAlign w:val="center"/>
          </w:tcPr>
          <w:p>
            <w:pPr>
              <w:widowControl/>
              <w:jc w:val="center"/>
              <w:rPr>
                <w:rFonts w:ascii="宋体" w:hAnsi="宋体" w:eastAsia="宋体"/>
                <w:sz w:val="20"/>
                <w:szCs w:val="20"/>
              </w:rPr>
            </w:pPr>
            <w:r>
              <w:rPr>
                <w:rFonts w:hint="eastAsia" w:ascii="宋体" w:hAnsi="宋体" w:eastAsia="宋体"/>
                <w:sz w:val="20"/>
                <w:szCs w:val="20"/>
              </w:rPr>
              <w:t>3.7</w:t>
            </w:r>
          </w:p>
        </w:tc>
        <w:tc>
          <w:tcPr>
            <w:tcW w:w="2018" w:type="dxa"/>
            <w:tcMar>
              <w:top w:w="15" w:type="dxa"/>
              <w:left w:w="15" w:type="dxa"/>
              <w:bottom w:w="0" w:type="dxa"/>
              <w:right w:w="15" w:type="dxa"/>
            </w:tcMar>
            <w:vAlign w:val="center"/>
          </w:tcPr>
          <w:p>
            <w:pPr>
              <w:widowControl/>
              <w:jc w:val="center"/>
              <w:rPr>
                <w:rFonts w:ascii="宋体" w:hAnsi="宋体" w:eastAsia="宋体"/>
                <w:sz w:val="20"/>
                <w:szCs w:val="20"/>
              </w:rPr>
            </w:pPr>
            <w:r>
              <w:rPr>
                <w:rFonts w:hint="eastAsia" w:ascii="宋体" w:hAnsi="宋体" w:eastAsia="宋体"/>
                <w:sz w:val="20"/>
                <w:szCs w:val="20"/>
              </w:rPr>
              <w:t>15.8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2124" w:type="dxa"/>
            <w:vMerge w:val="restart"/>
            <w:noWrap/>
            <w:tcMar>
              <w:top w:w="15" w:type="dxa"/>
              <w:left w:w="15" w:type="dxa"/>
              <w:bottom w:w="0" w:type="dxa"/>
              <w:right w:w="15" w:type="dxa"/>
            </w:tcMar>
            <w:vAlign w:val="center"/>
          </w:tcPr>
          <w:p>
            <w:pPr>
              <w:widowControl/>
              <w:jc w:val="center"/>
              <w:rPr>
                <w:rFonts w:ascii="宋体" w:hAnsi="宋体" w:eastAsia="宋体"/>
                <w:sz w:val="20"/>
                <w:szCs w:val="20"/>
              </w:rPr>
            </w:pPr>
            <w:r>
              <w:rPr>
                <w:rFonts w:hint="eastAsia" w:ascii="宋体" w:hAnsi="宋体" w:eastAsia="宋体"/>
                <w:sz w:val="20"/>
                <w:szCs w:val="20"/>
              </w:rPr>
              <w:t>线路采用主要导线型号</w:t>
            </w:r>
          </w:p>
        </w:tc>
        <w:tc>
          <w:tcPr>
            <w:tcW w:w="2540" w:type="dxa"/>
            <w:noWrap/>
            <w:tcMar>
              <w:top w:w="15" w:type="dxa"/>
              <w:left w:w="15" w:type="dxa"/>
              <w:bottom w:w="0" w:type="dxa"/>
              <w:right w:w="15" w:type="dxa"/>
            </w:tcMar>
            <w:vAlign w:val="center"/>
          </w:tcPr>
          <w:p>
            <w:pPr>
              <w:widowControl/>
              <w:jc w:val="center"/>
              <w:rPr>
                <w:rFonts w:ascii="宋体" w:hAnsi="宋体" w:eastAsia="宋体"/>
                <w:sz w:val="20"/>
                <w:szCs w:val="20"/>
              </w:rPr>
            </w:pPr>
            <w:r>
              <w:rPr>
                <w:rFonts w:hint="eastAsia" w:ascii="宋体" w:hAnsi="宋体" w:eastAsia="宋体"/>
                <w:sz w:val="20"/>
                <w:szCs w:val="20"/>
              </w:rPr>
              <w:t>架空线路</w:t>
            </w:r>
          </w:p>
        </w:tc>
        <w:tc>
          <w:tcPr>
            <w:tcW w:w="2018" w:type="dxa"/>
            <w:noWrap/>
            <w:tcMar>
              <w:top w:w="15" w:type="dxa"/>
              <w:left w:w="15" w:type="dxa"/>
              <w:bottom w:w="0" w:type="dxa"/>
              <w:right w:w="15" w:type="dxa"/>
            </w:tcMar>
            <w:vAlign w:val="center"/>
          </w:tcPr>
          <w:p>
            <w:pPr>
              <w:widowControl/>
              <w:jc w:val="center"/>
              <w:rPr>
                <w:rFonts w:ascii="宋体" w:hAnsi="宋体" w:eastAsia="宋体"/>
                <w:sz w:val="20"/>
                <w:szCs w:val="20"/>
              </w:rPr>
            </w:pPr>
            <w:r>
              <w:rPr>
                <w:rFonts w:hint="eastAsia" w:ascii="宋体" w:hAnsi="宋体" w:eastAsia="宋体"/>
                <w:sz w:val="20"/>
                <w:szCs w:val="20"/>
              </w:rPr>
              <w:t>-</w:t>
            </w:r>
          </w:p>
        </w:tc>
        <w:tc>
          <w:tcPr>
            <w:tcW w:w="2018" w:type="dxa"/>
            <w:noWrap/>
            <w:tcMar>
              <w:top w:w="15" w:type="dxa"/>
              <w:left w:w="15" w:type="dxa"/>
              <w:bottom w:w="0" w:type="dxa"/>
              <w:right w:w="15" w:type="dxa"/>
            </w:tcMar>
            <w:vAlign w:val="center"/>
          </w:tcPr>
          <w:p>
            <w:pPr>
              <w:widowControl/>
              <w:jc w:val="center"/>
              <w:rPr>
                <w:rFonts w:ascii="宋体" w:hAnsi="宋体" w:eastAsia="宋体"/>
                <w:sz w:val="20"/>
                <w:szCs w:val="20"/>
              </w:rPr>
            </w:pPr>
            <w:r>
              <w:rPr>
                <w:rFonts w:hint="eastAsia" w:ascii="宋体" w:hAnsi="宋体" w:eastAsia="宋体"/>
                <w:sz w:val="20"/>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2124" w:type="dxa"/>
            <w:vMerge w:val="continue"/>
            <w:vAlign w:val="center"/>
          </w:tcPr>
          <w:p>
            <w:pPr>
              <w:widowControl/>
              <w:jc w:val="center"/>
              <w:rPr>
                <w:rFonts w:ascii="宋体" w:hAnsi="宋体" w:eastAsia="宋体"/>
                <w:sz w:val="20"/>
                <w:szCs w:val="20"/>
              </w:rPr>
            </w:pPr>
          </w:p>
        </w:tc>
        <w:tc>
          <w:tcPr>
            <w:tcW w:w="2540" w:type="dxa"/>
            <w:noWrap/>
            <w:tcMar>
              <w:top w:w="15" w:type="dxa"/>
              <w:left w:w="15" w:type="dxa"/>
              <w:bottom w:w="0" w:type="dxa"/>
              <w:right w:w="15" w:type="dxa"/>
            </w:tcMar>
            <w:vAlign w:val="center"/>
          </w:tcPr>
          <w:p>
            <w:pPr>
              <w:widowControl/>
              <w:jc w:val="center"/>
              <w:rPr>
                <w:rFonts w:ascii="宋体" w:hAnsi="宋体" w:eastAsia="宋体"/>
                <w:sz w:val="20"/>
                <w:szCs w:val="20"/>
              </w:rPr>
            </w:pPr>
            <w:r>
              <w:rPr>
                <w:rFonts w:hint="eastAsia" w:ascii="宋体" w:hAnsi="宋体" w:eastAsia="宋体"/>
                <w:sz w:val="20"/>
                <w:szCs w:val="20"/>
              </w:rPr>
              <w:t>电缆线路</w:t>
            </w:r>
          </w:p>
        </w:tc>
        <w:tc>
          <w:tcPr>
            <w:tcW w:w="2018" w:type="dxa"/>
            <w:noWrap/>
            <w:tcMar>
              <w:top w:w="15" w:type="dxa"/>
              <w:left w:w="15" w:type="dxa"/>
              <w:bottom w:w="0" w:type="dxa"/>
              <w:right w:w="15" w:type="dxa"/>
            </w:tcMar>
            <w:vAlign w:val="center"/>
          </w:tcPr>
          <w:p>
            <w:pPr>
              <w:widowControl/>
              <w:jc w:val="center"/>
              <w:rPr>
                <w:rFonts w:ascii="宋体" w:hAnsi="宋体" w:eastAsia="宋体"/>
                <w:sz w:val="20"/>
                <w:szCs w:val="20"/>
              </w:rPr>
            </w:pPr>
            <w:r>
              <w:rPr>
                <w:rFonts w:hint="eastAsia" w:ascii="宋体" w:hAnsi="宋体" w:eastAsia="宋体"/>
                <w:sz w:val="20"/>
                <w:szCs w:val="20"/>
              </w:rPr>
              <w:t>YJV22-3×300</w:t>
            </w:r>
          </w:p>
        </w:tc>
        <w:tc>
          <w:tcPr>
            <w:tcW w:w="2018" w:type="dxa"/>
            <w:noWrap/>
            <w:tcMar>
              <w:top w:w="15" w:type="dxa"/>
              <w:left w:w="15" w:type="dxa"/>
              <w:bottom w:w="0" w:type="dxa"/>
              <w:right w:w="15" w:type="dxa"/>
            </w:tcMar>
            <w:vAlign w:val="center"/>
          </w:tcPr>
          <w:p>
            <w:pPr>
              <w:widowControl/>
              <w:jc w:val="center"/>
              <w:rPr>
                <w:rFonts w:ascii="宋体" w:hAnsi="宋体" w:eastAsia="宋体"/>
                <w:sz w:val="20"/>
                <w:szCs w:val="20"/>
              </w:rPr>
            </w:pPr>
            <w:r>
              <w:rPr>
                <w:rFonts w:hint="eastAsia" w:ascii="宋体" w:hAnsi="宋体" w:eastAsia="宋体"/>
                <w:sz w:val="20"/>
                <w:szCs w:val="20"/>
              </w:rPr>
              <w:t>YJV22-3×300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4664" w:type="dxa"/>
            <w:gridSpan w:val="2"/>
            <w:noWrap/>
            <w:tcMar>
              <w:top w:w="15" w:type="dxa"/>
              <w:left w:w="15" w:type="dxa"/>
              <w:bottom w:w="0" w:type="dxa"/>
              <w:right w:w="15" w:type="dxa"/>
            </w:tcMar>
            <w:vAlign w:val="center"/>
          </w:tcPr>
          <w:p>
            <w:pPr>
              <w:widowControl/>
              <w:jc w:val="center"/>
              <w:rPr>
                <w:rFonts w:ascii="宋体" w:hAnsi="宋体" w:eastAsia="宋体"/>
                <w:sz w:val="20"/>
                <w:szCs w:val="20"/>
              </w:rPr>
            </w:pPr>
            <w:r>
              <w:rPr>
                <w:rFonts w:hint="eastAsia" w:ascii="宋体" w:hAnsi="宋体" w:eastAsia="宋体"/>
                <w:sz w:val="20"/>
                <w:szCs w:val="20"/>
              </w:rPr>
              <w:t>电缆化率（%）</w:t>
            </w:r>
          </w:p>
        </w:tc>
        <w:tc>
          <w:tcPr>
            <w:tcW w:w="2018" w:type="dxa"/>
            <w:noWrap/>
            <w:tcMar>
              <w:top w:w="15" w:type="dxa"/>
              <w:left w:w="15" w:type="dxa"/>
              <w:bottom w:w="0" w:type="dxa"/>
              <w:right w:w="15" w:type="dxa"/>
            </w:tcMar>
            <w:vAlign w:val="center"/>
          </w:tcPr>
          <w:p>
            <w:pPr>
              <w:widowControl/>
              <w:jc w:val="center"/>
              <w:rPr>
                <w:rFonts w:ascii="宋体" w:hAnsi="宋体" w:eastAsia="宋体"/>
                <w:sz w:val="20"/>
                <w:szCs w:val="20"/>
              </w:rPr>
            </w:pPr>
            <w:r>
              <w:rPr>
                <w:rFonts w:hint="eastAsia" w:ascii="宋体" w:hAnsi="宋体" w:eastAsia="宋体"/>
                <w:sz w:val="20"/>
                <w:szCs w:val="20"/>
              </w:rPr>
              <w:t>100</w:t>
            </w:r>
          </w:p>
        </w:tc>
        <w:tc>
          <w:tcPr>
            <w:tcW w:w="2018" w:type="dxa"/>
            <w:noWrap/>
            <w:tcMar>
              <w:top w:w="15" w:type="dxa"/>
              <w:left w:w="15" w:type="dxa"/>
              <w:bottom w:w="0" w:type="dxa"/>
              <w:right w:w="15" w:type="dxa"/>
            </w:tcMar>
            <w:vAlign w:val="center"/>
          </w:tcPr>
          <w:p>
            <w:pPr>
              <w:widowControl/>
              <w:jc w:val="center"/>
              <w:rPr>
                <w:rFonts w:ascii="宋体" w:hAnsi="宋体" w:eastAsia="宋体"/>
                <w:sz w:val="20"/>
                <w:szCs w:val="20"/>
              </w:rPr>
            </w:pPr>
            <w:r>
              <w:rPr>
                <w:rFonts w:hint="eastAsia" w:ascii="宋体" w:hAnsi="宋体" w:eastAsia="宋体"/>
                <w:sz w:val="20"/>
                <w:szCs w:val="20"/>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4664" w:type="dxa"/>
            <w:gridSpan w:val="2"/>
            <w:noWrap/>
            <w:tcMar>
              <w:top w:w="15" w:type="dxa"/>
              <w:left w:w="15" w:type="dxa"/>
              <w:bottom w:w="0" w:type="dxa"/>
              <w:right w:w="15" w:type="dxa"/>
            </w:tcMar>
            <w:vAlign w:val="center"/>
          </w:tcPr>
          <w:p>
            <w:pPr>
              <w:widowControl/>
              <w:jc w:val="center"/>
              <w:rPr>
                <w:rFonts w:ascii="宋体" w:hAnsi="宋体" w:eastAsia="宋体"/>
                <w:sz w:val="20"/>
                <w:szCs w:val="20"/>
              </w:rPr>
            </w:pPr>
            <w:r>
              <w:rPr>
                <w:rFonts w:hint="eastAsia" w:ascii="宋体" w:hAnsi="宋体" w:eastAsia="宋体"/>
                <w:sz w:val="20"/>
                <w:szCs w:val="20"/>
              </w:rPr>
              <w:t>架空线路绝缘化率（%）</w:t>
            </w:r>
          </w:p>
        </w:tc>
        <w:tc>
          <w:tcPr>
            <w:tcW w:w="2018" w:type="dxa"/>
            <w:noWrap/>
            <w:tcMar>
              <w:top w:w="15" w:type="dxa"/>
              <w:left w:w="15" w:type="dxa"/>
              <w:bottom w:w="0" w:type="dxa"/>
              <w:right w:w="15" w:type="dxa"/>
            </w:tcMar>
            <w:vAlign w:val="center"/>
          </w:tcPr>
          <w:p>
            <w:pPr>
              <w:widowControl/>
              <w:jc w:val="center"/>
              <w:rPr>
                <w:rFonts w:ascii="宋体" w:hAnsi="宋体" w:eastAsia="宋体"/>
                <w:sz w:val="20"/>
                <w:szCs w:val="20"/>
              </w:rPr>
            </w:pPr>
            <w:r>
              <w:rPr>
                <w:rFonts w:hint="eastAsia" w:ascii="宋体" w:hAnsi="宋体" w:eastAsia="宋体"/>
                <w:sz w:val="20"/>
                <w:szCs w:val="20"/>
              </w:rPr>
              <w:t>-</w:t>
            </w:r>
          </w:p>
        </w:tc>
        <w:tc>
          <w:tcPr>
            <w:tcW w:w="2018" w:type="dxa"/>
            <w:noWrap/>
            <w:tcMar>
              <w:top w:w="15" w:type="dxa"/>
              <w:left w:w="15" w:type="dxa"/>
              <w:bottom w:w="0" w:type="dxa"/>
              <w:right w:w="15" w:type="dxa"/>
            </w:tcMar>
            <w:vAlign w:val="center"/>
          </w:tcPr>
          <w:p>
            <w:pPr>
              <w:widowControl/>
              <w:jc w:val="center"/>
              <w:rPr>
                <w:rFonts w:ascii="宋体" w:hAnsi="宋体" w:eastAsia="宋体"/>
                <w:sz w:val="20"/>
                <w:szCs w:val="20"/>
              </w:rPr>
            </w:pPr>
            <w:r>
              <w:rPr>
                <w:rFonts w:hint="eastAsia" w:ascii="宋体" w:hAnsi="宋体" w:eastAsia="宋体"/>
                <w:sz w:val="20"/>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2124" w:type="dxa"/>
            <w:vMerge w:val="restart"/>
            <w:noWrap/>
            <w:tcMar>
              <w:top w:w="15" w:type="dxa"/>
              <w:left w:w="15" w:type="dxa"/>
              <w:bottom w:w="0" w:type="dxa"/>
              <w:right w:w="15" w:type="dxa"/>
            </w:tcMar>
            <w:vAlign w:val="center"/>
          </w:tcPr>
          <w:p>
            <w:pPr>
              <w:widowControl/>
              <w:jc w:val="center"/>
              <w:rPr>
                <w:rFonts w:ascii="宋体" w:hAnsi="宋体" w:eastAsia="宋体"/>
                <w:sz w:val="20"/>
                <w:szCs w:val="20"/>
              </w:rPr>
            </w:pPr>
            <w:r>
              <w:rPr>
                <w:rFonts w:hint="eastAsia" w:ascii="宋体" w:hAnsi="宋体" w:eastAsia="宋体"/>
                <w:sz w:val="20"/>
                <w:szCs w:val="20"/>
              </w:rPr>
              <w:t>线路装接配变总数</w:t>
            </w:r>
          </w:p>
        </w:tc>
        <w:tc>
          <w:tcPr>
            <w:tcW w:w="2540" w:type="dxa"/>
            <w:noWrap/>
            <w:tcMar>
              <w:top w:w="15" w:type="dxa"/>
              <w:left w:w="15" w:type="dxa"/>
              <w:bottom w:w="0" w:type="dxa"/>
              <w:right w:w="15" w:type="dxa"/>
            </w:tcMar>
            <w:vAlign w:val="center"/>
          </w:tcPr>
          <w:p>
            <w:pPr>
              <w:widowControl/>
              <w:jc w:val="center"/>
              <w:rPr>
                <w:rFonts w:ascii="宋体" w:hAnsi="宋体" w:eastAsia="宋体"/>
                <w:sz w:val="20"/>
                <w:szCs w:val="20"/>
              </w:rPr>
            </w:pPr>
            <w:r>
              <w:rPr>
                <w:rFonts w:hint="eastAsia" w:ascii="宋体" w:hAnsi="宋体" w:eastAsia="宋体"/>
                <w:sz w:val="20"/>
                <w:szCs w:val="20"/>
              </w:rPr>
              <w:t>台数（台）</w:t>
            </w:r>
          </w:p>
        </w:tc>
        <w:tc>
          <w:tcPr>
            <w:tcW w:w="2018" w:type="dxa"/>
            <w:noWrap/>
            <w:tcMar>
              <w:top w:w="15" w:type="dxa"/>
              <w:left w:w="15" w:type="dxa"/>
              <w:bottom w:w="0" w:type="dxa"/>
              <w:right w:w="15" w:type="dxa"/>
            </w:tcMar>
            <w:vAlign w:val="center"/>
          </w:tcPr>
          <w:p>
            <w:pPr>
              <w:widowControl/>
              <w:jc w:val="center"/>
              <w:rPr>
                <w:rFonts w:ascii="宋体" w:hAnsi="宋体" w:eastAsia="宋体"/>
                <w:sz w:val="20"/>
                <w:szCs w:val="20"/>
              </w:rPr>
            </w:pPr>
            <w:r>
              <w:rPr>
                <w:rFonts w:hint="eastAsia" w:ascii="宋体" w:hAnsi="宋体" w:eastAsia="宋体"/>
                <w:sz w:val="20"/>
                <w:szCs w:val="20"/>
              </w:rPr>
              <w:t>36</w:t>
            </w:r>
          </w:p>
        </w:tc>
        <w:tc>
          <w:tcPr>
            <w:tcW w:w="2018" w:type="dxa"/>
            <w:tcMar>
              <w:top w:w="15" w:type="dxa"/>
              <w:left w:w="15" w:type="dxa"/>
              <w:bottom w:w="0" w:type="dxa"/>
              <w:right w:w="15" w:type="dxa"/>
            </w:tcMar>
            <w:vAlign w:val="center"/>
          </w:tcPr>
          <w:p>
            <w:pPr>
              <w:widowControl/>
              <w:jc w:val="center"/>
              <w:rPr>
                <w:rFonts w:ascii="宋体" w:hAnsi="宋体" w:eastAsia="宋体"/>
                <w:sz w:val="20"/>
                <w:szCs w:val="20"/>
              </w:rPr>
            </w:pPr>
            <w:r>
              <w:rPr>
                <w:rFonts w:hint="eastAsia" w:ascii="宋体" w:hAnsi="宋体" w:eastAsia="宋体"/>
                <w:sz w:val="20"/>
                <w:szCs w:val="20"/>
              </w:rPr>
              <w:t>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2124" w:type="dxa"/>
            <w:vMerge w:val="continue"/>
            <w:vAlign w:val="center"/>
          </w:tcPr>
          <w:p>
            <w:pPr>
              <w:widowControl/>
              <w:jc w:val="center"/>
              <w:rPr>
                <w:rFonts w:ascii="宋体" w:hAnsi="宋体" w:eastAsia="宋体"/>
                <w:sz w:val="20"/>
                <w:szCs w:val="20"/>
              </w:rPr>
            </w:pPr>
          </w:p>
        </w:tc>
        <w:tc>
          <w:tcPr>
            <w:tcW w:w="2540" w:type="dxa"/>
            <w:noWrap/>
            <w:tcMar>
              <w:top w:w="15" w:type="dxa"/>
              <w:left w:w="15" w:type="dxa"/>
              <w:bottom w:w="0" w:type="dxa"/>
              <w:right w:w="15" w:type="dxa"/>
            </w:tcMar>
            <w:vAlign w:val="center"/>
          </w:tcPr>
          <w:p>
            <w:pPr>
              <w:widowControl/>
              <w:jc w:val="center"/>
              <w:rPr>
                <w:rFonts w:ascii="宋体" w:hAnsi="宋体" w:eastAsia="宋体"/>
                <w:sz w:val="20"/>
                <w:szCs w:val="20"/>
              </w:rPr>
            </w:pPr>
            <w:r>
              <w:rPr>
                <w:rFonts w:hint="eastAsia" w:ascii="宋体" w:hAnsi="宋体" w:eastAsia="宋体"/>
                <w:sz w:val="20"/>
                <w:szCs w:val="20"/>
              </w:rPr>
              <w:t>其中：区内台数（台）</w:t>
            </w:r>
          </w:p>
        </w:tc>
        <w:tc>
          <w:tcPr>
            <w:tcW w:w="2018" w:type="dxa"/>
            <w:noWrap/>
            <w:tcMar>
              <w:top w:w="15" w:type="dxa"/>
              <w:left w:w="15" w:type="dxa"/>
              <w:bottom w:w="0" w:type="dxa"/>
              <w:right w:w="15" w:type="dxa"/>
            </w:tcMar>
            <w:vAlign w:val="center"/>
          </w:tcPr>
          <w:p>
            <w:pPr>
              <w:widowControl/>
              <w:jc w:val="center"/>
              <w:rPr>
                <w:rFonts w:ascii="宋体" w:hAnsi="宋体" w:eastAsia="宋体"/>
                <w:sz w:val="20"/>
                <w:szCs w:val="20"/>
              </w:rPr>
            </w:pPr>
            <w:r>
              <w:rPr>
                <w:rFonts w:hint="eastAsia" w:ascii="宋体" w:hAnsi="宋体" w:eastAsia="宋体"/>
                <w:sz w:val="20"/>
                <w:szCs w:val="20"/>
              </w:rPr>
              <w:t>36</w:t>
            </w:r>
          </w:p>
        </w:tc>
        <w:tc>
          <w:tcPr>
            <w:tcW w:w="2018" w:type="dxa"/>
            <w:tcMar>
              <w:top w:w="15" w:type="dxa"/>
              <w:left w:w="15" w:type="dxa"/>
              <w:bottom w:w="0" w:type="dxa"/>
              <w:right w:w="15" w:type="dxa"/>
            </w:tcMar>
            <w:vAlign w:val="center"/>
          </w:tcPr>
          <w:p>
            <w:pPr>
              <w:widowControl/>
              <w:jc w:val="center"/>
              <w:rPr>
                <w:rFonts w:ascii="宋体" w:hAnsi="宋体" w:eastAsia="宋体"/>
                <w:sz w:val="20"/>
                <w:szCs w:val="20"/>
              </w:rPr>
            </w:pPr>
            <w:r>
              <w:rPr>
                <w:rFonts w:hint="eastAsia" w:ascii="宋体" w:hAnsi="宋体" w:eastAsia="宋体"/>
                <w:sz w:val="20"/>
                <w:szCs w:val="20"/>
              </w:rPr>
              <w:t>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2124" w:type="dxa"/>
            <w:vMerge w:val="continue"/>
            <w:vAlign w:val="center"/>
          </w:tcPr>
          <w:p>
            <w:pPr>
              <w:widowControl/>
              <w:jc w:val="center"/>
              <w:rPr>
                <w:rFonts w:ascii="宋体" w:hAnsi="宋体" w:eastAsia="宋体"/>
                <w:sz w:val="20"/>
                <w:szCs w:val="20"/>
              </w:rPr>
            </w:pPr>
          </w:p>
        </w:tc>
        <w:tc>
          <w:tcPr>
            <w:tcW w:w="2540" w:type="dxa"/>
            <w:noWrap/>
            <w:tcMar>
              <w:top w:w="15" w:type="dxa"/>
              <w:left w:w="15" w:type="dxa"/>
              <w:bottom w:w="0" w:type="dxa"/>
              <w:right w:w="15" w:type="dxa"/>
            </w:tcMar>
            <w:vAlign w:val="center"/>
          </w:tcPr>
          <w:p>
            <w:pPr>
              <w:widowControl/>
              <w:jc w:val="center"/>
              <w:rPr>
                <w:rFonts w:ascii="宋体" w:hAnsi="宋体" w:eastAsia="宋体"/>
                <w:sz w:val="20"/>
                <w:szCs w:val="20"/>
              </w:rPr>
            </w:pPr>
            <w:r>
              <w:rPr>
                <w:rFonts w:hint="eastAsia" w:ascii="宋体" w:hAnsi="宋体" w:eastAsia="宋体"/>
                <w:sz w:val="20"/>
                <w:szCs w:val="20"/>
              </w:rPr>
              <w:t>容量（kVA）</w:t>
            </w:r>
          </w:p>
        </w:tc>
        <w:tc>
          <w:tcPr>
            <w:tcW w:w="2018" w:type="dxa"/>
            <w:noWrap/>
            <w:tcMar>
              <w:top w:w="15" w:type="dxa"/>
              <w:left w:w="15" w:type="dxa"/>
              <w:bottom w:w="0" w:type="dxa"/>
              <w:right w:w="15" w:type="dxa"/>
            </w:tcMar>
            <w:vAlign w:val="center"/>
          </w:tcPr>
          <w:p>
            <w:pPr>
              <w:widowControl/>
              <w:jc w:val="center"/>
              <w:rPr>
                <w:rFonts w:ascii="宋体" w:hAnsi="宋体" w:eastAsia="宋体"/>
                <w:sz w:val="20"/>
                <w:szCs w:val="20"/>
              </w:rPr>
            </w:pPr>
            <w:r>
              <w:rPr>
                <w:rFonts w:hint="eastAsia" w:ascii="宋体" w:hAnsi="宋体" w:eastAsia="宋体"/>
                <w:sz w:val="20"/>
                <w:szCs w:val="20"/>
              </w:rPr>
              <w:t>15900</w:t>
            </w:r>
          </w:p>
        </w:tc>
        <w:tc>
          <w:tcPr>
            <w:tcW w:w="2018" w:type="dxa"/>
            <w:tcMar>
              <w:top w:w="15" w:type="dxa"/>
              <w:left w:w="15" w:type="dxa"/>
              <w:bottom w:w="0" w:type="dxa"/>
              <w:right w:w="15" w:type="dxa"/>
            </w:tcMar>
            <w:vAlign w:val="center"/>
          </w:tcPr>
          <w:p>
            <w:pPr>
              <w:widowControl/>
              <w:jc w:val="center"/>
              <w:rPr>
                <w:rFonts w:ascii="宋体" w:hAnsi="宋体" w:eastAsia="宋体"/>
                <w:sz w:val="20"/>
                <w:szCs w:val="20"/>
              </w:rPr>
            </w:pPr>
            <w:r>
              <w:rPr>
                <w:rFonts w:hint="eastAsia" w:ascii="宋体" w:hAnsi="宋体" w:eastAsia="宋体"/>
                <w:sz w:val="20"/>
                <w:szCs w:val="20"/>
              </w:rPr>
              <w:t>39420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2124" w:type="dxa"/>
            <w:vMerge w:val="continue"/>
            <w:vAlign w:val="center"/>
          </w:tcPr>
          <w:p>
            <w:pPr>
              <w:widowControl/>
              <w:jc w:val="center"/>
              <w:rPr>
                <w:rFonts w:ascii="宋体" w:hAnsi="宋体" w:eastAsia="宋体"/>
                <w:sz w:val="20"/>
                <w:szCs w:val="20"/>
              </w:rPr>
            </w:pPr>
          </w:p>
        </w:tc>
        <w:tc>
          <w:tcPr>
            <w:tcW w:w="2540" w:type="dxa"/>
            <w:noWrap/>
            <w:tcMar>
              <w:top w:w="15" w:type="dxa"/>
              <w:left w:w="15" w:type="dxa"/>
              <w:bottom w:w="0" w:type="dxa"/>
              <w:right w:w="15" w:type="dxa"/>
            </w:tcMar>
            <w:vAlign w:val="center"/>
          </w:tcPr>
          <w:p>
            <w:pPr>
              <w:widowControl/>
              <w:jc w:val="center"/>
              <w:rPr>
                <w:rFonts w:ascii="宋体" w:hAnsi="宋体" w:eastAsia="宋体"/>
                <w:sz w:val="20"/>
                <w:szCs w:val="20"/>
              </w:rPr>
            </w:pPr>
            <w:r>
              <w:rPr>
                <w:rFonts w:hint="eastAsia" w:ascii="宋体" w:hAnsi="宋体" w:eastAsia="宋体"/>
                <w:sz w:val="20"/>
                <w:szCs w:val="20"/>
              </w:rPr>
              <w:t>其中：区内容量（kVA）</w:t>
            </w:r>
          </w:p>
        </w:tc>
        <w:tc>
          <w:tcPr>
            <w:tcW w:w="2018" w:type="dxa"/>
            <w:noWrap/>
            <w:tcMar>
              <w:top w:w="15" w:type="dxa"/>
              <w:left w:w="15" w:type="dxa"/>
              <w:bottom w:w="0" w:type="dxa"/>
              <w:right w:w="15" w:type="dxa"/>
            </w:tcMar>
            <w:vAlign w:val="center"/>
          </w:tcPr>
          <w:p>
            <w:pPr>
              <w:widowControl/>
              <w:jc w:val="center"/>
              <w:rPr>
                <w:rFonts w:ascii="宋体" w:hAnsi="宋体" w:eastAsia="宋体"/>
                <w:sz w:val="20"/>
                <w:szCs w:val="20"/>
              </w:rPr>
            </w:pPr>
            <w:r>
              <w:rPr>
                <w:rFonts w:hint="eastAsia" w:ascii="宋体" w:hAnsi="宋体" w:eastAsia="宋体"/>
                <w:sz w:val="20"/>
                <w:szCs w:val="20"/>
              </w:rPr>
              <w:t>15900</w:t>
            </w:r>
          </w:p>
        </w:tc>
        <w:tc>
          <w:tcPr>
            <w:tcW w:w="2018" w:type="dxa"/>
            <w:tcMar>
              <w:top w:w="15" w:type="dxa"/>
              <w:left w:w="15" w:type="dxa"/>
              <w:bottom w:w="0" w:type="dxa"/>
              <w:right w:w="15" w:type="dxa"/>
            </w:tcMar>
            <w:vAlign w:val="center"/>
          </w:tcPr>
          <w:p>
            <w:pPr>
              <w:widowControl/>
              <w:jc w:val="center"/>
              <w:rPr>
                <w:rFonts w:ascii="宋体" w:hAnsi="宋体" w:eastAsia="宋体"/>
                <w:sz w:val="20"/>
                <w:szCs w:val="20"/>
              </w:rPr>
            </w:pPr>
            <w:r>
              <w:rPr>
                <w:rFonts w:hint="eastAsia" w:ascii="宋体" w:hAnsi="宋体" w:eastAsia="宋体"/>
                <w:sz w:val="20"/>
                <w:szCs w:val="20"/>
              </w:rPr>
              <w:t>39420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2124" w:type="dxa"/>
            <w:vMerge w:val="restart"/>
            <w:noWrap/>
            <w:tcMar>
              <w:top w:w="15" w:type="dxa"/>
              <w:left w:w="15" w:type="dxa"/>
              <w:bottom w:w="0" w:type="dxa"/>
              <w:right w:w="15" w:type="dxa"/>
            </w:tcMar>
            <w:vAlign w:val="center"/>
          </w:tcPr>
          <w:p>
            <w:pPr>
              <w:widowControl/>
              <w:jc w:val="center"/>
              <w:rPr>
                <w:rFonts w:ascii="宋体" w:hAnsi="宋体" w:eastAsia="宋体"/>
                <w:sz w:val="20"/>
                <w:szCs w:val="20"/>
              </w:rPr>
            </w:pPr>
            <w:r>
              <w:rPr>
                <w:rFonts w:hint="eastAsia" w:ascii="宋体" w:hAnsi="宋体" w:eastAsia="宋体"/>
                <w:sz w:val="20"/>
                <w:szCs w:val="20"/>
              </w:rPr>
              <w:t>线路平均装接配变数</w:t>
            </w:r>
          </w:p>
        </w:tc>
        <w:tc>
          <w:tcPr>
            <w:tcW w:w="2540" w:type="dxa"/>
            <w:noWrap/>
            <w:tcMar>
              <w:top w:w="15" w:type="dxa"/>
              <w:left w:w="15" w:type="dxa"/>
              <w:bottom w:w="0" w:type="dxa"/>
              <w:right w:w="15" w:type="dxa"/>
            </w:tcMar>
            <w:vAlign w:val="center"/>
          </w:tcPr>
          <w:p>
            <w:pPr>
              <w:widowControl/>
              <w:jc w:val="center"/>
              <w:rPr>
                <w:rFonts w:ascii="宋体" w:hAnsi="宋体" w:eastAsia="宋体"/>
                <w:sz w:val="20"/>
                <w:szCs w:val="20"/>
              </w:rPr>
            </w:pPr>
            <w:r>
              <w:rPr>
                <w:rFonts w:hint="eastAsia" w:ascii="宋体" w:hAnsi="宋体" w:eastAsia="宋体"/>
                <w:sz w:val="20"/>
                <w:szCs w:val="20"/>
              </w:rPr>
              <w:t>台数（台/线路）</w:t>
            </w:r>
          </w:p>
        </w:tc>
        <w:tc>
          <w:tcPr>
            <w:tcW w:w="2018" w:type="dxa"/>
            <w:noWrap/>
            <w:tcMar>
              <w:top w:w="15" w:type="dxa"/>
              <w:left w:w="15" w:type="dxa"/>
              <w:bottom w:w="0" w:type="dxa"/>
              <w:right w:w="15" w:type="dxa"/>
            </w:tcMar>
            <w:vAlign w:val="center"/>
          </w:tcPr>
          <w:p>
            <w:pPr>
              <w:widowControl/>
              <w:jc w:val="center"/>
              <w:rPr>
                <w:rFonts w:ascii="宋体" w:hAnsi="宋体" w:eastAsia="宋体"/>
                <w:color w:val="000000"/>
                <w:sz w:val="20"/>
                <w:szCs w:val="20"/>
              </w:rPr>
            </w:pPr>
            <w:r>
              <w:rPr>
                <w:rFonts w:ascii="宋体" w:hAnsi="宋体" w:eastAsia="宋体"/>
                <w:color w:val="000000"/>
                <w:sz w:val="20"/>
                <w:szCs w:val="20"/>
              </w:rPr>
              <w:t>4</w:t>
            </w:r>
          </w:p>
        </w:tc>
        <w:tc>
          <w:tcPr>
            <w:tcW w:w="2018" w:type="dxa"/>
            <w:tcMar>
              <w:top w:w="15" w:type="dxa"/>
              <w:left w:w="15" w:type="dxa"/>
              <w:bottom w:w="0" w:type="dxa"/>
              <w:right w:w="15" w:type="dxa"/>
            </w:tcMar>
            <w:vAlign w:val="center"/>
          </w:tcPr>
          <w:p>
            <w:pPr>
              <w:widowControl/>
              <w:jc w:val="center"/>
              <w:rPr>
                <w:rFonts w:ascii="宋体" w:hAnsi="宋体" w:eastAsia="宋体"/>
                <w:color w:val="000000"/>
                <w:sz w:val="20"/>
                <w:szCs w:val="20"/>
              </w:rPr>
            </w:pPr>
            <w:r>
              <w:rPr>
                <w:rFonts w:ascii="宋体" w:hAnsi="宋体" w:eastAsia="宋体"/>
                <w:color w:val="000000"/>
                <w:sz w:val="20"/>
                <w:szCs w:val="20"/>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2124" w:type="dxa"/>
            <w:vMerge w:val="continue"/>
            <w:vAlign w:val="center"/>
          </w:tcPr>
          <w:p>
            <w:pPr>
              <w:widowControl/>
              <w:jc w:val="center"/>
              <w:rPr>
                <w:rFonts w:ascii="宋体" w:hAnsi="宋体" w:eastAsia="宋体"/>
                <w:sz w:val="20"/>
                <w:szCs w:val="20"/>
              </w:rPr>
            </w:pPr>
          </w:p>
        </w:tc>
        <w:tc>
          <w:tcPr>
            <w:tcW w:w="2540" w:type="dxa"/>
            <w:noWrap/>
            <w:tcMar>
              <w:top w:w="15" w:type="dxa"/>
              <w:left w:w="15" w:type="dxa"/>
              <w:bottom w:w="0" w:type="dxa"/>
              <w:right w:w="15" w:type="dxa"/>
            </w:tcMar>
            <w:vAlign w:val="center"/>
          </w:tcPr>
          <w:p>
            <w:pPr>
              <w:widowControl/>
              <w:jc w:val="center"/>
              <w:rPr>
                <w:rFonts w:ascii="宋体" w:hAnsi="宋体" w:eastAsia="宋体"/>
                <w:sz w:val="20"/>
                <w:szCs w:val="20"/>
              </w:rPr>
            </w:pPr>
            <w:r>
              <w:rPr>
                <w:rFonts w:hint="eastAsia" w:ascii="宋体" w:hAnsi="宋体" w:eastAsia="宋体"/>
                <w:sz w:val="20"/>
                <w:szCs w:val="20"/>
              </w:rPr>
              <w:t>容量（kVA/线路）</w:t>
            </w:r>
          </w:p>
        </w:tc>
        <w:tc>
          <w:tcPr>
            <w:tcW w:w="2018" w:type="dxa"/>
            <w:noWrap/>
            <w:tcMar>
              <w:top w:w="15" w:type="dxa"/>
              <w:left w:w="15" w:type="dxa"/>
              <w:bottom w:w="0" w:type="dxa"/>
              <w:right w:w="15" w:type="dxa"/>
            </w:tcMar>
            <w:vAlign w:val="center"/>
          </w:tcPr>
          <w:p>
            <w:pPr>
              <w:widowControl/>
              <w:jc w:val="center"/>
              <w:rPr>
                <w:rFonts w:ascii="宋体" w:hAnsi="宋体" w:eastAsia="宋体"/>
                <w:color w:val="000000"/>
                <w:sz w:val="20"/>
                <w:szCs w:val="20"/>
              </w:rPr>
            </w:pPr>
            <w:r>
              <w:rPr>
                <w:rFonts w:ascii="宋体" w:hAnsi="宋体" w:eastAsia="宋体"/>
                <w:color w:val="000000"/>
                <w:sz w:val="20"/>
                <w:szCs w:val="20"/>
              </w:rPr>
              <w:t>1767</w:t>
            </w:r>
          </w:p>
        </w:tc>
        <w:tc>
          <w:tcPr>
            <w:tcW w:w="2018" w:type="dxa"/>
            <w:tcMar>
              <w:top w:w="15" w:type="dxa"/>
              <w:left w:w="15" w:type="dxa"/>
              <w:bottom w:w="0" w:type="dxa"/>
              <w:right w:w="15" w:type="dxa"/>
            </w:tcMar>
            <w:vAlign w:val="center"/>
          </w:tcPr>
          <w:p>
            <w:pPr>
              <w:widowControl/>
              <w:jc w:val="center"/>
              <w:rPr>
                <w:rFonts w:ascii="宋体" w:hAnsi="宋体" w:eastAsia="宋体"/>
                <w:color w:val="000000"/>
                <w:sz w:val="20"/>
                <w:szCs w:val="20"/>
              </w:rPr>
            </w:pPr>
            <w:r>
              <w:rPr>
                <w:rFonts w:ascii="宋体" w:hAnsi="宋体" w:eastAsia="宋体"/>
                <w:color w:val="000000"/>
                <w:sz w:val="20"/>
                <w:szCs w:val="20"/>
              </w:rPr>
              <w:t>2190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4664" w:type="dxa"/>
            <w:gridSpan w:val="2"/>
            <w:noWrap/>
            <w:tcMar>
              <w:top w:w="15" w:type="dxa"/>
              <w:left w:w="15" w:type="dxa"/>
              <w:bottom w:w="0" w:type="dxa"/>
              <w:right w:w="15" w:type="dxa"/>
            </w:tcMar>
            <w:vAlign w:val="center"/>
          </w:tcPr>
          <w:p>
            <w:pPr>
              <w:widowControl/>
              <w:jc w:val="center"/>
              <w:rPr>
                <w:rFonts w:ascii="宋体" w:hAnsi="宋体" w:eastAsia="宋体"/>
                <w:sz w:val="20"/>
                <w:szCs w:val="20"/>
              </w:rPr>
            </w:pPr>
            <w:r>
              <w:rPr>
                <w:rFonts w:hint="eastAsia" w:ascii="宋体" w:hAnsi="宋体" w:eastAsia="宋体"/>
                <w:sz w:val="20"/>
                <w:szCs w:val="20"/>
              </w:rPr>
              <w:t>中压线路最大负载率（%）</w:t>
            </w:r>
          </w:p>
        </w:tc>
        <w:tc>
          <w:tcPr>
            <w:tcW w:w="2018" w:type="dxa"/>
            <w:noWrap/>
            <w:tcMar>
              <w:top w:w="15" w:type="dxa"/>
              <w:left w:w="15" w:type="dxa"/>
              <w:bottom w:w="0" w:type="dxa"/>
              <w:right w:w="15" w:type="dxa"/>
            </w:tcMar>
            <w:vAlign w:val="center"/>
          </w:tcPr>
          <w:p>
            <w:pPr>
              <w:widowControl/>
              <w:jc w:val="center"/>
              <w:rPr>
                <w:rFonts w:ascii="宋体" w:hAnsi="宋体" w:eastAsia="宋体"/>
                <w:sz w:val="20"/>
                <w:szCs w:val="20"/>
              </w:rPr>
            </w:pPr>
            <w:r>
              <w:rPr>
                <w:rFonts w:hint="eastAsia" w:ascii="宋体" w:hAnsi="宋体" w:eastAsia="宋体"/>
                <w:sz w:val="20"/>
                <w:szCs w:val="20"/>
              </w:rPr>
              <w:t>28.9</w:t>
            </w:r>
          </w:p>
        </w:tc>
        <w:tc>
          <w:tcPr>
            <w:tcW w:w="2018" w:type="dxa"/>
            <w:tcMar>
              <w:top w:w="15" w:type="dxa"/>
              <w:left w:w="15" w:type="dxa"/>
              <w:bottom w:w="0" w:type="dxa"/>
              <w:right w:w="15" w:type="dxa"/>
            </w:tcMar>
            <w:vAlign w:val="center"/>
          </w:tcPr>
          <w:p>
            <w:pPr>
              <w:widowControl/>
              <w:jc w:val="center"/>
              <w:rPr>
                <w:rFonts w:ascii="宋体" w:hAnsi="宋体" w:eastAsia="宋体"/>
                <w:sz w:val="20"/>
                <w:szCs w:val="20"/>
              </w:rPr>
            </w:pPr>
            <w:r>
              <w:rPr>
                <w:rFonts w:hint="eastAsia" w:ascii="宋体" w:hAnsi="宋体" w:eastAsia="宋体"/>
                <w:sz w:val="20"/>
                <w:szCs w:val="20"/>
              </w:rPr>
              <w:t>73.4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4664" w:type="dxa"/>
            <w:gridSpan w:val="2"/>
            <w:noWrap/>
            <w:tcMar>
              <w:top w:w="15" w:type="dxa"/>
              <w:left w:w="15" w:type="dxa"/>
              <w:bottom w:w="0" w:type="dxa"/>
              <w:right w:w="15" w:type="dxa"/>
            </w:tcMar>
            <w:vAlign w:val="center"/>
          </w:tcPr>
          <w:p>
            <w:pPr>
              <w:widowControl/>
              <w:jc w:val="center"/>
              <w:rPr>
                <w:rFonts w:ascii="宋体" w:hAnsi="宋体" w:eastAsia="宋体"/>
                <w:sz w:val="20"/>
                <w:szCs w:val="20"/>
              </w:rPr>
            </w:pPr>
            <w:r>
              <w:rPr>
                <w:rFonts w:hint="eastAsia" w:ascii="宋体" w:hAnsi="宋体" w:eastAsia="宋体"/>
                <w:sz w:val="20"/>
                <w:szCs w:val="20"/>
              </w:rPr>
              <w:t>联络率（%）</w:t>
            </w:r>
          </w:p>
        </w:tc>
        <w:tc>
          <w:tcPr>
            <w:tcW w:w="2018" w:type="dxa"/>
            <w:noWrap/>
            <w:tcMar>
              <w:top w:w="15" w:type="dxa"/>
              <w:left w:w="15" w:type="dxa"/>
              <w:bottom w:w="0" w:type="dxa"/>
              <w:right w:w="15" w:type="dxa"/>
            </w:tcMar>
            <w:vAlign w:val="center"/>
          </w:tcPr>
          <w:p>
            <w:pPr>
              <w:widowControl/>
              <w:jc w:val="center"/>
              <w:rPr>
                <w:rFonts w:ascii="宋体" w:hAnsi="宋体" w:eastAsia="宋体"/>
                <w:sz w:val="20"/>
                <w:szCs w:val="20"/>
              </w:rPr>
            </w:pPr>
            <w:r>
              <w:rPr>
                <w:rFonts w:hint="eastAsia" w:ascii="宋体" w:hAnsi="宋体" w:eastAsia="宋体"/>
                <w:sz w:val="20"/>
                <w:szCs w:val="20"/>
              </w:rPr>
              <w:t>100%</w:t>
            </w:r>
          </w:p>
        </w:tc>
        <w:tc>
          <w:tcPr>
            <w:tcW w:w="2018" w:type="dxa"/>
            <w:tcMar>
              <w:top w:w="15" w:type="dxa"/>
              <w:left w:w="15" w:type="dxa"/>
              <w:bottom w:w="0" w:type="dxa"/>
              <w:right w:w="15" w:type="dxa"/>
            </w:tcMar>
            <w:vAlign w:val="center"/>
          </w:tcPr>
          <w:p>
            <w:pPr>
              <w:widowControl/>
              <w:jc w:val="center"/>
              <w:rPr>
                <w:rFonts w:ascii="宋体" w:hAnsi="宋体" w:eastAsia="宋体"/>
                <w:sz w:val="20"/>
                <w:szCs w:val="20"/>
              </w:rPr>
            </w:pPr>
            <w:r>
              <w:rPr>
                <w:rFonts w:hint="eastAsia" w:ascii="宋体" w:hAnsi="宋体" w:eastAsia="宋体"/>
                <w:sz w:val="20"/>
                <w:szCs w:val="20"/>
              </w:rPr>
              <w:t>100%</w:t>
            </w:r>
          </w:p>
        </w:tc>
      </w:tr>
    </w:tbl>
    <w:p>
      <w:pPr>
        <w:pStyle w:val="4"/>
        <w:pageBreakBefore w:val="0"/>
        <w:widowControl w:val="0"/>
        <w:wordWrap/>
        <w:topLinePunct w:val="0"/>
        <w:bidi w:val="0"/>
        <w:spacing w:before="0" w:beforeLines="0" w:after="0" w:afterLines="0" w:line="579" w:lineRule="exact"/>
        <w:ind w:left="0" w:firstLine="640" w:firstLineChars="200"/>
        <w:textAlignment w:val="auto"/>
        <w:rPr>
          <w:rFonts w:hint="default" w:ascii="Times New Roman" w:hAnsi="Times New Roman" w:cs="Times New Roman"/>
          <w:spacing w:val="25"/>
          <w:w w:val="99"/>
        </w:rPr>
      </w:pPr>
      <w:bookmarkStart w:id="73" w:name="_Toc23169598"/>
      <w:r>
        <w:rPr>
          <w:rFonts w:hint="default" w:ascii="Times New Roman" w:hAnsi="Times New Roman" w:eastAsia="仿宋_GB2312" w:cs="Times New Roman"/>
          <w:sz w:val="32"/>
          <w:szCs w:val="32"/>
        </w:rPr>
        <w:t>2．社会效益分析</w:t>
      </w:r>
      <w:bookmarkEnd w:id="73"/>
    </w:p>
    <w:p>
      <w:pPr>
        <w:pStyle w:val="9"/>
        <w:pageBreakBefore w:val="0"/>
        <w:widowControl w:val="0"/>
        <w:wordWrap/>
        <w:topLinePunct w:val="0"/>
        <w:bidi w:val="0"/>
        <w:spacing w:line="579"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龙港彩虹智慧创业园项目列入省、市重点建设工程，集聚入驻企业近千家，主导产业定位为印刷包装和塑料制品制造业；在国家电力体制改革的大背景下，在试点区域内新建增量配电网，积极有序推进我省增量配电业务改革，供电方式符合国家最新的配售电改革政策，通过运营模式的创新，企业用户能够享受到国家改革政策释放的红利，降低企业用能成本，便于企业进行市场化的选择，享受优良的服务。</w:t>
      </w:r>
    </w:p>
    <w:p>
      <w:pPr>
        <w:pStyle w:val="9"/>
        <w:pageBreakBefore w:val="0"/>
        <w:widowControl w:val="0"/>
        <w:wordWrap/>
        <w:topLinePunct w:val="0"/>
        <w:bidi w:val="0"/>
        <w:spacing w:line="579" w:lineRule="exact"/>
        <w:ind w:left="0" w:firstLine="640" w:firstLineChars="200"/>
        <w:textAlignment w:val="auto"/>
        <w:rPr>
          <w:rFonts w:hint="default" w:ascii="Times New Roman" w:hAnsi="Times New Roman" w:eastAsia="仿宋_GB2312" w:cs="Times New Roman"/>
          <w:sz w:val="32"/>
          <w:szCs w:val="32"/>
        </w:rPr>
      </w:pPr>
    </w:p>
    <w:p>
      <w:pPr>
        <w:pStyle w:val="2"/>
        <w:pageBreakBefore w:val="0"/>
        <w:widowControl w:val="0"/>
        <w:kinsoku/>
        <w:wordWrap/>
        <w:overflowPunct/>
        <w:topLinePunct w:val="0"/>
        <w:autoSpaceDE/>
        <w:autoSpaceDN/>
        <w:bidi w:val="0"/>
        <w:spacing w:before="0" w:beforeLines="0" w:after="0" w:afterLines="0" w:line="579" w:lineRule="exact"/>
        <w:ind w:left="0" w:firstLine="640" w:firstLineChars="200"/>
        <w:textAlignment w:val="auto"/>
        <w:rPr>
          <w:rFonts w:hint="default" w:ascii="Times New Roman" w:hAnsi="Times New Roman" w:cs="Times New Roman"/>
          <w:b w:val="0"/>
          <w:sz w:val="32"/>
          <w:szCs w:val="32"/>
        </w:rPr>
      </w:pPr>
      <w:bookmarkStart w:id="74" w:name="_Toc19199809"/>
      <w:bookmarkStart w:id="75" w:name="_Toc23169600"/>
      <w:r>
        <w:rPr>
          <w:rFonts w:hint="default" w:ascii="Times New Roman" w:hAnsi="Times New Roman" w:cs="Times New Roman"/>
          <w:b w:val="0"/>
          <w:sz w:val="32"/>
          <w:szCs w:val="32"/>
        </w:rPr>
        <w:t>七、区域内外网架衔接规划</w:t>
      </w:r>
      <w:bookmarkEnd w:id="74"/>
      <w:bookmarkEnd w:id="75"/>
    </w:p>
    <w:p>
      <w:pPr>
        <w:pStyle w:val="4"/>
        <w:pageBreakBefore w:val="0"/>
        <w:widowControl w:val="0"/>
        <w:kinsoku/>
        <w:wordWrap/>
        <w:overflowPunct/>
        <w:topLinePunct w:val="0"/>
        <w:autoSpaceDE/>
        <w:autoSpaceDN/>
        <w:bidi w:val="0"/>
        <w:spacing w:before="0" w:beforeLines="0" w:after="0" w:afterLines="0" w:line="579" w:lineRule="exact"/>
        <w:ind w:left="0" w:firstLine="640" w:firstLineChars="200"/>
        <w:textAlignment w:val="auto"/>
        <w:rPr>
          <w:rFonts w:hint="default" w:ascii="Times New Roman" w:hAnsi="Times New Roman" w:eastAsia="仿宋_GB2312" w:cs="Times New Roman"/>
          <w:sz w:val="32"/>
          <w:szCs w:val="32"/>
        </w:rPr>
      </w:pPr>
      <w:bookmarkStart w:id="76" w:name="_Toc23169601"/>
      <w:r>
        <w:rPr>
          <w:rFonts w:hint="default" w:ascii="Times New Roman" w:hAnsi="Times New Roman" w:eastAsia="仿宋_GB2312" w:cs="Times New Roman"/>
          <w:sz w:val="32"/>
          <w:szCs w:val="32"/>
        </w:rPr>
        <w:t>（一）与外部电网的衔接原则</w:t>
      </w:r>
      <w:bookmarkEnd w:id="76"/>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按照国家和浙江省相关文件的总体要求，结合龙港彩虹智慧创业园实际情况，在确保电网公司现有存量资产有效合理利用的基础上，提出如下原则：</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1．综合考虑电网结构、电网安全、供电能力、供电质量、供电的经济合理性，特别是把电力安全运行和可靠供应放在首位。</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2．试点区域内拟建的35千伏变电站以35千伏电压等级为分界点。远景若试点区域考虑由35千伏和10千伏供电,则以35千伏和10千伏电压等级为分界点。</w:t>
      </w:r>
    </w:p>
    <w:p>
      <w:pPr>
        <w:pStyle w:val="4"/>
        <w:pageBreakBefore w:val="0"/>
        <w:widowControl w:val="0"/>
        <w:kinsoku/>
        <w:wordWrap/>
        <w:overflowPunct/>
        <w:topLinePunct w:val="0"/>
        <w:autoSpaceDE/>
        <w:autoSpaceDN/>
        <w:bidi w:val="0"/>
        <w:spacing w:before="0" w:beforeLines="0" w:after="0" w:afterLines="0" w:line="579" w:lineRule="exact"/>
        <w:ind w:left="0" w:firstLine="640" w:firstLineChars="200"/>
        <w:textAlignment w:val="auto"/>
        <w:rPr>
          <w:rFonts w:hint="default" w:ascii="Times New Roman" w:hAnsi="Times New Roman" w:cs="Times New Roman"/>
          <w:spacing w:val="29"/>
          <w:w w:val="99"/>
        </w:rPr>
      </w:pPr>
      <w:bookmarkStart w:id="77" w:name="_Toc23169602"/>
      <w:r>
        <w:rPr>
          <w:rFonts w:hint="default" w:ascii="Times New Roman" w:hAnsi="Times New Roman" w:eastAsia="仿宋_GB2312" w:cs="Times New Roman"/>
          <w:sz w:val="32"/>
          <w:szCs w:val="32"/>
        </w:rPr>
        <w:t>（二）与外部电网的衔接情况</w:t>
      </w:r>
      <w:bookmarkEnd w:id="77"/>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区域内外存在电网资产边界和电网电力计量边界</w:t>
      </w:r>
      <w:r>
        <w:rPr>
          <w:rFonts w:hint="eastAsia" w:ascii="Times New Roman" w:eastAsia="仿宋_GB2312" w:cs="Times New Roman"/>
          <w:sz w:val="32"/>
          <w:szCs w:val="32"/>
          <w:lang w:eastAsia="zh-CN"/>
        </w:rPr>
        <w:t>。</w:t>
      </w:r>
      <w:r>
        <w:rPr>
          <w:rFonts w:hint="default" w:ascii="Times New Roman" w:hAnsi="Times New Roman" w:eastAsia="仿宋_GB2312" w:cs="Times New Roman"/>
          <w:sz w:val="32"/>
          <w:szCs w:val="32"/>
        </w:rPr>
        <w:t>以220千伏珠山变35千伏出线侧开关下桩头作为资产分界点，出线开关下桩头以上为国家电网公司资产，出线开关下桩头以下为增量配电网运营公司资产。同时，以220千伏珠山变35千伏出线开关侧作为电力计量分界点。</w:t>
      </w:r>
    </w:p>
    <w:p>
      <w:pPr>
        <w:pStyle w:val="9"/>
        <w:pageBreakBefore w:val="0"/>
        <w:widowControl w:val="0"/>
        <w:kinsoku/>
        <w:wordWrap/>
        <w:overflowPunct/>
        <w:topLinePunct w:val="0"/>
        <w:autoSpaceDE/>
        <w:autoSpaceDN/>
        <w:bidi w:val="0"/>
        <w:spacing w:line="579" w:lineRule="exact"/>
        <w:ind w:firstLine="400" w:firstLineChars="200"/>
        <w:textAlignment w:val="auto"/>
        <w:rPr>
          <w:rFonts w:hint="default" w:ascii="Times New Roman" w:hAnsi="Times New Roman" w:cs="Times New Roman"/>
          <w:sz w:val="20"/>
          <w:szCs w:val="20"/>
        </w:rPr>
      </w:pPr>
    </w:p>
    <w:p>
      <w:pPr>
        <w:pStyle w:val="2"/>
        <w:pageBreakBefore w:val="0"/>
        <w:widowControl w:val="0"/>
        <w:kinsoku/>
        <w:wordWrap/>
        <w:overflowPunct/>
        <w:topLinePunct w:val="0"/>
        <w:autoSpaceDE/>
        <w:autoSpaceDN/>
        <w:bidi w:val="0"/>
        <w:spacing w:before="0" w:beforeLines="0" w:after="0" w:afterLines="0" w:line="579" w:lineRule="exact"/>
        <w:ind w:left="0" w:firstLine="640" w:firstLineChars="200"/>
        <w:textAlignment w:val="auto"/>
        <w:rPr>
          <w:rFonts w:hint="default" w:ascii="Times New Roman" w:hAnsi="Times New Roman" w:cs="Times New Roman"/>
          <w:b w:val="0"/>
          <w:sz w:val="32"/>
          <w:szCs w:val="32"/>
        </w:rPr>
      </w:pPr>
      <w:bookmarkStart w:id="78" w:name="bookmark28"/>
      <w:bookmarkEnd w:id="78"/>
      <w:bookmarkStart w:id="79" w:name="_Toc23169603"/>
      <w:bookmarkStart w:id="80" w:name="_Toc19199810"/>
      <w:r>
        <w:rPr>
          <w:rFonts w:hint="default" w:ascii="Times New Roman" w:hAnsi="Times New Roman" w:cs="Times New Roman"/>
          <w:b w:val="0"/>
          <w:sz w:val="32"/>
          <w:szCs w:val="32"/>
        </w:rPr>
        <w:t>八、运行管理规划</w:t>
      </w:r>
      <w:bookmarkEnd w:id="79"/>
      <w:bookmarkEnd w:id="80"/>
    </w:p>
    <w:p>
      <w:pPr>
        <w:pStyle w:val="3"/>
        <w:pageBreakBefore w:val="0"/>
        <w:widowControl w:val="0"/>
        <w:kinsoku/>
        <w:wordWrap/>
        <w:overflowPunct/>
        <w:topLinePunct w:val="0"/>
        <w:autoSpaceDE/>
        <w:autoSpaceDN/>
        <w:bidi w:val="0"/>
        <w:spacing w:before="0" w:beforeLines="0" w:after="0" w:afterLines="0" w:line="579" w:lineRule="exact"/>
        <w:ind w:firstLine="640" w:firstLineChars="200"/>
        <w:textAlignment w:val="auto"/>
        <w:rPr>
          <w:rFonts w:hint="default" w:ascii="Times New Roman" w:hAnsi="Times New Roman" w:eastAsia="仿宋_GB2312" w:cs="Times New Roman"/>
          <w:b w:val="0"/>
          <w:sz w:val="32"/>
          <w:szCs w:val="32"/>
        </w:rPr>
      </w:pPr>
      <w:bookmarkStart w:id="81" w:name="_Toc23169604"/>
      <w:bookmarkStart w:id="82" w:name="_Toc19199811"/>
      <w:r>
        <w:rPr>
          <w:rFonts w:hint="default" w:ascii="Times New Roman" w:hAnsi="Times New Roman" w:eastAsia="仿宋_GB2312" w:cs="Times New Roman"/>
          <w:b w:val="0"/>
          <w:sz w:val="32"/>
          <w:szCs w:val="32"/>
        </w:rPr>
        <w:t>（一）配电自动化建设</w:t>
      </w:r>
      <w:bookmarkEnd w:id="81"/>
      <w:bookmarkEnd w:id="82"/>
    </w:p>
    <w:p>
      <w:pPr>
        <w:pStyle w:val="4"/>
        <w:pageBreakBefore w:val="0"/>
        <w:widowControl w:val="0"/>
        <w:kinsoku/>
        <w:wordWrap/>
        <w:overflowPunct/>
        <w:topLinePunct w:val="0"/>
        <w:autoSpaceDE/>
        <w:autoSpaceDN/>
        <w:bidi w:val="0"/>
        <w:spacing w:before="0" w:beforeLines="0" w:after="0" w:afterLines="0" w:line="579" w:lineRule="exact"/>
        <w:ind w:left="0" w:firstLine="640" w:firstLineChars="200"/>
        <w:textAlignment w:val="auto"/>
        <w:rPr>
          <w:rFonts w:hint="default" w:ascii="Times New Roman" w:hAnsi="Times New Roman" w:eastAsia="仿宋_GB2312" w:cs="Times New Roman"/>
          <w:sz w:val="32"/>
          <w:szCs w:val="32"/>
        </w:rPr>
      </w:pPr>
      <w:bookmarkStart w:id="83" w:name="_Toc23169605"/>
      <w:r>
        <w:rPr>
          <w:rFonts w:hint="default" w:ascii="Times New Roman" w:hAnsi="Times New Roman" w:eastAsia="仿宋_GB2312" w:cs="Times New Roman"/>
          <w:sz w:val="32"/>
          <w:szCs w:val="32"/>
        </w:rPr>
        <w:t>1．建设原则</w:t>
      </w:r>
      <w:bookmarkEnd w:id="83"/>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（1）配电自动化规划设计应符合现行行业标准《配电自动化技术导则》（DL/T1406）、《配电自动化规划设计导则》（DL/T5709）的相关规定。</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（2）配电自动化应通过对配电网的监测和控制，支撑配电网调度运行和抢修指挥等业务需求，并为配电网规划设计工作提供基础数据信息。</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（3）配电自动化建设应与配电网一次网架相衔接。</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应根据各区域配电网规模和应用需求，合理确定配电自动化系统主站的规模与功能。对关键性节点，如主干线联络开关、必要的分段开关，进出线较多的开关站、环网单元和配电室，配置“三遥”（遥测、遥信、遥控）配电自动化终端；对一般性节点，如分支开关、无联络的末端站室，配置“两遥”（遥测、遥信）配电自动化终端，用户进线处配置分界开关或具备遥测、遥信功能的故障指示器。</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（5）配电自动化功能应适应分布式电源以及电动汽车、储能装置等新型负荷接入后的运行及业务需求。</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cs="Times New Roman"/>
          <w:sz w:val="25"/>
          <w:szCs w:val="25"/>
        </w:rPr>
      </w:pPr>
      <w:r>
        <w:rPr>
          <w:rFonts w:hint="default" w:ascii="Times New Roman" w:hAnsi="Times New Roman" w:eastAsia="仿宋_GB2312" w:cs="Times New Roman"/>
          <w:sz w:val="32"/>
          <w:szCs w:val="32"/>
        </w:rPr>
        <w:t>（6）应根据可靠性需求、网架结构和设备状况，合理选用配电设备信息采集形式及终端类型。</w:t>
      </w:r>
    </w:p>
    <w:p>
      <w:pPr>
        <w:pStyle w:val="4"/>
        <w:pageBreakBefore w:val="0"/>
        <w:widowControl w:val="0"/>
        <w:kinsoku/>
        <w:wordWrap/>
        <w:overflowPunct/>
        <w:topLinePunct w:val="0"/>
        <w:autoSpaceDE/>
        <w:autoSpaceDN/>
        <w:bidi w:val="0"/>
        <w:spacing w:before="0" w:beforeLines="0" w:after="0" w:afterLines="0" w:line="579" w:lineRule="exact"/>
        <w:ind w:left="0" w:firstLine="640" w:firstLineChars="200"/>
        <w:textAlignment w:val="auto"/>
        <w:rPr>
          <w:rFonts w:hint="default" w:ascii="Times New Roman" w:hAnsi="Times New Roman" w:eastAsia="仿宋_GB2312" w:cs="Times New Roman"/>
          <w:sz w:val="32"/>
          <w:szCs w:val="32"/>
        </w:rPr>
      </w:pPr>
      <w:bookmarkStart w:id="84" w:name="_Toc23169606"/>
      <w:r>
        <w:rPr>
          <w:rFonts w:hint="default" w:ascii="Times New Roman" w:hAnsi="Times New Roman" w:eastAsia="仿宋_GB2312" w:cs="Times New Roman"/>
          <w:sz w:val="32"/>
          <w:szCs w:val="32"/>
        </w:rPr>
        <w:t>2．建设方案</w:t>
      </w:r>
      <w:bookmarkEnd w:id="84"/>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试点区域通过2回35千伏架空线路供电，区域内10千伏目标网架为电缆双环网接线，本区域的配电自动化采用全覆盖模式，双环网电缆线路采用三遥终端DTU实现配电站所的自动化，开闭所环进环出间隔及分支出线间隔均采用“三遥”模式。</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根据试点区域内一次网架建设情况，试点区域内共装设一控八DTU终端8台（每座开闭所装设2台）。</w:t>
      </w:r>
    </w:p>
    <w:p>
      <w:pPr>
        <w:pStyle w:val="4"/>
        <w:pageBreakBefore w:val="0"/>
        <w:widowControl w:val="0"/>
        <w:kinsoku/>
        <w:wordWrap/>
        <w:overflowPunct/>
        <w:topLinePunct w:val="0"/>
        <w:autoSpaceDE/>
        <w:autoSpaceDN/>
        <w:bidi w:val="0"/>
        <w:spacing w:before="0" w:beforeLines="0" w:after="0" w:afterLines="0" w:line="579" w:lineRule="exact"/>
        <w:ind w:left="0" w:firstLine="640" w:firstLineChars="200"/>
        <w:textAlignment w:val="auto"/>
        <w:rPr>
          <w:rFonts w:hint="default" w:ascii="Times New Roman" w:hAnsi="Times New Roman" w:cs="Times New Roman"/>
          <w:spacing w:val="23"/>
          <w:w w:val="99"/>
        </w:rPr>
      </w:pPr>
      <w:bookmarkStart w:id="85" w:name="_Toc23169607"/>
      <w:r>
        <w:rPr>
          <w:rFonts w:hint="default" w:ascii="Times New Roman" w:hAnsi="Times New Roman" w:eastAsia="仿宋_GB2312" w:cs="Times New Roman"/>
          <w:sz w:val="32"/>
          <w:szCs w:val="32"/>
        </w:rPr>
        <w:t>3．建设成效</w:t>
      </w:r>
      <w:bookmarkEnd w:id="85"/>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试点区配网自动化能有效支撑电网运行管理要求。</w:t>
      </w:r>
    </w:p>
    <w:p>
      <w:pPr>
        <w:pStyle w:val="3"/>
        <w:pageBreakBefore w:val="0"/>
        <w:widowControl w:val="0"/>
        <w:kinsoku/>
        <w:wordWrap/>
        <w:overflowPunct/>
        <w:topLinePunct w:val="0"/>
        <w:autoSpaceDE/>
        <w:autoSpaceDN/>
        <w:bidi w:val="0"/>
        <w:spacing w:before="0" w:beforeLines="0" w:after="0" w:afterLines="0" w:line="579" w:lineRule="exact"/>
        <w:ind w:firstLine="640" w:firstLineChars="200"/>
        <w:textAlignment w:val="auto"/>
        <w:rPr>
          <w:rFonts w:hint="default" w:ascii="Times New Roman" w:hAnsi="Times New Roman" w:eastAsia="仿宋_GB2312" w:cs="Times New Roman"/>
          <w:b w:val="0"/>
          <w:sz w:val="32"/>
          <w:szCs w:val="32"/>
        </w:rPr>
      </w:pPr>
      <w:bookmarkStart w:id="86" w:name="bookmark30"/>
      <w:bookmarkEnd w:id="86"/>
      <w:bookmarkStart w:id="87" w:name="_Toc19199812"/>
      <w:bookmarkStart w:id="88" w:name="_Toc23169608"/>
      <w:r>
        <w:rPr>
          <w:rFonts w:hint="default" w:ascii="Times New Roman" w:hAnsi="Times New Roman" w:eastAsia="仿宋_GB2312" w:cs="Times New Roman"/>
          <w:b w:val="0"/>
          <w:sz w:val="32"/>
          <w:szCs w:val="32"/>
        </w:rPr>
        <w:t>（二）调度自动化建设</w:t>
      </w:r>
      <w:bookmarkEnd w:id="87"/>
      <w:bookmarkEnd w:id="88"/>
    </w:p>
    <w:p>
      <w:pPr>
        <w:pStyle w:val="4"/>
        <w:pageBreakBefore w:val="0"/>
        <w:widowControl w:val="0"/>
        <w:kinsoku/>
        <w:wordWrap/>
        <w:overflowPunct/>
        <w:topLinePunct w:val="0"/>
        <w:autoSpaceDE/>
        <w:autoSpaceDN/>
        <w:bidi w:val="0"/>
        <w:spacing w:before="0" w:beforeLines="0" w:after="0" w:afterLines="0" w:line="579" w:lineRule="exact"/>
        <w:ind w:left="0" w:firstLine="640" w:firstLineChars="200"/>
        <w:textAlignment w:val="auto"/>
        <w:rPr>
          <w:rFonts w:hint="default" w:ascii="Times New Roman" w:hAnsi="Times New Roman" w:eastAsia="仿宋_GB2312" w:cs="Times New Roman"/>
          <w:sz w:val="32"/>
          <w:szCs w:val="32"/>
        </w:rPr>
      </w:pPr>
      <w:bookmarkStart w:id="89" w:name="_Toc23169609"/>
      <w:r>
        <w:rPr>
          <w:rFonts w:hint="default" w:ascii="Times New Roman" w:hAnsi="Times New Roman" w:eastAsia="仿宋_GB2312" w:cs="Times New Roman"/>
          <w:sz w:val="32"/>
          <w:szCs w:val="32"/>
        </w:rPr>
        <w:t>1．建设原则</w:t>
      </w:r>
      <w:bookmarkEnd w:id="89"/>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（1）应结合配电网及配电自动化发展水平合理选择调度控制功能的实现方式。规模较小、不具备配电自动化主站的地区，配调功能可嵌入地区电网调度控制系统。</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（2）调度控制功能至少应包括SCADA、图库电子化、关键节点数据采集、配电网故障抢修指挥等功能，并实现与电网其他平台数据共享。</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（3）110/35千伏场站应至少配置1套调度数据网设备，接入所属地调接入网。</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（4）厂站端自动化系统的硬件配置和功能配置应全面支撑电网的调控运行，满足调度对站内数据、模型和图形的应用需求。</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（5）系统建设安全防护的总体原则为“安全分区、网络专用、横向隔离、纵向认证”，保证电力生产控制系统及重要数据的安全。</w:t>
      </w:r>
    </w:p>
    <w:p>
      <w:pPr>
        <w:pStyle w:val="4"/>
        <w:pageBreakBefore w:val="0"/>
        <w:widowControl w:val="0"/>
        <w:kinsoku/>
        <w:wordWrap/>
        <w:overflowPunct/>
        <w:topLinePunct w:val="0"/>
        <w:autoSpaceDE/>
        <w:autoSpaceDN/>
        <w:bidi w:val="0"/>
        <w:spacing w:before="0" w:beforeLines="0" w:after="0" w:afterLines="0" w:line="579" w:lineRule="exact"/>
        <w:ind w:left="0" w:firstLine="640" w:firstLineChars="200"/>
        <w:textAlignment w:val="auto"/>
        <w:rPr>
          <w:rFonts w:hint="default" w:ascii="Times New Roman" w:hAnsi="Times New Roman" w:cs="Times New Roman"/>
        </w:rPr>
      </w:pPr>
      <w:bookmarkStart w:id="90" w:name="_Toc23169610"/>
      <w:r>
        <w:rPr>
          <w:rFonts w:hint="default" w:ascii="Times New Roman" w:hAnsi="Times New Roman" w:eastAsia="仿宋_GB2312" w:cs="Times New Roman"/>
          <w:sz w:val="32"/>
          <w:szCs w:val="32"/>
        </w:rPr>
        <w:t>2．建设方案</w:t>
      </w:r>
      <w:bookmarkEnd w:id="90"/>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试点区域由220千伏珠山变供电，珠山变已实现调度自动化。试点区域调度自动化工程应以当前成熟的自动化数据采集、控制和无源光网络（EPON）技术作为支撑，选择“主站+终端”的两层体系结构，实现配电网运行监视和控制。</w:t>
      </w:r>
    </w:p>
    <w:p>
      <w:pPr>
        <w:pStyle w:val="4"/>
        <w:pageBreakBefore w:val="0"/>
        <w:widowControl w:val="0"/>
        <w:kinsoku/>
        <w:wordWrap/>
        <w:overflowPunct/>
        <w:topLinePunct w:val="0"/>
        <w:autoSpaceDE/>
        <w:autoSpaceDN/>
        <w:bidi w:val="0"/>
        <w:spacing w:before="0" w:beforeLines="0" w:after="0" w:afterLines="0" w:line="579" w:lineRule="exact"/>
        <w:ind w:left="0" w:firstLine="640" w:firstLineChars="200"/>
        <w:textAlignment w:val="auto"/>
        <w:rPr>
          <w:rFonts w:hint="default" w:ascii="Times New Roman" w:hAnsi="Times New Roman" w:cs="Times New Roman"/>
          <w:spacing w:val="23"/>
          <w:w w:val="99"/>
        </w:rPr>
      </w:pPr>
      <w:bookmarkStart w:id="91" w:name="_Toc23169611"/>
      <w:r>
        <w:rPr>
          <w:rFonts w:hint="default" w:ascii="Times New Roman" w:hAnsi="Times New Roman" w:eastAsia="仿宋_GB2312" w:cs="Times New Roman"/>
          <w:sz w:val="32"/>
          <w:szCs w:val="32"/>
        </w:rPr>
        <w:t>3．建设成效</w:t>
      </w:r>
      <w:bookmarkEnd w:id="91"/>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具备电网监测和电力系统运行状态诊断等要求，满足电网运行中的异常和突发故障协调控制，实现调度的智能化管理。</w:t>
      </w:r>
    </w:p>
    <w:p>
      <w:pPr>
        <w:pStyle w:val="3"/>
        <w:pageBreakBefore w:val="0"/>
        <w:widowControl w:val="0"/>
        <w:kinsoku/>
        <w:wordWrap/>
        <w:overflowPunct/>
        <w:topLinePunct w:val="0"/>
        <w:autoSpaceDE/>
        <w:autoSpaceDN/>
        <w:bidi w:val="0"/>
        <w:spacing w:before="0" w:beforeLines="0" w:after="0" w:afterLines="0" w:line="579" w:lineRule="exact"/>
        <w:ind w:firstLine="640" w:firstLineChars="200"/>
        <w:textAlignment w:val="auto"/>
        <w:rPr>
          <w:rFonts w:hint="default" w:ascii="Times New Roman" w:hAnsi="Times New Roman" w:eastAsia="仿宋_GB2312" w:cs="Times New Roman"/>
          <w:b w:val="0"/>
          <w:sz w:val="32"/>
          <w:szCs w:val="32"/>
        </w:rPr>
      </w:pPr>
      <w:bookmarkStart w:id="92" w:name="bookmark31"/>
      <w:bookmarkEnd w:id="92"/>
      <w:bookmarkStart w:id="93" w:name="_Toc23169612"/>
      <w:bookmarkStart w:id="94" w:name="_Toc19199813"/>
      <w:r>
        <w:rPr>
          <w:rFonts w:hint="default" w:ascii="Times New Roman" w:hAnsi="Times New Roman" w:eastAsia="仿宋_GB2312" w:cs="Times New Roman"/>
          <w:b w:val="0"/>
          <w:sz w:val="32"/>
          <w:szCs w:val="32"/>
        </w:rPr>
        <w:t>（三）系统通信建设</w:t>
      </w:r>
      <w:bookmarkEnd w:id="93"/>
      <w:bookmarkEnd w:id="94"/>
    </w:p>
    <w:p>
      <w:pPr>
        <w:pStyle w:val="4"/>
        <w:pageBreakBefore w:val="0"/>
        <w:widowControl w:val="0"/>
        <w:kinsoku/>
        <w:wordWrap/>
        <w:overflowPunct/>
        <w:topLinePunct w:val="0"/>
        <w:autoSpaceDE/>
        <w:autoSpaceDN/>
        <w:bidi w:val="0"/>
        <w:spacing w:before="0" w:beforeLines="0" w:after="0" w:afterLines="0" w:line="579" w:lineRule="exact"/>
        <w:ind w:left="0" w:firstLine="640" w:firstLineChars="200"/>
        <w:textAlignment w:val="auto"/>
        <w:rPr>
          <w:rFonts w:hint="default" w:ascii="Times New Roman" w:hAnsi="Times New Roman" w:eastAsia="仿宋_GB2312" w:cs="Times New Roman"/>
          <w:sz w:val="32"/>
          <w:szCs w:val="32"/>
        </w:rPr>
      </w:pPr>
      <w:bookmarkStart w:id="95" w:name="_Toc23169613"/>
      <w:r>
        <w:rPr>
          <w:rFonts w:hint="default" w:ascii="Times New Roman" w:hAnsi="Times New Roman" w:eastAsia="仿宋_GB2312" w:cs="Times New Roman"/>
          <w:sz w:val="32"/>
          <w:szCs w:val="32"/>
        </w:rPr>
        <w:t>1．建设原则</w:t>
      </w:r>
      <w:bookmarkEnd w:id="95"/>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（1）试点区域采用的通信技术应与当地配电网的发展规划相适应，应与配电网一次网架同步规划、同步建设，或预留相应位置和管道，满足配电自动化中、长期建设和业务发展需求，并做好适度超前。</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（2）试点区域增量配电网应统筹通信资源，充分满足配电自动化、用电信息采集系统、屋顶光伏、电动汽车充换电站及储能装置站点的通信需求。</w:t>
      </w:r>
    </w:p>
    <w:p>
      <w:pPr>
        <w:pStyle w:val="4"/>
        <w:pageBreakBefore w:val="0"/>
        <w:widowControl w:val="0"/>
        <w:kinsoku/>
        <w:wordWrap/>
        <w:overflowPunct/>
        <w:topLinePunct w:val="0"/>
        <w:autoSpaceDE/>
        <w:autoSpaceDN/>
        <w:bidi w:val="0"/>
        <w:spacing w:before="0" w:beforeLines="0" w:after="0" w:afterLines="0" w:line="579" w:lineRule="exact"/>
        <w:ind w:left="0" w:firstLine="640" w:firstLineChars="200"/>
        <w:textAlignment w:val="auto"/>
        <w:rPr>
          <w:rFonts w:hint="default" w:ascii="Times New Roman" w:hAnsi="Times New Roman" w:eastAsia="仿宋_GB2312" w:cs="Times New Roman"/>
          <w:sz w:val="32"/>
          <w:szCs w:val="32"/>
        </w:rPr>
      </w:pPr>
      <w:bookmarkStart w:id="96" w:name="_Toc23169614"/>
      <w:r>
        <w:rPr>
          <w:rFonts w:hint="default" w:ascii="Times New Roman" w:hAnsi="Times New Roman" w:eastAsia="仿宋_GB2312" w:cs="Times New Roman"/>
          <w:sz w:val="32"/>
          <w:szCs w:val="32"/>
        </w:rPr>
        <w:t>2．建设方案</w:t>
      </w:r>
      <w:bookmarkEnd w:id="96"/>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试点区域35千伏变电站采用光纤通信至苍南调度，传输遥信、遥测、有功、无功、电能量等相关信号，费用计列50万元。</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10千伏配网主要采用EPON网络通信，EPON技术主要由局端设备（OLT）、站端设备ONU、光分支网络ODN及光缆组成。采用无源分光器，将局端设备OLT以手拉手保护方式、双PON口环型保护方式进行组网，配用电通信终端设备ONU采用并联方式在分光器的接入点进行汇接，既实现抗多点失效，又实现主干线路的保护，确保设备实时高效的运行。</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试点区域内考虑设置OLT1台；ONU根据DTU数量共配置8个，通过一个或多个以太网接口、RS485、RS232接口，与采集终端设备相连，实现配用电终端信息的接入；10千伏线路光缆长度约为5公里。</w:t>
      </w:r>
    </w:p>
    <w:p>
      <w:pPr>
        <w:pStyle w:val="4"/>
        <w:pageBreakBefore w:val="0"/>
        <w:widowControl w:val="0"/>
        <w:kinsoku/>
        <w:wordWrap/>
        <w:overflowPunct/>
        <w:topLinePunct w:val="0"/>
        <w:autoSpaceDE/>
        <w:autoSpaceDN/>
        <w:bidi w:val="0"/>
        <w:spacing w:before="0" w:beforeLines="0" w:after="0" w:afterLines="0" w:line="579" w:lineRule="exact"/>
        <w:ind w:left="0" w:firstLine="640" w:firstLineChars="200"/>
        <w:textAlignment w:val="auto"/>
        <w:rPr>
          <w:rFonts w:hint="default" w:ascii="Times New Roman" w:hAnsi="Times New Roman" w:cs="Times New Roman"/>
          <w:spacing w:val="23"/>
          <w:w w:val="99"/>
        </w:rPr>
      </w:pPr>
      <w:bookmarkStart w:id="97" w:name="_Toc23169615"/>
      <w:r>
        <w:rPr>
          <w:rFonts w:hint="default" w:ascii="Times New Roman" w:hAnsi="Times New Roman" w:eastAsia="仿宋_GB2312" w:cs="Times New Roman"/>
          <w:sz w:val="32"/>
          <w:szCs w:val="32"/>
        </w:rPr>
        <w:t>3．建设成效</w:t>
      </w:r>
      <w:bookmarkEnd w:id="97"/>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“十四五”期间，试点区域配电通信满足电网运营要求，实现区域内用电信息采集系统的“全覆盖、全采集”，通过</w:t>
      </w:r>
      <w:bookmarkStart w:id="98" w:name="bookmark32"/>
      <w:bookmarkEnd w:id="98"/>
      <w:r>
        <w:rPr>
          <w:rFonts w:hint="default" w:ascii="Times New Roman" w:hAnsi="Times New Roman" w:eastAsia="仿宋_GB2312" w:cs="Times New Roman"/>
          <w:sz w:val="32"/>
          <w:szCs w:val="32"/>
        </w:rPr>
        <w:t>信息交互实现供电可靠性和电压合格率统计到户。</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bookmarkStart w:id="99" w:name="_Toc23169616"/>
      <w:r>
        <w:rPr>
          <w:rFonts w:hint="eastAsia" w:ascii="Times New Roman" w:hAnsi="Times New Roman" w:eastAsia="仿宋_GB2312" w:cs="Times New Roman"/>
          <w:sz w:val="32"/>
          <w:szCs w:val="32"/>
        </w:rPr>
        <w:t>（四）运营组织架构规划</w:t>
      </w:r>
      <w:bookmarkEnd w:id="99"/>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bookmarkStart w:id="100" w:name="_Toc23169617"/>
      <w:r>
        <w:rPr>
          <w:rFonts w:hint="default" w:ascii="Times New Roman" w:hAnsi="Times New Roman" w:eastAsia="仿宋_GB2312" w:cs="Times New Roman"/>
          <w:sz w:val="32"/>
          <w:szCs w:val="32"/>
        </w:rPr>
        <w:t>1.</w:t>
      </w:r>
      <w:r>
        <w:rPr>
          <w:rFonts w:hint="eastAsia" w:ascii="Times New Roman" w:hAnsi="Times New Roman" w:eastAsia="仿宋_GB2312" w:cs="Times New Roman"/>
          <w:sz w:val="32"/>
          <w:szCs w:val="32"/>
        </w:rPr>
        <w:t>组建公司基本情况</w:t>
      </w:r>
      <w:bookmarkEnd w:id="100"/>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hint="eastAsia" w:ascii="Times New Roman" w:hAnsi="Times New Roman" w:eastAsia="仿宋_GB2312" w:cs="Times New Roman"/>
          <w:sz w:val="32"/>
          <w:szCs w:val="32"/>
        </w:rPr>
        <w:t>）公司名称：浙江隆鑫彩虹售电有限公司。</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w:t>
      </w:r>
      <w:r>
        <w:rPr>
          <w:rFonts w:hint="eastAsia" w:ascii="Times New Roman" w:hAnsi="Times New Roman" w:eastAsia="仿宋_GB2312" w:cs="Times New Roman"/>
          <w:sz w:val="32"/>
          <w:szCs w:val="32"/>
        </w:rPr>
        <w:t>）注册资本：人民币</w:t>
      </w:r>
      <w:r>
        <w:rPr>
          <w:rFonts w:hint="default" w:ascii="Times New Roman" w:hAnsi="Times New Roman" w:eastAsia="仿宋_GB2312" w:cs="Times New Roman"/>
          <w:sz w:val="32"/>
          <w:szCs w:val="32"/>
        </w:rPr>
        <w:t>3000</w:t>
      </w:r>
      <w:r>
        <w:rPr>
          <w:rFonts w:hint="eastAsia" w:ascii="Times New Roman" w:hAnsi="Times New Roman" w:eastAsia="仿宋_GB2312" w:cs="Times New Roman"/>
          <w:sz w:val="32"/>
          <w:szCs w:val="32"/>
        </w:rPr>
        <w:t>万元。</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w:t>
      </w:r>
      <w:r>
        <w:rPr>
          <w:rFonts w:hint="eastAsia" w:ascii="Times New Roman" w:hAnsi="Times New Roman" w:eastAsia="仿宋_GB2312" w:cs="Times New Roman"/>
          <w:sz w:val="32"/>
          <w:szCs w:val="32"/>
        </w:rPr>
        <w:t>）股权结构本公司由杨宗锐、陈崇军共同出资组建，杨宗锐以货币方式认缴人民币</w:t>
      </w:r>
      <w:r>
        <w:rPr>
          <w:rFonts w:hint="default" w:ascii="Times New Roman" w:hAnsi="Times New Roman" w:eastAsia="仿宋_GB2312" w:cs="Times New Roman"/>
          <w:sz w:val="32"/>
          <w:szCs w:val="32"/>
        </w:rPr>
        <w:t>1200</w:t>
      </w:r>
      <w:r>
        <w:rPr>
          <w:rFonts w:hint="eastAsia" w:ascii="Times New Roman" w:hAnsi="Times New Roman" w:eastAsia="仿宋_GB2312" w:cs="Times New Roman"/>
          <w:sz w:val="32"/>
          <w:szCs w:val="32"/>
        </w:rPr>
        <w:t>万元，占注册资本</w:t>
      </w:r>
      <w:r>
        <w:rPr>
          <w:rFonts w:hint="default" w:ascii="Times New Roman" w:hAnsi="Times New Roman" w:eastAsia="仿宋_GB2312" w:cs="Times New Roman"/>
          <w:sz w:val="32"/>
          <w:szCs w:val="32"/>
        </w:rPr>
        <w:t>40%</w:t>
      </w:r>
      <w:r>
        <w:rPr>
          <w:rFonts w:hint="eastAsia" w:ascii="Times New Roman" w:hAnsi="Times New Roman" w:eastAsia="仿宋_GB2312" w:cs="Times New Roman"/>
          <w:sz w:val="32"/>
          <w:szCs w:val="32"/>
        </w:rPr>
        <w:t>，陈崇军以货币方式认缴人民币</w:t>
      </w:r>
      <w:r>
        <w:rPr>
          <w:rFonts w:hint="default" w:ascii="Times New Roman" w:hAnsi="Times New Roman" w:eastAsia="仿宋_GB2312" w:cs="Times New Roman"/>
          <w:sz w:val="32"/>
          <w:szCs w:val="32"/>
        </w:rPr>
        <w:t>1800</w:t>
      </w:r>
      <w:r>
        <w:rPr>
          <w:rFonts w:hint="eastAsia" w:ascii="Times New Roman" w:hAnsi="Times New Roman" w:eastAsia="仿宋_GB2312" w:cs="Times New Roman"/>
          <w:sz w:val="32"/>
          <w:szCs w:val="32"/>
        </w:rPr>
        <w:t>万元，占注册资本</w:t>
      </w:r>
      <w:r>
        <w:rPr>
          <w:rFonts w:hint="default" w:ascii="Times New Roman" w:hAnsi="Times New Roman" w:eastAsia="仿宋_GB2312" w:cs="Times New Roman"/>
          <w:sz w:val="32"/>
          <w:szCs w:val="32"/>
        </w:rPr>
        <w:t>60%</w:t>
      </w:r>
      <w:r>
        <w:rPr>
          <w:rFonts w:hint="eastAsia" w:ascii="Times New Roman" w:hAnsi="Times New Roman" w:eastAsia="仿宋_GB2312" w:cs="Times New Roman"/>
          <w:sz w:val="32"/>
          <w:szCs w:val="32"/>
        </w:rPr>
        <w:t>。</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w:t>
      </w:r>
      <w:r>
        <w:rPr>
          <w:rFonts w:hint="eastAsia" w:ascii="Times New Roman" w:hAnsi="Times New Roman" w:eastAsia="仿宋_GB2312" w:cs="Times New Roman"/>
          <w:sz w:val="32"/>
          <w:szCs w:val="32"/>
        </w:rPr>
        <w:t>）经营范围：电力、新能源项目的投资、维护、建设、运营服务；合同能源管理；新能源技术研发、技术咨询、技术服务；电力设备及器材、电力通信设备销售、租赁。</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bookmarkStart w:id="101" w:name="_Toc23169618"/>
      <w:r>
        <w:rPr>
          <w:rFonts w:hint="default" w:ascii="Times New Roman" w:hAnsi="Times New Roman" w:eastAsia="仿宋_GB2312" w:cs="Times New Roman"/>
          <w:sz w:val="32"/>
          <w:szCs w:val="32"/>
        </w:rPr>
        <w:t>2.</w:t>
      </w:r>
      <w:r>
        <w:rPr>
          <w:rFonts w:hint="eastAsia" w:ascii="Times New Roman" w:hAnsi="Times New Roman" w:eastAsia="仿宋_GB2312" w:cs="Times New Roman"/>
          <w:sz w:val="32"/>
          <w:szCs w:val="32"/>
        </w:rPr>
        <w:t>公司组织架构设置</w:t>
      </w:r>
      <w:bookmarkEnd w:id="101"/>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rPr>
        <w:t>公司设立初期核心工作为电力营销</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机构设置尽量精简</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未来可根据公司发展情况对机构增设。其中营销部下设四个业务部门</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负责公司各项电力业务事项</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售电业务部主要负责公司的主营售电业务</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配电业务部负责公司的配网业务板块</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包括投建新增配网项目和承接已建成配网项目</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售电侧业务部负责公司增值服务的推广</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例如电力施工、设备制造、优化用电、合同能源管理等</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商务技术部主要负责公司的商务事项以及云端数据收集、分析的技术研究</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为前三个业务部门提供强有力的数据支撑和商务支持。</w:t>
      </w:r>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bookmarkStart w:id="102" w:name="_Toc23169619"/>
      <w:r>
        <w:rPr>
          <w:rFonts w:hint="eastAsia" w:ascii="Times New Roman" w:hAnsi="Times New Roman" w:eastAsia="仿宋_GB2312" w:cs="Times New Roman"/>
          <w:sz w:val="32"/>
          <w:szCs w:val="32"/>
        </w:rPr>
        <w:t>（五）建设规模和投资</w:t>
      </w:r>
      <w:bookmarkEnd w:id="102"/>
    </w:p>
    <w:p>
      <w:pPr>
        <w:pStyle w:val="9"/>
        <w:pageBreakBefore w:val="0"/>
        <w:widowControl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2020</w:t>
      </w:r>
      <w:r>
        <w:rPr>
          <w:rFonts w:hint="eastAsia" w:ascii="Times New Roman" w:hAnsi="Times New Roman" w:eastAsia="仿宋_GB2312" w:cs="Times New Roman"/>
          <w:sz w:val="32"/>
          <w:szCs w:val="32"/>
        </w:rPr>
        <w:t>～</w:t>
      </w:r>
      <w:r>
        <w:rPr>
          <w:rFonts w:hint="default" w:ascii="Times New Roman" w:hAnsi="Times New Roman" w:eastAsia="仿宋_GB2312" w:cs="Times New Roman"/>
          <w:sz w:val="32"/>
          <w:szCs w:val="32"/>
        </w:rPr>
        <w:t>2025</w:t>
      </w:r>
      <w:r>
        <w:rPr>
          <w:rFonts w:hint="eastAsia" w:ascii="Times New Roman" w:hAnsi="Times New Roman" w:eastAsia="仿宋_GB2312" w:cs="Times New Roman"/>
          <w:sz w:val="32"/>
          <w:szCs w:val="32"/>
        </w:rPr>
        <w:t>年，彩虹智慧创业园增量配电网配电自动化及通信投资约12</w:t>
      </w:r>
      <w:r>
        <w:rPr>
          <w:rFonts w:hint="default" w:ascii="Times New Roman" w:hAnsi="Times New Roman" w:eastAsia="仿宋_GB2312" w:cs="Times New Roman"/>
          <w:sz w:val="32"/>
          <w:szCs w:val="32"/>
        </w:rPr>
        <w:t>4</w:t>
      </w:r>
      <w:r>
        <w:rPr>
          <w:rFonts w:hint="eastAsia" w:ascii="Times New Roman" w:hAnsi="Times New Roman" w:eastAsia="仿宋_GB2312" w:cs="Times New Roman"/>
          <w:sz w:val="32"/>
          <w:szCs w:val="32"/>
        </w:rPr>
        <w:t>万元，其中配电自动化投资</w:t>
      </w:r>
      <w:r>
        <w:rPr>
          <w:rFonts w:hint="default" w:ascii="Times New Roman" w:hAnsi="Times New Roman" w:eastAsia="仿宋_GB2312" w:cs="Times New Roman"/>
          <w:sz w:val="32"/>
          <w:szCs w:val="32"/>
        </w:rPr>
        <w:t>40</w:t>
      </w:r>
      <w:r>
        <w:rPr>
          <w:rFonts w:hint="eastAsia" w:ascii="Times New Roman" w:hAnsi="Times New Roman" w:eastAsia="仿宋_GB2312" w:cs="Times New Roman"/>
          <w:sz w:val="32"/>
          <w:szCs w:val="32"/>
        </w:rPr>
        <w:t>万元，系统通信投资约84万元。</w:t>
      </w:r>
    </w:p>
    <w:p>
      <w:pPr>
        <w:snapToGrid w:val="0"/>
        <w:spacing w:before="240" w:beforeLines="100" w:after="120" w:afterLines="50"/>
        <w:rPr>
          <w:rFonts w:ascii="仿宋_GB2312" w:hAnsi="宋体" w:eastAsia="仿宋_GB2312"/>
          <w:sz w:val="28"/>
          <w:szCs w:val="28"/>
        </w:rPr>
      </w:pPr>
      <w:r>
        <w:rPr>
          <w:rFonts w:hint="eastAsia" w:ascii="仿宋_GB2312" w:hAnsi="宋体" w:eastAsia="仿宋_GB2312"/>
          <w:sz w:val="28"/>
          <w:szCs w:val="28"/>
        </w:rPr>
        <w:t>表</w:t>
      </w:r>
      <w:r>
        <w:rPr>
          <w:rFonts w:ascii="仿宋_GB2312" w:hAnsi="宋体" w:eastAsia="仿宋_GB2312"/>
          <w:sz w:val="28"/>
          <w:szCs w:val="28"/>
        </w:rPr>
        <w:t>8</w:t>
      </w:r>
      <w:r>
        <w:rPr>
          <w:rFonts w:hint="eastAsia" w:ascii="仿宋_GB2312" w:hAnsi="宋体" w:eastAsia="仿宋_GB2312"/>
          <w:sz w:val="28"/>
          <w:szCs w:val="28"/>
        </w:rPr>
        <w:t>-</w:t>
      </w:r>
      <w:r>
        <w:rPr>
          <w:rFonts w:ascii="仿宋_GB2312" w:hAnsi="宋体" w:eastAsia="仿宋_GB2312"/>
          <w:sz w:val="28"/>
          <w:szCs w:val="28"/>
        </w:rPr>
        <w:t>1</w:t>
      </w:r>
      <w:r>
        <w:rPr>
          <w:rFonts w:hint="eastAsia" w:ascii="仿宋_GB2312" w:hAnsi="宋体" w:eastAsia="仿宋_GB2312"/>
          <w:sz w:val="28"/>
          <w:szCs w:val="28"/>
        </w:rPr>
        <w:tab/>
      </w:r>
      <w:r>
        <w:rPr>
          <w:rFonts w:ascii="仿宋_GB2312" w:hAnsi="宋体" w:eastAsia="仿宋_GB2312"/>
          <w:sz w:val="28"/>
          <w:szCs w:val="28"/>
        </w:rPr>
        <w:t xml:space="preserve">            </w:t>
      </w:r>
      <w:r>
        <w:rPr>
          <w:rFonts w:hint="eastAsia" w:ascii="仿宋_GB2312" w:hAnsi="宋体" w:eastAsia="仿宋_GB2312"/>
          <w:sz w:val="28"/>
          <w:szCs w:val="28"/>
        </w:rPr>
        <w:t>配电自动化</w:t>
      </w:r>
      <w:r>
        <w:rPr>
          <w:rFonts w:ascii="仿宋_GB2312" w:hAnsi="宋体" w:eastAsia="仿宋_GB2312"/>
          <w:sz w:val="28"/>
          <w:szCs w:val="28"/>
        </w:rPr>
        <w:t>及通信规模及投资</w:t>
      </w:r>
    </w:p>
    <w:tbl>
      <w:tblPr>
        <w:tblStyle w:val="23"/>
        <w:tblW w:w="866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
      <w:tblGrid>
        <w:gridCol w:w="2488"/>
        <w:gridCol w:w="3218"/>
        <w:gridCol w:w="1510"/>
        <w:gridCol w:w="14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Ex>
        <w:trPr>
          <w:trHeight w:val="397" w:hRule="atLeast"/>
          <w:tblHeader/>
          <w:jc w:val="center"/>
        </w:trPr>
        <w:tc>
          <w:tcPr>
            <w:tcW w:w="2488" w:type="dxa"/>
            <w:vAlign w:val="center"/>
          </w:tcPr>
          <w:p>
            <w:pPr>
              <w:widowControl/>
              <w:jc w:val="center"/>
              <w:rPr>
                <w:rFonts w:ascii="宋体" w:hAnsi="宋体" w:eastAsia="宋体"/>
                <w:sz w:val="20"/>
                <w:szCs w:val="20"/>
              </w:rPr>
            </w:pPr>
            <w:r>
              <w:rPr>
                <w:rFonts w:hint="eastAsia" w:ascii="宋体" w:hAnsi="宋体" w:eastAsia="宋体"/>
                <w:sz w:val="20"/>
                <w:szCs w:val="20"/>
              </w:rPr>
              <w:t>建设年</w:t>
            </w:r>
          </w:p>
        </w:tc>
        <w:tc>
          <w:tcPr>
            <w:tcW w:w="3218"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项目名称</w:t>
            </w:r>
          </w:p>
        </w:tc>
        <w:tc>
          <w:tcPr>
            <w:tcW w:w="1510"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规模</w:t>
            </w:r>
          </w:p>
        </w:tc>
        <w:tc>
          <w:tcPr>
            <w:tcW w:w="1444"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投资（万元）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Ex>
        <w:trPr>
          <w:trHeight w:val="397" w:hRule="atLeast"/>
          <w:tblHeader/>
          <w:jc w:val="center"/>
        </w:trPr>
        <w:tc>
          <w:tcPr>
            <w:tcW w:w="2488" w:type="dxa"/>
            <w:vAlign w:val="center"/>
          </w:tcPr>
          <w:p>
            <w:pPr>
              <w:widowControl/>
              <w:jc w:val="center"/>
              <w:rPr>
                <w:rFonts w:ascii="宋体" w:hAnsi="宋体" w:eastAsia="宋体"/>
                <w:sz w:val="20"/>
                <w:szCs w:val="20"/>
              </w:rPr>
            </w:pPr>
            <w:r>
              <w:rPr>
                <w:rFonts w:hint="eastAsia" w:ascii="宋体" w:hAnsi="宋体" w:eastAsia="宋体"/>
                <w:sz w:val="20"/>
                <w:szCs w:val="20"/>
              </w:rPr>
              <w:t>配电</w:t>
            </w:r>
            <w:r>
              <w:rPr>
                <w:rFonts w:ascii="宋体" w:hAnsi="宋体" w:eastAsia="宋体"/>
                <w:sz w:val="20"/>
                <w:szCs w:val="20"/>
              </w:rPr>
              <w:t>自动化</w:t>
            </w:r>
          </w:p>
        </w:tc>
        <w:tc>
          <w:tcPr>
            <w:tcW w:w="3218"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DTU终端</w:t>
            </w:r>
          </w:p>
        </w:tc>
        <w:tc>
          <w:tcPr>
            <w:tcW w:w="1510" w:type="dxa"/>
            <w:shd w:val="clear" w:color="auto" w:fill="auto"/>
            <w:vAlign w:val="center"/>
          </w:tcPr>
          <w:p>
            <w:pPr>
              <w:widowControl/>
              <w:jc w:val="center"/>
              <w:rPr>
                <w:rFonts w:ascii="宋体" w:hAnsi="宋体" w:eastAsia="宋体"/>
                <w:sz w:val="20"/>
                <w:szCs w:val="20"/>
              </w:rPr>
            </w:pPr>
            <w:r>
              <w:rPr>
                <w:rFonts w:ascii="宋体" w:hAnsi="宋体" w:eastAsia="宋体"/>
                <w:sz w:val="20"/>
                <w:szCs w:val="20"/>
              </w:rPr>
              <w:t>8</w:t>
            </w:r>
            <w:r>
              <w:rPr>
                <w:rFonts w:hint="eastAsia" w:ascii="宋体" w:hAnsi="宋体" w:eastAsia="宋体"/>
                <w:sz w:val="20"/>
                <w:szCs w:val="20"/>
              </w:rPr>
              <w:t>台</w:t>
            </w:r>
          </w:p>
        </w:tc>
        <w:tc>
          <w:tcPr>
            <w:tcW w:w="1444" w:type="dxa"/>
            <w:shd w:val="clear" w:color="auto" w:fill="auto"/>
            <w:vAlign w:val="center"/>
          </w:tcPr>
          <w:p>
            <w:pPr>
              <w:widowControl/>
              <w:jc w:val="center"/>
              <w:rPr>
                <w:rFonts w:ascii="宋体" w:hAnsi="宋体" w:eastAsia="宋体"/>
                <w:sz w:val="20"/>
                <w:szCs w:val="20"/>
              </w:rPr>
            </w:pPr>
            <w:r>
              <w:rPr>
                <w:rFonts w:ascii="宋体" w:hAnsi="宋体" w:eastAsia="宋体"/>
                <w:sz w:val="20"/>
                <w:szCs w:val="20"/>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Ex>
        <w:trPr>
          <w:trHeight w:val="397" w:hRule="atLeast"/>
          <w:tblHeader/>
          <w:jc w:val="center"/>
        </w:trPr>
        <w:tc>
          <w:tcPr>
            <w:tcW w:w="2488" w:type="dxa"/>
            <w:vMerge w:val="restart"/>
            <w:vAlign w:val="center"/>
          </w:tcPr>
          <w:p>
            <w:pPr>
              <w:widowControl/>
              <w:jc w:val="center"/>
              <w:rPr>
                <w:rFonts w:ascii="宋体" w:hAnsi="宋体" w:eastAsia="宋体"/>
                <w:sz w:val="20"/>
                <w:szCs w:val="20"/>
              </w:rPr>
            </w:pPr>
            <w:r>
              <w:rPr>
                <w:rFonts w:hint="eastAsia" w:ascii="宋体" w:hAnsi="宋体" w:eastAsia="宋体"/>
                <w:sz w:val="20"/>
                <w:szCs w:val="20"/>
              </w:rPr>
              <w:t>系统</w:t>
            </w:r>
            <w:r>
              <w:rPr>
                <w:rFonts w:ascii="宋体" w:hAnsi="宋体" w:eastAsia="宋体"/>
                <w:sz w:val="20"/>
                <w:szCs w:val="20"/>
              </w:rPr>
              <w:t>通信</w:t>
            </w:r>
          </w:p>
        </w:tc>
        <w:tc>
          <w:tcPr>
            <w:tcW w:w="3218"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OLT</w:t>
            </w:r>
          </w:p>
        </w:tc>
        <w:tc>
          <w:tcPr>
            <w:tcW w:w="1510"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1台</w:t>
            </w:r>
          </w:p>
        </w:tc>
        <w:tc>
          <w:tcPr>
            <w:tcW w:w="1444"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Ex>
        <w:trPr>
          <w:trHeight w:val="397" w:hRule="atLeast"/>
          <w:tblHeader/>
          <w:jc w:val="center"/>
        </w:trPr>
        <w:tc>
          <w:tcPr>
            <w:tcW w:w="2488" w:type="dxa"/>
            <w:vMerge w:val="continue"/>
            <w:vAlign w:val="center"/>
          </w:tcPr>
          <w:p>
            <w:pPr>
              <w:widowControl/>
              <w:jc w:val="center"/>
              <w:rPr>
                <w:rFonts w:ascii="宋体" w:hAnsi="宋体" w:eastAsia="宋体"/>
                <w:sz w:val="20"/>
                <w:szCs w:val="20"/>
              </w:rPr>
            </w:pPr>
          </w:p>
        </w:tc>
        <w:tc>
          <w:tcPr>
            <w:tcW w:w="3218"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ON</w:t>
            </w:r>
            <w:r>
              <w:rPr>
                <w:rFonts w:ascii="宋体" w:hAnsi="宋体" w:eastAsia="宋体"/>
                <w:sz w:val="20"/>
                <w:szCs w:val="20"/>
              </w:rPr>
              <w:t>U</w:t>
            </w:r>
          </w:p>
        </w:tc>
        <w:tc>
          <w:tcPr>
            <w:tcW w:w="1510"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8个</w:t>
            </w:r>
          </w:p>
        </w:tc>
        <w:tc>
          <w:tcPr>
            <w:tcW w:w="1444"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Ex>
        <w:trPr>
          <w:trHeight w:val="397" w:hRule="atLeast"/>
          <w:tblHeader/>
          <w:jc w:val="center"/>
        </w:trPr>
        <w:tc>
          <w:tcPr>
            <w:tcW w:w="2488" w:type="dxa"/>
            <w:vMerge w:val="continue"/>
            <w:vAlign w:val="center"/>
          </w:tcPr>
          <w:p>
            <w:pPr>
              <w:widowControl/>
              <w:jc w:val="center"/>
              <w:rPr>
                <w:rFonts w:ascii="宋体" w:hAnsi="宋体" w:eastAsia="宋体"/>
                <w:sz w:val="20"/>
                <w:szCs w:val="20"/>
              </w:rPr>
            </w:pPr>
          </w:p>
        </w:tc>
        <w:tc>
          <w:tcPr>
            <w:tcW w:w="3218"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10kV光缆</w:t>
            </w:r>
          </w:p>
        </w:tc>
        <w:tc>
          <w:tcPr>
            <w:tcW w:w="1510"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5公里</w:t>
            </w:r>
          </w:p>
        </w:tc>
        <w:tc>
          <w:tcPr>
            <w:tcW w:w="1444"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Ex>
        <w:trPr>
          <w:trHeight w:val="397" w:hRule="atLeast"/>
          <w:tblHeader/>
          <w:jc w:val="center"/>
        </w:trPr>
        <w:tc>
          <w:tcPr>
            <w:tcW w:w="2488" w:type="dxa"/>
            <w:vMerge w:val="continue"/>
            <w:vAlign w:val="center"/>
          </w:tcPr>
          <w:p>
            <w:pPr>
              <w:widowControl/>
              <w:jc w:val="center"/>
              <w:rPr>
                <w:rFonts w:ascii="宋体" w:hAnsi="宋体" w:eastAsia="宋体"/>
                <w:sz w:val="20"/>
                <w:szCs w:val="20"/>
              </w:rPr>
            </w:pPr>
          </w:p>
        </w:tc>
        <w:tc>
          <w:tcPr>
            <w:tcW w:w="3218"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至县调光缆通道</w:t>
            </w:r>
          </w:p>
        </w:tc>
        <w:tc>
          <w:tcPr>
            <w:tcW w:w="1510" w:type="dxa"/>
            <w:shd w:val="clear" w:color="auto" w:fill="auto"/>
            <w:vAlign w:val="center"/>
          </w:tcPr>
          <w:p>
            <w:pPr>
              <w:widowControl/>
              <w:jc w:val="center"/>
              <w:rPr>
                <w:rFonts w:ascii="宋体" w:hAnsi="宋体" w:eastAsia="宋体"/>
                <w:sz w:val="20"/>
                <w:szCs w:val="20"/>
              </w:rPr>
            </w:pPr>
          </w:p>
        </w:tc>
        <w:tc>
          <w:tcPr>
            <w:tcW w:w="1444"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Ex>
        <w:trPr>
          <w:trHeight w:val="397" w:hRule="atLeast"/>
          <w:tblHeader/>
          <w:jc w:val="center"/>
        </w:trPr>
        <w:tc>
          <w:tcPr>
            <w:tcW w:w="7216" w:type="dxa"/>
            <w:gridSpan w:val="3"/>
            <w:vAlign w:val="center"/>
          </w:tcPr>
          <w:p>
            <w:pPr>
              <w:widowControl/>
              <w:jc w:val="center"/>
              <w:rPr>
                <w:rFonts w:ascii="宋体" w:hAnsi="宋体" w:eastAsia="宋体"/>
                <w:sz w:val="20"/>
                <w:szCs w:val="20"/>
              </w:rPr>
            </w:pPr>
            <w:r>
              <w:rPr>
                <w:rFonts w:hint="eastAsia" w:ascii="宋体" w:hAnsi="宋体" w:eastAsia="宋体"/>
                <w:sz w:val="20"/>
                <w:szCs w:val="20"/>
              </w:rPr>
              <w:t>合计</w:t>
            </w:r>
          </w:p>
        </w:tc>
        <w:tc>
          <w:tcPr>
            <w:tcW w:w="1444" w:type="dxa"/>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124</w:t>
            </w:r>
          </w:p>
        </w:tc>
      </w:tr>
    </w:tbl>
    <w:p>
      <w:pPr>
        <w:pStyle w:val="8"/>
        <w:kinsoku w:val="0"/>
        <w:overflowPunct w:val="0"/>
        <w:spacing w:before="0"/>
        <w:ind w:left="0"/>
        <w:rPr>
          <w:sz w:val="20"/>
          <w:szCs w:val="20"/>
        </w:rPr>
      </w:pPr>
    </w:p>
    <w:p>
      <w:pPr>
        <w:pStyle w:val="2"/>
        <w:pageBreakBefore w:val="0"/>
        <w:widowControl w:val="0"/>
        <w:wordWrap/>
        <w:topLinePunct w:val="0"/>
        <w:bidi w:val="0"/>
        <w:spacing w:before="0" w:beforeLines="0" w:after="0" w:afterLines="0" w:line="579" w:lineRule="exact"/>
        <w:ind w:left="0" w:right="0" w:firstLine="640" w:firstLineChars="200"/>
        <w:textAlignment w:val="auto"/>
        <w:rPr>
          <w:rFonts w:hint="default" w:ascii="Times New Roman" w:hAnsi="Times New Roman" w:cs="Times New Roman"/>
          <w:b w:val="0"/>
          <w:sz w:val="32"/>
          <w:szCs w:val="32"/>
        </w:rPr>
      </w:pPr>
      <w:bookmarkStart w:id="103" w:name="bookmark33"/>
      <w:bookmarkEnd w:id="103"/>
      <w:bookmarkStart w:id="104" w:name="_Toc19199815"/>
      <w:bookmarkStart w:id="105" w:name="_Toc23169620"/>
      <w:r>
        <w:rPr>
          <w:rFonts w:hint="default" w:ascii="Times New Roman" w:hAnsi="Times New Roman" w:cs="Times New Roman"/>
          <w:b w:val="0"/>
          <w:sz w:val="32"/>
          <w:szCs w:val="32"/>
        </w:rPr>
        <w:t>九、电能质量规划</w:t>
      </w:r>
      <w:bookmarkEnd w:id="104"/>
      <w:bookmarkEnd w:id="105"/>
    </w:p>
    <w:p>
      <w:pPr>
        <w:pStyle w:val="3"/>
        <w:pageBreakBefore w:val="0"/>
        <w:widowControl w:val="0"/>
        <w:wordWrap/>
        <w:topLinePunct w:val="0"/>
        <w:bidi w:val="0"/>
        <w:spacing w:before="0" w:beforeLines="0" w:after="0" w:afterLines="0" w:line="579" w:lineRule="exact"/>
        <w:ind w:left="0" w:right="0" w:firstLine="640" w:firstLineChars="200"/>
        <w:textAlignment w:val="auto"/>
        <w:rPr>
          <w:rFonts w:hint="default" w:ascii="Times New Roman" w:hAnsi="Times New Roman" w:eastAsia="仿宋_GB2312" w:cs="Times New Roman"/>
          <w:b w:val="0"/>
          <w:sz w:val="32"/>
          <w:szCs w:val="32"/>
        </w:rPr>
      </w:pPr>
      <w:bookmarkStart w:id="106" w:name="_Toc19199816"/>
      <w:bookmarkStart w:id="107" w:name="_Toc23169621"/>
      <w:r>
        <w:rPr>
          <w:rFonts w:hint="default" w:ascii="Times New Roman" w:hAnsi="Times New Roman" w:eastAsia="仿宋_GB2312" w:cs="Times New Roman"/>
          <w:b w:val="0"/>
          <w:sz w:val="32"/>
          <w:szCs w:val="32"/>
        </w:rPr>
        <w:t>（一）概述</w:t>
      </w:r>
      <w:bookmarkEnd w:id="106"/>
      <w:bookmarkEnd w:id="107"/>
    </w:p>
    <w:p>
      <w:pPr>
        <w:pStyle w:val="9"/>
        <w:pageBreakBefore w:val="0"/>
        <w:widowControl w:val="0"/>
        <w:wordWrap/>
        <w:topLinePunct w:val="0"/>
        <w:bidi w:val="0"/>
        <w:spacing w:line="579" w:lineRule="exact"/>
        <w:ind w:left="0" w:righ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电能质量问题有以下特点：</w:t>
      </w:r>
    </w:p>
    <w:p>
      <w:pPr>
        <w:pStyle w:val="9"/>
        <w:pageBreakBefore w:val="0"/>
        <w:widowControl w:val="0"/>
        <w:wordWrap/>
        <w:topLinePunct w:val="0"/>
        <w:bidi w:val="0"/>
        <w:spacing w:line="579" w:lineRule="exact"/>
        <w:ind w:left="0" w:righ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1．电力系统里的电能质量始终处在动态变化中，这取决于：电力系统的潮流本身不停变化；大部分用户行为对于电力系统来讲是随机的。</w:t>
      </w:r>
    </w:p>
    <w:p>
      <w:pPr>
        <w:pStyle w:val="9"/>
        <w:pageBreakBefore w:val="0"/>
        <w:widowControl w:val="0"/>
        <w:wordWrap/>
        <w:topLinePunct w:val="0"/>
        <w:bidi w:val="0"/>
        <w:spacing w:line="579" w:lineRule="exact"/>
        <w:ind w:left="0" w:righ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2．电力系统是个整体，其电能质量状况是电网、用户、电厂共同作用的结果，相互影响。电能不易储存，其生产、输送、分配和转换直至消耗几乎是同时进行的。</w:t>
      </w:r>
    </w:p>
    <w:p>
      <w:pPr>
        <w:pStyle w:val="9"/>
        <w:pageBreakBefore w:val="0"/>
        <w:widowControl w:val="0"/>
        <w:wordWrap/>
        <w:topLinePunct w:val="0"/>
        <w:bidi w:val="0"/>
        <w:spacing w:line="579" w:lineRule="exact"/>
        <w:ind w:left="0" w:righ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电能质量扰动具有潜在危害性与广泛传播性。危害性主要是针对用户侧来讲，电能质量问题会给用户带来经济上、身体上甚至政治上的危害。电网是一个整体，在一个点发生的电能质量问题会影响一个较大的范围，这就是电能质量的广泛传播性。</w:t>
      </w:r>
    </w:p>
    <w:p>
      <w:pPr>
        <w:pStyle w:val="9"/>
        <w:pageBreakBefore w:val="0"/>
        <w:widowControl w:val="0"/>
        <w:wordWrap/>
        <w:topLinePunct w:val="0"/>
        <w:bidi w:val="0"/>
        <w:spacing w:line="579" w:lineRule="exact"/>
        <w:ind w:left="0" w:righ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4．有些情况下用户是保证电能质量的主体部分，特别是在现代工业条件下尤其明显，因为现代工业中大量采用直流负荷，这些负荷是非线性的，会往电网注入谐波、无功等，这就导致了一些电能质量问题。</w:t>
      </w:r>
    </w:p>
    <w:p>
      <w:pPr>
        <w:pStyle w:val="9"/>
        <w:pageBreakBefore w:val="0"/>
        <w:widowControl w:val="0"/>
        <w:wordWrap/>
        <w:topLinePunct w:val="0"/>
        <w:bidi w:val="0"/>
        <w:spacing w:line="579" w:lineRule="exact"/>
        <w:ind w:left="0" w:righ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5．电能质量事件，尤其是电压暂升/降，电压短时中断，这些都有很大的随机性，而且是不可避免的，评估特定区域的电能质量情况其实是非常困难的。</w:t>
      </w:r>
    </w:p>
    <w:p>
      <w:pPr>
        <w:pStyle w:val="9"/>
        <w:pageBreakBefore w:val="0"/>
        <w:widowControl w:val="0"/>
        <w:wordWrap/>
        <w:topLinePunct w:val="0"/>
        <w:bidi w:val="0"/>
        <w:spacing w:line="579" w:lineRule="exact"/>
        <w:ind w:left="0" w:righ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电能质量问题主要包含以下几种：无功补偿、谐波、电压偏差、三相不平衡及电压波动和闪变。电能质量标准是保证电网安全经济运行、保护电气环境、保障电力用户正常使用电能的基本技术规范，是实施电能质量监督管理，推广电能质量控制技术，维护供用电双方合法权益的法律依据。因此针对上述电能质量问题的几种类型，简述相关的解决措施。</w:t>
      </w:r>
    </w:p>
    <w:p>
      <w:pPr>
        <w:pStyle w:val="3"/>
        <w:pageBreakBefore w:val="0"/>
        <w:widowControl w:val="0"/>
        <w:wordWrap/>
        <w:topLinePunct w:val="0"/>
        <w:bidi w:val="0"/>
        <w:spacing w:before="0" w:beforeLines="0" w:after="0" w:afterLines="0" w:line="579" w:lineRule="exact"/>
        <w:ind w:left="0" w:right="0" w:firstLine="640" w:firstLineChars="200"/>
        <w:textAlignment w:val="auto"/>
        <w:rPr>
          <w:rFonts w:hint="default" w:ascii="Times New Roman" w:hAnsi="Times New Roman" w:eastAsia="仿宋_GB2312" w:cs="Times New Roman"/>
          <w:b w:val="0"/>
          <w:sz w:val="32"/>
          <w:szCs w:val="32"/>
        </w:rPr>
      </w:pPr>
      <w:bookmarkStart w:id="108" w:name="bookmark35"/>
      <w:bookmarkEnd w:id="108"/>
      <w:bookmarkStart w:id="109" w:name="_Toc19199817"/>
      <w:bookmarkStart w:id="110" w:name="_Toc23169622"/>
      <w:r>
        <w:rPr>
          <w:rFonts w:hint="default" w:ascii="Times New Roman" w:hAnsi="Times New Roman" w:eastAsia="仿宋_GB2312" w:cs="Times New Roman"/>
          <w:b w:val="0"/>
          <w:sz w:val="32"/>
          <w:szCs w:val="32"/>
        </w:rPr>
        <w:t>（二）无功补偿</w:t>
      </w:r>
      <w:bookmarkEnd w:id="109"/>
      <w:bookmarkEnd w:id="110"/>
    </w:p>
    <w:p>
      <w:pPr>
        <w:pStyle w:val="9"/>
        <w:pageBreakBefore w:val="0"/>
        <w:widowControl w:val="0"/>
        <w:wordWrap/>
        <w:topLinePunct w:val="0"/>
        <w:bidi w:val="0"/>
        <w:spacing w:line="579" w:lineRule="exact"/>
        <w:ind w:left="0" w:righ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通过无功补偿提高电能质量的主要技术措施是采用无功补偿电容器，分为：</w:t>
      </w:r>
    </w:p>
    <w:p>
      <w:pPr>
        <w:pStyle w:val="9"/>
        <w:pageBreakBefore w:val="0"/>
        <w:widowControl w:val="0"/>
        <w:wordWrap/>
        <w:topLinePunct w:val="0"/>
        <w:bidi w:val="0"/>
        <w:spacing w:line="579" w:lineRule="exact"/>
        <w:ind w:left="0" w:righ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1．低压分散补偿</w:t>
      </w:r>
    </w:p>
    <w:p>
      <w:pPr>
        <w:pStyle w:val="9"/>
        <w:pageBreakBefore w:val="0"/>
        <w:widowControl w:val="0"/>
        <w:wordWrap/>
        <w:topLinePunct w:val="0"/>
        <w:bidi w:val="0"/>
        <w:spacing w:line="579" w:lineRule="exact"/>
        <w:ind w:left="0" w:righ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根据个别用电设备对无功的需要量将单台或多台低压电容器组分散地与用电设备并接，通过控制、保护装置与电机同时投切。</w:t>
      </w:r>
    </w:p>
    <w:p>
      <w:pPr>
        <w:pStyle w:val="9"/>
        <w:pageBreakBefore w:val="0"/>
        <w:widowControl w:val="0"/>
        <w:wordWrap/>
        <w:topLinePunct w:val="0"/>
        <w:bidi w:val="0"/>
        <w:spacing w:line="579" w:lineRule="exact"/>
        <w:ind w:left="0" w:righ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2．低压集中补偿</w:t>
      </w:r>
    </w:p>
    <w:p>
      <w:pPr>
        <w:pStyle w:val="9"/>
        <w:pageBreakBefore w:val="0"/>
        <w:widowControl w:val="0"/>
        <w:wordWrap/>
        <w:topLinePunct w:val="0"/>
        <w:bidi w:val="0"/>
        <w:spacing w:line="579" w:lineRule="exact"/>
        <w:ind w:left="0" w:righ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将低压电容器通过低压开关接在配电变压器低压母线侧，以无功补偿投切装置作为控制保护装置，根据低压母线上的无功负荷直接控制电容器的投切。</w:t>
      </w:r>
    </w:p>
    <w:p>
      <w:pPr>
        <w:pStyle w:val="9"/>
        <w:pageBreakBefore w:val="0"/>
        <w:widowControl w:val="0"/>
        <w:wordWrap/>
        <w:topLinePunct w:val="0"/>
        <w:bidi w:val="0"/>
        <w:spacing w:line="579" w:lineRule="exact"/>
        <w:ind w:left="0" w:righ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3．10千伏线路单点集中补偿</w:t>
      </w:r>
    </w:p>
    <w:p>
      <w:pPr>
        <w:pStyle w:val="9"/>
        <w:pageBreakBefore w:val="0"/>
        <w:widowControl w:val="0"/>
        <w:wordWrap/>
        <w:topLinePunct w:val="0"/>
        <w:bidi w:val="0"/>
        <w:spacing w:line="579" w:lineRule="exact"/>
        <w:ind w:left="0" w:righ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在负荷的集中点前端进行单点集中补偿，补偿的容量根据平时负荷进行计算，并在此基础上留有余量，补偿级数根据容量大小选择。远期规划中，对试点区域内新增配变同步加装低压无功补偿装置，无功自动补偿装置容量按照变压器容量10%～30%配置。参考试点区域周边无功补偿装置装设比例，试点区域无功补偿装置装设比例取20%。2025年试点区域新增35千伏变电容量63兆伏安，因此，无功自动补偿装置容量约12.6兆乏。</w:t>
      </w:r>
    </w:p>
    <w:p>
      <w:pPr>
        <w:pStyle w:val="3"/>
        <w:pageBreakBefore w:val="0"/>
        <w:widowControl w:val="0"/>
        <w:wordWrap/>
        <w:topLinePunct w:val="0"/>
        <w:bidi w:val="0"/>
        <w:spacing w:before="0" w:beforeLines="0" w:after="0" w:afterLines="0" w:line="579" w:lineRule="exact"/>
        <w:ind w:left="0" w:right="0" w:firstLine="640" w:firstLineChars="200"/>
        <w:textAlignment w:val="auto"/>
        <w:rPr>
          <w:rFonts w:hint="default" w:ascii="Times New Roman" w:hAnsi="Times New Roman" w:cs="Times New Roman"/>
          <w:spacing w:val="24"/>
          <w:w w:val="99"/>
        </w:rPr>
      </w:pPr>
      <w:bookmarkStart w:id="111" w:name="bookmark36"/>
      <w:bookmarkEnd w:id="111"/>
      <w:bookmarkStart w:id="112" w:name="_Toc23169623"/>
      <w:r>
        <w:rPr>
          <w:rFonts w:hint="default" w:ascii="Times New Roman" w:hAnsi="Times New Roman" w:eastAsia="仿宋_GB2312" w:cs="Times New Roman"/>
          <w:b w:val="0"/>
          <w:sz w:val="32"/>
          <w:szCs w:val="32"/>
        </w:rPr>
        <w:t>（三）谐波控制</w:t>
      </w:r>
      <w:bookmarkEnd w:id="112"/>
    </w:p>
    <w:p>
      <w:pPr>
        <w:pStyle w:val="9"/>
        <w:pageBreakBefore w:val="0"/>
        <w:widowControl w:val="0"/>
        <w:wordWrap/>
        <w:topLinePunct w:val="0"/>
        <w:bidi w:val="0"/>
        <w:spacing w:line="579" w:lineRule="exact"/>
        <w:ind w:left="0" w:righ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在电力系统中谐波产生的根本原因是由于非线性负载所致，工业企业非线性设备较为普遍，尤其是电力电子类设备，由于其试点区以印刷包装和塑料制品、轻工制造等产业为主，需重点开展谐波治理，提升电网质量：</w:t>
      </w:r>
    </w:p>
    <w:p>
      <w:pPr>
        <w:pStyle w:val="9"/>
        <w:pageBreakBefore w:val="0"/>
        <w:widowControl w:val="0"/>
        <w:wordWrap/>
        <w:topLinePunct w:val="0"/>
        <w:bidi w:val="0"/>
        <w:spacing w:line="579" w:lineRule="exact"/>
        <w:ind w:left="0" w:righ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1）建立完善谐波监督防范体系，实现谐波管理规范化；</w:t>
      </w:r>
    </w:p>
    <w:p>
      <w:pPr>
        <w:pStyle w:val="9"/>
        <w:pageBreakBefore w:val="0"/>
        <w:widowControl w:val="0"/>
        <w:wordWrap/>
        <w:topLinePunct w:val="0"/>
        <w:bidi w:val="0"/>
        <w:spacing w:line="579" w:lineRule="exact"/>
        <w:ind w:left="0" w:righ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2）有针对、有重点开展谐波实测；</w:t>
      </w:r>
    </w:p>
    <w:p>
      <w:pPr>
        <w:pStyle w:val="9"/>
        <w:pageBreakBefore w:val="0"/>
        <w:widowControl w:val="0"/>
        <w:wordWrap/>
        <w:topLinePunct w:val="0"/>
        <w:bidi w:val="0"/>
        <w:spacing w:line="579" w:lineRule="exact"/>
        <w:ind w:left="0" w:righ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3）谐波源用户投产时，消谐滤波装置必须同步投运。</w:t>
      </w:r>
    </w:p>
    <w:p>
      <w:pPr>
        <w:pStyle w:val="9"/>
        <w:pageBreakBefore w:val="0"/>
        <w:widowControl w:val="0"/>
        <w:wordWrap/>
        <w:topLinePunct w:val="0"/>
        <w:bidi w:val="0"/>
        <w:spacing w:line="579" w:lineRule="exact"/>
        <w:ind w:left="0" w:righ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公用电网谐波电压（相电压）允许限值见表9-1。</w:t>
      </w:r>
    </w:p>
    <w:p>
      <w:pPr>
        <w:pStyle w:val="9"/>
        <w:pageBreakBefore w:val="0"/>
        <w:widowControl w:val="0"/>
        <w:wordWrap/>
        <w:topLinePunct w:val="0"/>
        <w:bidi w:val="0"/>
        <w:adjustRightInd w:val="0"/>
        <w:snapToGrid w:val="0"/>
        <w:spacing w:line="579" w:lineRule="exact"/>
        <w:ind w:left="0" w:right="0" w:firstLine="140" w:firstLineChars="50"/>
        <w:textAlignment w:val="auto"/>
        <w:rPr>
          <w:rFonts w:hint="default" w:ascii="Times New Roman" w:hAnsi="Times New Roman" w:eastAsia="仿宋_GB2312" w:cs="Times New Roman"/>
          <w:szCs w:val="28"/>
        </w:rPr>
      </w:pPr>
      <w:r>
        <w:rPr>
          <w:rFonts w:hint="default" w:ascii="Times New Roman" w:hAnsi="Times New Roman" w:eastAsia="仿宋_GB2312" w:cs="Times New Roman"/>
          <w:szCs w:val="28"/>
        </w:rPr>
        <w:t>表9-1             各电压等级电网谐波电压限值</w:t>
      </w:r>
    </w:p>
    <w:tbl>
      <w:tblPr>
        <w:tblStyle w:val="23"/>
        <w:tblW w:w="843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09"/>
        <w:gridCol w:w="2109"/>
        <w:gridCol w:w="2109"/>
        <w:gridCol w:w="21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09" w:type="dxa"/>
            <w:shd w:val="clear" w:color="auto" w:fill="auto"/>
            <w:vAlign w:val="center"/>
          </w:tcPr>
          <w:p>
            <w:pPr>
              <w:pStyle w:val="9"/>
              <w:spacing w:line="240" w:lineRule="auto"/>
              <w:ind w:firstLine="0"/>
              <w:jc w:val="center"/>
              <w:rPr>
                <w:rFonts w:hAnsi="宋体"/>
                <w:sz w:val="20"/>
                <w:szCs w:val="20"/>
              </w:rPr>
            </w:pPr>
            <w:r>
              <w:rPr>
                <w:rFonts w:hint="eastAsia" w:hAnsi="宋体"/>
                <w:sz w:val="20"/>
                <w:szCs w:val="20"/>
              </w:rPr>
              <w:t>电压（kV）</w:t>
            </w:r>
          </w:p>
        </w:tc>
        <w:tc>
          <w:tcPr>
            <w:tcW w:w="2109" w:type="dxa"/>
            <w:shd w:val="clear" w:color="auto" w:fill="auto"/>
            <w:vAlign w:val="center"/>
          </w:tcPr>
          <w:p>
            <w:pPr>
              <w:pStyle w:val="9"/>
              <w:spacing w:line="240" w:lineRule="auto"/>
              <w:ind w:firstLine="0"/>
              <w:jc w:val="center"/>
              <w:rPr>
                <w:rFonts w:hAnsi="宋体"/>
                <w:sz w:val="20"/>
                <w:szCs w:val="20"/>
              </w:rPr>
            </w:pPr>
            <w:r>
              <w:rPr>
                <w:rFonts w:hint="eastAsia" w:hAnsi="宋体"/>
                <w:sz w:val="20"/>
                <w:szCs w:val="20"/>
              </w:rPr>
              <w:t>总谐波畸变率（%）</w:t>
            </w:r>
          </w:p>
        </w:tc>
        <w:tc>
          <w:tcPr>
            <w:tcW w:w="2109" w:type="dxa"/>
            <w:shd w:val="clear" w:color="auto" w:fill="auto"/>
            <w:vAlign w:val="center"/>
          </w:tcPr>
          <w:p>
            <w:pPr>
              <w:pStyle w:val="9"/>
              <w:spacing w:line="240" w:lineRule="auto"/>
              <w:ind w:firstLine="0"/>
              <w:jc w:val="center"/>
              <w:rPr>
                <w:rFonts w:hAnsi="宋体"/>
                <w:sz w:val="20"/>
                <w:szCs w:val="20"/>
              </w:rPr>
            </w:pPr>
            <w:r>
              <w:rPr>
                <w:rFonts w:hint="eastAsia" w:hAnsi="宋体"/>
                <w:sz w:val="20"/>
                <w:szCs w:val="20"/>
              </w:rPr>
              <w:t>奇次（%）</w:t>
            </w:r>
          </w:p>
        </w:tc>
        <w:tc>
          <w:tcPr>
            <w:tcW w:w="2110" w:type="dxa"/>
            <w:shd w:val="clear" w:color="auto" w:fill="auto"/>
            <w:vAlign w:val="center"/>
          </w:tcPr>
          <w:p>
            <w:pPr>
              <w:pStyle w:val="9"/>
              <w:spacing w:line="240" w:lineRule="auto"/>
              <w:ind w:firstLine="0"/>
              <w:jc w:val="center"/>
              <w:rPr>
                <w:rFonts w:hAnsi="宋体"/>
                <w:b/>
                <w:sz w:val="20"/>
                <w:szCs w:val="20"/>
              </w:rPr>
            </w:pPr>
            <w:r>
              <w:rPr>
                <w:rFonts w:hint="eastAsia" w:hAnsi="宋体"/>
                <w:sz w:val="20"/>
                <w:szCs w:val="20"/>
              </w:rPr>
              <w:t>偶次（%）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09" w:type="dxa"/>
            <w:shd w:val="clear" w:color="auto" w:fill="auto"/>
            <w:vAlign w:val="center"/>
          </w:tcPr>
          <w:p>
            <w:pPr>
              <w:pStyle w:val="9"/>
              <w:spacing w:line="240" w:lineRule="auto"/>
              <w:ind w:firstLine="0"/>
              <w:jc w:val="center"/>
              <w:rPr>
                <w:rFonts w:hAnsi="宋体"/>
                <w:sz w:val="20"/>
                <w:szCs w:val="20"/>
              </w:rPr>
            </w:pPr>
            <w:r>
              <w:rPr>
                <w:rFonts w:hint="eastAsia" w:hAnsi="宋体"/>
                <w:sz w:val="20"/>
                <w:szCs w:val="20"/>
              </w:rPr>
              <w:t>0.38</w:t>
            </w:r>
          </w:p>
        </w:tc>
        <w:tc>
          <w:tcPr>
            <w:tcW w:w="2109" w:type="dxa"/>
            <w:shd w:val="clear" w:color="auto" w:fill="auto"/>
            <w:vAlign w:val="center"/>
          </w:tcPr>
          <w:p>
            <w:pPr>
              <w:pStyle w:val="9"/>
              <w:spacing w:line="240" w:lineRule="auto"/>
              <w:ind w:firstLine="0"/>
              <w:jc w:val="center"/>
              <w:rPr>
                <w:rFonts w:hAnsi="宋体"/>
                <w:sz w:val="20"/>
                <w:szCs w:val="20"/>
              </w:rPr>
            </w:pPr>
            <w:r>
              <w:rPr>
                <w:rFonts w:hint="eastAsia" w:hAnsi="宋体"/>
                <w:sz w:val="20"/>
                <w:szCs w:val="20"/>
              </w:rPr>
              <w:t>5</w:t>
            </w:r>
          </w:p>
        </w:tc>
        <w:tc>
          <w:tcPr>
            <w:tcW w:w="2109" w:type="dxa"/>
            <w:shd w:val="clear" w:color="auto" w:fill="auto"/>
            <w:vAlign w:val="center"/>
          </w:tcPr>
          <w:p>
            <w:pPr>
              <w:pStyle w:val="9"/>
              <w:spacing w:line="240" w:lineRule="auto"/>
              <w:ind w:firstLine="0"/>
              <w:jc w:val="center"/>
              <w:rPr>
                <w:rFonts w:hAnsi="宋体"/>
                <w:sz w:val="20"/>
                <w:szCs w:val="20"/>
              </w:rPr>
            </w:pPr>
            <w:r>
              <w:rPr>
                <w:rFonts w:hint="eastAsia" w:hAnsi="宋体"/>
                <w:sz w:val="20"/>
                <w:szCs w:val="20"/>
              </w:rPr>
              <w:t>4</w:t>
            </w:r>
          </w:p>
        </w:tc>
        <w:tc>
          <w:tcPr>
            <w:tcW w:w="2110" w:type="dxa"/>
            <w:shd w:val="clear" w:color="auto" w:fill="auto"/>
            <w:vAlign w:val="center"/>
          </w:tcPr>
          <w:p>
            <w:pPr>
              <w:pStyle w:val="9"/>
              <w:spacing w:line="240" w:lineRule="auto"/>
              <w:ind w:firstLine="0"/>
              <w:jc w:val="center"/>
              <w:rPr>
                <w:rFonts w:hAnsi="宋体"/>
                <w:sz w:val="20"/>
                <w:szCs w:val="20"/>
              </w:rPr>
            </w:pPr>
            <w:r>
              <w:rPr>
                <w:rFonts w:hint="eastAsia" w:hAnsi="宋体"/>
                <w:sz w:val="20"/>
                <w:szCs w:val="20"/>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09" w:type="dxa"/>
            <w:shd w:val="clear" w:color="auto" w:fill="auto"/>
            <w:vAlign w:val="center"/>
          </w:tcPr>
          <w:p>
            <w:pPr>
              <w:pStyle w:val="9"/>
              <w:spacing w:line="240" w:lineRule="auto"/>
              <w:ind w:firstLine="0"/>
              <w:jc w:val="center"/>
              <w:rPr>
                <w:rFonts w:hAnsi="宋体"/>
                <w:sz w:val="20"/>
                <w:szCs w:val="20"/>
              </w:rPr>
            </w:pPr>
            <w:r>
              <w:rPr>
                <w:rFonts w:hint="eastAsia" w:hAnsi="宋体"/>
                <w:sz w:val="20"/>
                <w:szCs w:val="20"/>
              </w:rPr>
              <w:t>10（6）</w:t>
            </w:r>
          </w:p>
        </w:tc>
        <w:tc>
          <w:tcPr>
            <w:tcW w:w="2109" w:type="dxa"/>
            <w:shd w:val="clear" w:color="auto" w:fill="auto"/>
            <w:vAlign w:val="center"/>
          </w:tcPr>
          <w:p>
            <w:pPr>
              <w:pStyle w:val="9"/>
              <w:spacing w:line="240" w:lineRule="auto"/>
              <w:ind w:firstLine="0"/>
              <w:jc w:val="center"/>
              <w:rPr>
                <w:rFonts w:hAnsi="宋体"/>
                <w:sz w:val="20"/>
                <w:szCs w:val="20"/>
              </w:rPr>
            </w:pPr>
            <w:r>
              <w:rPr>
                <w:rFonts w:hint="eastAsia" w:hAnsi="宋体"/>
                <w:sz w:val="20"/>
                <w:szCs w:val="20"/>
              </w:rPr>
              <w:t>4</w:t>
            </w:r>
          </w:p>
        </w:tc>
        <w:tc>
          <w:tcPr>
            <w:tcW w:w="2109" w:type="dxa"/>
            <w:shd w:val="clear" w:color="auto" w:fill="auto"/>
            <w:vAlign w:val="center"/>
          </w:tcPr>
          <w:p>
            <w:pPr>
              <w:pStyle w:val="9"/>
              <w:spacing w:line="240" w:lineRule="auto"/>
              <w:ind w:firstLine="0"/>
              <w:jc w:val="center"/>
              <w:rPr>
                <w:rFonts w:hAnsi="宋体"/>
                <w:sz w:val="20"/>
                <w:szCs w:val="20"/>
              </w:rPr>
            </w:pPr>
            <w:r>
              <w:rPr>
                <w:rFonts w:hint="eastAsia" w:hAnsi="宋体"/>
                <w:sz w:val="20"/>
                <w:szCs w:val="20"/>
              </w:rPr>
              <w:t>3.2</w:t>
            </w:r>
          </w:p>
        </w:tc>
        <w:tc>
          <w:tcPr>
            <w:tcW w:w="2110" w:type="dxa"/>
            <w:shd w:val="clear" w:color="auto" w:fill="auto"/>
            <w:vAlign w:val="center"/>
          </w:tcPr>
          <w:p>
            <w:pPr>
              <w:pStyle w:val="9"/>
              <w:spacing w:line="240" w:lineRule="auto"/>
              <w:ind w:firstLine="0"/>
              <w:jc w:val="center"/>
              <w:rPr>
                <w:rFonts w:hAnsi="宋体"/>
                <w:sz w:val="20"/>
                <w:szCs w:val="20"/>
              </w:rPr>
            </w:pPr>
            <w:r>
              <w:rPr>
                <w:rFonts w:hint="eastAsia" w:hAnsi="宋体"/>
                <w:sz w:val="20"/>
                <w:szCs w:val="20"/>
              </w:rPr>
              <w:t>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09" w:type="dxa"/>
            <w:shd w:val="clear" w:color="auto" w:fill="auto"/>
            <w:vAlign w:val="center"/>
          </w:tcPr>
          <w:p>
            <w:pPr>
              <w:pStyle w:val="9"/>
              <w:spacing w:line="240" w:lineRule="auto"/>
              <w:ind w:firstLine="0"/>
              <w:jc w:val="center"/>
              <w:rPr>
                <w:rFonts w:hAnsi="宋体"/>
                <w:sz w:val="20"/>
                <w:szCs w:val="20"/>
              </w:rPr>
            </w:pPr>
            <w:r>
              <w:rPr>
                <w:rFonts w:hint="eastAsia" w:hAnsi="宋体"/>
                <w:sz w:val="20"/>
                <w:szCs w:val="20"/>
              </w:rPr>
              <w:t>35</w:t>
            </w:r>
          </w:p>
        </w:tc>
        <w:tc>
          <w:tcPr>
            <w:tcW w:w="2109" w:type="dxa"/>
            <w:shd w:val="clear" w:color="auto" w:fill="auto"/>
            <w:vAlign w:val="center"/>
          </w:tcPr>
          <w:p>
            <w:pPr>
              <w:pStyle w:val="9"/>
              <w:spacing w:line="240" w:lineRule="auto"/>
              <w:ind w:firstLine="0"/>
              <w:jc w:val="center"/>
              <w:rPr>
                <w:rFonts w:hAnsi="宋体"/>
                <w:sz w:val="20"/>
                <w:szCs w:val="20"/>
              </w:rPr>
            </w:pPr>
            <w:r>
              <w:rPr>
                <w:rFonts w:hint="eastAsia" w:hAnsi="宋体"/>
                <w:sz w:val="20"/>
                <w:szCs w:val="20"/>
              </w:rPr>
              <w:t>3</w:t>
            </w:r>
          </w:p>
        </w:tc>
        <w:tc>
          <w:tcPr>
            <w:tcW w:w="2109" w:type="dxa"/>
            <w:shd w:val="clear" w:color="auto" w:fill="auto"/>
            <w:vAlign w:val="center"/>
          </w:tcPr>
          <w:p>
            <w:pPr>
              <w:pStyle w:val="9"/>
              <w:spacing w:line="240" w:lineRule="auto"/>
              <w:ind w:firstLine="0"/>
              <w:jc w:val="center"/>
              <w:rPr>
                <w:rFonts w:hAnsi="宋体"/>
                <w:sz w:val="20"/>
                <w:szCs w:val="20"/>
              </w:rPr>
            </w:pPr>
            <w:r>
              <w:rPr>
                <w:rFonts w:hint="eastAsia" w:hAnsi="宋体"/>
                <w:sz w:val="20"/>
                <w:szCs w:val="20"/>
              </w:rPr>
              <w:t>2.4</w:t>
            </w:r>
          </w:p>
        </w:tc>
        <w:tc>
          <w:tcPr>
            <w:tcW w:w="2110" w:type="dxa"/>
            <w:shd w:val="clear" w:color="auto" w:fill="auto"/>
            <w:vAlign w:val="center"/>
          </w:tcPr>
          <w:p>
            <w:pPr>
              <w:pStyle w:val="9"/>
              <w:spacing w:line="240" w:lineRule="auto"/>
              <w:ind w:firstLine="0"/>
              <w:jc w:val="center"/>
              <w:rPr>
                <w:rFonts w:hAnsi="宋体"/>
                <w:sz w:val="20"/>
                <w:szCs w:val="20"/>
              </w:rPr>
            </w:pPr>
            <w:r>
              <w:rPr>
                <w:rFonts w:hint="eastAsia" w:hAnsi="宋体"/>
                <w:sz w:val="20"/>
                <w:szCs w:val="20"/>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09" w:type="dxa"/>
            <w:shd w:val="clear" w:color="auto" w:fill="auto"/>
            <w:vAlign w:val="center"/>
          </w:tcPr>
          <w:p>
            <w:pPr>
              <w:pStyle w:val="9"/>
              <w:spacing w:line="240" w:lineRule="auto"/>
              <w:ind w:firstLine="0"/>
              <w:jc w:val="center"/>
              <w:rPr>
                <w:rFonts w:hAnsi="宋体"/>
                <w:sz w:val="20"/>
                <w:szCs w:val="20"/>
              </w:rPr>
            </w:pPr>
            <w:r>
              <w:rPr>
                <w:rFonts w:hint="eastAsia" w:hAnsi="宋体"/>
                <w:sz w:val="20"/>
                <w:szCs w:val="20"/>
              </w:rPr>
              <w:t>110</w:t>
            </w:r>
          </w:p>
        </w:tc>
        <w:tc>
          <w:tcPr>
            <w:tcW w:w="2109" w:type="dxa"/>
            <w:shd w:val="clear" w:color="auto" w:fill="auto"/>
            <w:vAlign w:val="center"/>
          </w:tcPr>
          <w:p>
            <w:pPr>
              <w:pStyle w:val="9"/>
              <w:spacing w:line="240" w:lineRule="auto"/>
              <w:ind w:firstLine="0"/>
              <w:jc w:val="center"/>
              <w:rPr>
                <w:rFonts w:hAnsi="宋体"/>
                <w:sz w:val="20"/>
                <w:szCs w:val="20"/>
              </w:rPr>
            </w:pPr>
            <w:r>
              <w:rPr>
                <w:rFonts w:hint="eastAsia" w:hAnsi="宋体"/>
                <w:sz w:val="20"/>
                <w:szCs w:val="20"/>
              </w:rPr>
              <w:t>2</w:t>
            </w:r>
          </w:p>
        </w:tc>
        <w:tc>
          <w:tcPr>
            <w:tcW w:w="2109" w:type="dxa"/>
            <w:shd w:val="clear" w:color="auto" w:fill="auto"/>
            <w:vAlign w:val="center"/>
          </w:tcPr>
          <w:p>
            <w:pPr>
              <w:pStyle w:val="9"/>
              <w:spacing w:line="240" w:lineRule="auto"/>
              <w:ind w:firstLine="0"/>
              <w:jc w:val="center"/>
              <w:rPr>
                <w:rFonts w:hAnsi="宋体"/>
                <w:sz w:val="20"/>
                <w:szCs w:val="20"/>
              </w:rPr>
            </w:pPr>
            <w:r>
              <w:rPr>
                <w:rFonts w:hint="eastAsia" w:hAnsi="宋体"/>
                <w:sz w:val="20"/>
                <w:szCs w:val="20"/>
              </w:rPr>
              <w:t>1.6</w:t>
            </w:r>
          </w:p>
        </w:tc>
        <w:tc>
          <w:tcPr>
            <w:tcW w:w="2110" w:type="dxa"/>
            <w:shd w:val="clear" w:color="auto" w:fill="auto"/>
            <w:vAlign w:val="center"/>
          </w:tcPr>
          <w:p>
            <w:pPr>
              <w:pStyle w:val="9"/>
              <w:spacing w:line="240" w:lineRule="auto"/>
              <w:ind w:firstLine="0"/>
              <w:jc w:val="center"/>
              <w:rPr>
                <w:rFonts w:hAnsi="宋体"/>
                <w:sz w:val="20"/>
                <w:szCs w:val="20"/>
              </w:rPr>
            </w:pPr>
            <w:r>
              <w:rPr>
                <w:rFonts w:hint="eastAsia" w:hAnsi="宋体"/>
                <w:sz w:val="20"/>
                <w:szCs w:val="20"/>
              </w:rPr>
              <w:t>0.8</w:t>
            </w:r>
          </w:p>
        </w:tc>
      </w:tr>
    </w:tbl>
    <w:p>
      <w:pPr>
        <w:pStyle w:val="9"/>
        <w:pageBreakBefore w:val="0"/>
        <w:widowControl w:val="0"/>
        <w:wordWrap/>
        <w:topLinePunct w:val="0"/>
        <w:bidi w:val="0"/>
        <w:spacing w:line="579" w:lineRule="exact"/>
        <w:ind w:left="0" w:right="0" w:firstLine="640" w:firstLineChars="200"/>
        <w:textAlignment w:val="auto"/>
        <w:rPr>
          <w:rFonts w:hint="default" w:ascii="Times New Roman" w:hAnsi="Times New Roman" w:eastAsia="仿宋_GB2312" w:cs="Times New Roman"/>
          <w:sz w:val="32"/>
          <w:szCs w:val="32"/>
        </w:rPr>
      </w:pPr>
      <w:bookmarkStart w:id="113" w:name="bookmark37"/>
      <w:bookmarkEnd w:id="113"/>
      <w:bookmarkStart w:id="114" w:name="_Toc23169624"/>
      <w:r>
        <w:rPr>
          <w:rFonts w:hint="eastAsia" w:ascii="Times New Roman" w:hAnsi="Times New Roman" w:eastAsia="仿宋_GB2312" w:cs="Times New Roman"/>
          <w:sz w:val="32"/>
          <w:szCs w:val="32"/>
        </w:rPr>
        <w:t>（四）电压允许偏差</w:t>
      </w:r>
      <w:bookmarkEnd w:id="114"/>
    </w:p>
    <w:p>
      <w:pPr>
        <w:pStyle w:val="9"/>
        <w:pageBreakBefore w:val="0"/>
        <w:widowControl w:val="0"/>
        <w:wordWrap/>
        <w:topLinePunct w:val="0"/>
        <w:bidi w:val="0"/>
        <w:spacing w:line="579" w:lineRule="exact"/>
        <w:ind w:left="0" w:right="0"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rPr>
        <w:t>在电力系统正常状况下，用户受电端的供电电压允许偏差为：</w:t>
      </w:r>
    </w:p>
    <w:p>
      <w:pPr>
        <w:pStyle w:val="9"/>
        <w:pageBreakBefore w:val="0"/>
        <w:widowControl w:val="0"/>
        <w:wordWrap/>
        <w:topLinePunct w:val="0"/>
        <w:bidi w:val="0"/>
        <w:spacing w:line="579" w:lineRule="exact"/>
        <w:ind w:left="0" w:righ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hint="default" w:ascii="Times New Roman" w:hAnsi="Times New Roman" w:eastAsia="仿宋_GB2312" w:cs="Times New Roman"/>
          <w:sz w:val="32"/>
          <w:szCs w:val="32"/>
        </w:rPr>
        <w:t>35</w:t>
      </w:r>
      <w:r>
        <w:rPr>
          <w:rFonts w:hint="eastAsia" w:ascii="Times New Roman" w:hAnsi="Times New Roman" w:eastAsia="仿宋_GB2312" w:cs="Times New Roman"/>
          <w:sz w:val="32"/>
          <w:szCs w:val="32"/>
        </w:rPr>
        <w:t>千伏供电电压正负偏差的绝对值之和不超过额定电压的</w:t>
      </w:r>
      <w:r>
        <w:rPr>
          <w:rFonts w:hint="default" w:ascii="Times New Roman" w:hAnsi="Times New Roman" w:eastAsia="仿宋_GB2312" w:cs="Times New Roman"/>
          <w:sz w:val="32"/>
          <w:szCs w:val="32"/>
        </w:rPr>
        <w:t>10%</w:t>
      </w:r>
      <w:r>
        <w:rPr>
          <w:rFonts w:hint="eastAsia" w:ascii="Times New Roman" w:hAnsi="Times New Roman" w:eastAsia="仿宋_GB2312" w:cs="Times New Roman"/>
          <w:sz w:val="32"/>
          <w:szCs w:val="32"/>
        </w:rPr>
        <w:t>；</w:t>
      </w:r>
    </w:p>
    <w:p>
      <w:pPr>
        <w:pStyle w:val="9"/>
        <w:pageBreakBefore w:val="0"/>
        <w:widowControl w:val="0"/>
        <w:wordWrap/>
        <w:topLinePunct w:val="0"/>
        <w:bidi w:val="0"/>
        <w:spacing w:line="579" w:lineRule="exact"/>
        <w:ind w:left="0" w:righ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hint="default" w:ascii="Times New Roman" w:hAnsi="Times New Roman" w:eastAsia="仿宋_GB2312" w:cs="Times New Roman"/>
          <w:sz w:val="32"/>
          <w:szCs w:val="32"/>
        </w:rPr>
        <w:t>10</w:t>
      </w:r>
      <w:r>
        <w:rPr>
          <w:rFonts w:hint="eastAsia" w:ascii="Times New Roman" w:hAnsi="Times New Roman" w:eastAsia="仿宋_GB2312" w:cs="Times New Roman"/>
          <w:sz w:val="32"/>
          <w:szCs w:val="32"/>
        </w:rPr>
        <w:t>千伏及以下三相供电电压允许偏差为额定电压的±</w:t>
      </w:r>
      <w:r>
        <w:rPr>
          <w:rFonts w:hint="default" w:ascii="Times New Roman" w:hAnsi="Times New Roman" w:eastAsia="仿宋_GB2312" w:cs="Times New Roman"/>
          <w:sz w:val="32"/>
          <w:szCs w:val="32"/>
        </w:rPr>
        <w:t>7%</w:t>
      </w:r>
      <w:r>
        <w:rPr>
          <w:rFonts w:hint="eastAsia" w:ascii="Times New Roman" w:hAnsi="Times New Roman" w:eastAsia="仿宋_GB2312" w:cs="Times New Roman"/>
          <w:sz w:val="32"/>
          <w:szCs w:val="32"/>
        </w:rPr>
        <w:t>；</w:t>
      </w:r>
    </w:p>
    <w:p>
      <w:pPr>
        <w:pStyle w:val="9"/>
        <w:pageBreakBefore w:val="0"/>
        <w:widowControl w:val="0"/>
        <w:wordWrap/>
        <w:topLinePunct w:val="0"/>
        <w:bidi w:val="0"/>
        <w:spacing w:line="579" w:lineRule="exact"/>
        <w:ind w:left="0" w:righ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w:t>
      </w:r>
      <w:r>
        <w:rPr>
          <w:rFonts w:hint="eastAsia" w:ascii="Times New Roman" w:hAnsi="Times New Roman" w:eastAsia="仿宋_GB2312" w:cs="Times New Roman"/>
          <w:sz w:val="32"/>
          <w:szCs w:val="32"/>
        </w:rPr>
        <w:t>．</w:t>
      </w:r>
      <w:r>
        <w:rPr>
          <w:rFonts w:hint="default" w:ascii="Times New Roman" w:hAnsi="Times New Roman" w:eastAsia="仿宋_GB2312" w:cs="Times New Roman"/>
          <w:sz w:val="32"/>
          <w:szCs w:val="32"/>
        </w:rPr>
        <w:t>220</w:t>
      </w:r>
      <w:r>
        <w:rPr>
          <w:rFonts w:hint="eastAsia" w:ascii="Times New Roman" w:hAnsi="Times New Roman" w:eastAsia="仿宋_GB2312" w:cs="Times New Roman"/>
          <w:sz w:val="32"/>
          <w:szCs w:val="32"/>
        </w:rPr>
        <w:t>伏单相供电电压允许偏差为额定电压的</w:t>
      </w:r>
      <w:r>
        <w:rPr>
          <w:rFonts w:hint="default" w:ascii="Times New Roman" w:hAnsi="Times New Roman" w:eastAsia="仿宋_GB2312" w:cs="Times New Roman"/>
          <w:sz w:val="32"/>
          <w:szCs w:val="32"/>
        </w:rPr>
        <w:t>+7</w:t>
      </w:r>
      <w:r>
        <w:rPr>
          <w:rFonts w:hint="eastAsia" w:ascii="Times New Roman" w:hAnsi="Times New Roman" w:eastAsia="仿宋_GB2312" w:cs="Times New Roman"/>
          <w:sz w:val="32"/>
          <w:szCs w:val="32"/>
        </w:rPr>
        <w:t>％与</w:t>
      </w:r>
      <w:r>
        <w:rPr>
          <w:rFonts w:hint="default" w:ascii="Times New Roman" w:hAnsi="Times New Roman" w:eastAsia="仿宋_GB2312" w:cs="Times New Roman"/>
          <w:sz w:val="32"/>
          <w:szCs w:val="32"/>
        </w:rPr>
        <w:t>-10%</w:t>
      </w:r>
      <w:r>
        <w:rPr>
          <w:rFonts w:hint="eastAsia" w:ascii="Times New Roman" w:hAnsi="Times New Roman" w:eastAsia="仿宋_GB2312" w:cs="Times New Roman"/>
          <w:sz w:val="32"/>
          <w:szCs w:val="32"/>
        </w:rPr>
        <w:t>；</w:t>
      </w:r>
    </w:p>
    <w:p>
      <w:pPr>
        <w:pStyle w:val="9"/>
        <w:pageBreakBefore w:val="0"/>
        <w:widowControl w:val="0"/>
        <w:wordWrap/>
        <w:topLinePunct w:val="0"/>
        <w:bidi w:val="0"/>
        <w:spacing w:line="579" w:lineRule="exact"/>
        <w:ind w:left="0" w:righ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w:t>
      </w:r>
      <w:r>
        <w:rPr>
          <w:rFonts w:hint="eastAsia" w:ascii="Times New Roman" w:hAnsi="Times New Roman" w:eastAsia="仿宋_GB2312" w:cs="Times New Roman"/>
          <w:sz w:val="32"/>
          <w:szCs w:val="32"/>
        </w:rPr>
        <w:t>．对供电点短路容量较小、供电距离较长以及对供电电压偏差有特殊要求的用户，由供、用电双方协议确定。</w:t>
      </w:r>
    </w:p>
    <w:p>
      <w:pPr>
        <w:pStyle w:val="9"/>
        <w:pageBreakBefore w:val="0"/>
        <w:widowControl w:val="0"/>
        <w:wordWrap/>
        <w:topLinePunct w:val="0"/>
        <w:bidi w:val="0"/>
        <w:spacing w:line="579" w:lineRule="exact"/>
        <w:ind w:left="0" w:right="0"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rPr>
        <w:t>试点区域内应加强各级电网的无功补偿的投切控制工作，安装电压监测装置，使各级电网三相供电电压偏差满足上述行业规范要求。</w:t>
      </w:r>
    </w:p>
    <w:p>
      <w:pPr>
        <w:pStyle w:val="9"/>
        <w:pageBreakBefore w:val="0"/>
        <w:widowControl w:val="0"/>
        <w:wordWrap/>
        <w:topLinePunct w:val="0"/>
        <w:bidi w:val="0"/>
        <w:spacing w:line="579" w:lineRule="exact"/>
        <w:ind w:left="0" w:right="0" w:firstLine="640" w:firstLineChars="200"/>
        <w:textAlignment w:val="auto"/>
        <w:rPr>
          <w:rFonts w:hint="default" w:ascii="Times New Roman" w:hAnsi="Times New Roman" w:eastAsia="仿宋_GB2312" w:cs="Times New Roman"/>
          <w:sz w:val="32"/>
          <w:szCs w:val="32"/>
        </w:rPr>
      </w:pPr>
      <w:bookmarkStart w:id="115" w:name="bookmark38"/>
      <w:bookmarkEnd w:id="115"/>
      <w:bookmarkStart w:id="116" w:name="_Toc23169625"/>
      <w:r>
        <w:rPr>
          <w:rFonts w:hint="eastAsia" w:ascii="Times New Roman" w:hAnsi="Times New Roman" w:eastAsia="仿宋_GB2312" w:cs="Times New Roman"/>
          <w:sz w:val="32"/>
          <w:szCs w:val="32"/>
        </w:rPr>
        <w:t>（五）三相电压允许不平衡度</w:t>
      </w:r>
      <w:bookmarkEnd w:id="116"/>
    </w:p>
    <w:p>
      <w:pPr>
        <w:pStyle w:val="9"/>
        <w:pageBreakBefore w:val="0"/>
        <w:widowControl w:val="0"/>
        <w:wordWrap/>
        <w:topLinePunct w:val="0"/>
        <w:bidi w:val="0"/>
        <w:spacing w:line="579" w:lineRule="exact"/>
        <w:ind w:left="0" w:right="0"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rPr>
        <w:t>三相电压不平衡度是电能质量的一个重要指标，其限值为：</w:t>
      </w:r>
    </w:p>
    <w:p>
      <w:pPr>
        <w:pStyle w:val="9"/>
        <w:pageBreakBefore w:val="0"/>
        <w:widowControl w:val="0"/>
        <w:wordWrap/>
        <w:topLinePunct w:val="0"/>
        <w:bidi w:val="0"/>
        <w:spacing w:line="579" w:lineRule="exact"/>
        <w:ind w:left="0" w:righ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hint="eastAsia" w:ascii="Times New Roman" w:hAnsi="Times New Roman" w:eastAsia="仿宋_GB2312" w:cs="Times New Roman"/>
          <w:sz w:val="32"/>
          <w:szCs w:val="32"/>
        </w:rPr>
        <w:t>．电力系统公共连接点电压不平衡度允许值为</w:t>
      </w:r>
      <w:r>
        <w:rPr>
          <w:rFonts w:hint="default" w:ascii="Times New Roman" w:hAnsi="Times New Roman" w:eastAsia="仿宋_GB2312" w:cs="Times New Roman"/>
          <w:sz w:val="32"/>
          <w:szCs w:val="32"/>
        </w:rPr>
        <w:t>2%</w:t>
      </w:r>
      <w:r>
        <w:rPr>
          <w:rFonts w:hint="eastAsia" w:ascii="Times New Roman" w:hAnsi="Times New Roman" w:eastAsia="仿宋_GB2312" w:cs="Times New Roman"/>
          <w:sz w:val="32"/>
          <w:szCs w:val="32"/>
        </w:rPr>
        <w:t>，短时不得超过</w:t>
      </w:r>
      <w:r>
        <w:rPr>
          <w:rFonts w:hint="default" w:ascii="Times New Roman" w:hAnsi="Times New Roman" w:eastAsia="仿宋_GB2312" w:cs="Times New Roman"/>
          <w:sz w:val="32"/>
          <w:szCs w:val="32"/>
        </w:rPr>
        <w:t>4%</w:t>
      </w:r>
      <w:r>
        <w:rPr>
          <w:rFonts w:hint="eastAsia" w:ascii="Times New Roman" w:hAnsi="Times New Roman" w:eastAsia="仿宋_GB2312" w:cs="Times New Roman"/>
          <w:sz w:val="32"/>
          <w:szCs w:val="32"/>
        </w:rPr>
        <w:t>。</w:t>
      </w:r>
    </w:p>
    <w:p>
      <w:pPr>
        <w:pStyle w:val="9"/>
        <w:pageBreakBefore w:val="0"/>
        <w:widowControl w:val="0"/>
        <w:wordWrap/>
        <w:topLinePunct w:val="0"/>
        <w:bidi w:val="0"/>
        <w:spacing w:line="579" w:lineRule="exact"/>
        <w:ind w:left="0" w:righ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w:t>
      </w:r>
      <w:r>
        <w:rPr>
          <w:rFonts w:hint="eastAsia" w:ascii="Times New Roman" w:hAnsi="Times New Roman" w:eastAsia="仿宋_GB2312" w:cs="Times New Roman"/>
          <w:sz w:val="32"/>
          <w:szCs w:val="32"/>
        </w:rPr>
        <w:t>．接于公共连接点的每个用户引起该点负序电压不平衡允许值一般为</w:t>
      </w:r>
      <w:r>
        <w:rPr>
          <w:rFonts w:hint="default" w:ascii="Times New Roman" w:hAnsi="Times New Roman" w:eastAsia="仿宋_GB2312" w:cs="Times New Roman"/>
          <w:sz w:val="32"/>
          <w:szCs w:val="32"/>
        </w:rPr>
        <w:t>1.3%</w:t>
      </w:r>
      <w:r>
        <w:rPr>
          <w:rFonts w:hint="eastAsia" w:ascii="Times New Roman" w:hAnsi="Times New Roman" w:eastAsia="仿宋_GB2312" w:cs="Times New Roman"/>
          <w:sz w:val="32"/>
          <w:szCs w:val="32"/>
        </w:rPr>
        <w:t>，短时不超过</w:t>
      </w:r>
      <w:r>
        <w:rPr>
          <w:rFonts w:hint="default" w:ascii="Times New Roman" w:hAnsi="Times New Roman" w:eastAsia="仿宋_GB2312" w:cs="Times New Roman"/>
          <w:sz w:val="32"/>
          <w:szCs w:val="32"/>
        </w:rPr>
        <w:t>2.6%</w:t>
      </w:r>
      <w:r>
        <w:rPr>
          <w:rFonts w:hint="eastAsia" w:ascii="Times New Roman" w:hAnsi="Times New Roman" w:eastAsia="仿宋_GB2312" w:cs="Times New Roman"/>
          <w:sz w:val="32"/>
          <w:szCs w:val="32"/>
        </w:rPr>
        <w:t>。通常电压不平衡的情况大多是因为三相元件、线路参数或负荷不对称。由于三相负荷的因素是不一定的，所以供电点的三相电压和电流极易出现不平衡的现象，损耗线路。</w:t>
      </w:r>
    </w:p>
    <w:p>
      <w:pPr>
        <w:pStyle w:val="9"/>
        <w:pageBreakBefore w:val="0"/>
        <w:widowControl w:val="0"/>
        <w:wordWrap/>
        <w:topLinePunct w:val="0"/>
        <w:bidi w:val="0"/>
        <w:spacing w:line="579" w:lineRule="exact"/>
        <w:ind w:left="0" w:right="0"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rPr>
        <w:t>试点区域规划中控制三相电压允许不平衡度主要有以下措施：</w:t>
      </w:r>
    </w:p>
    <w:p>
      <w:pPr>
        <w:pStyle w:val="9"/>
        <w:pageBreakBefore w:val="0"/>
        <w:widowControl w:val="0"/>
        <w:wordWrap/>
        <w:topLinePunct w:val="0"/>
        <w:bidi w:val="0"/>
        <w:spacing w:line="579" w:lineRule="exact"/>
        <w:ind w:left="0" w:righ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hint="eastAsia" w:ascii="Times New Roman" w:hAnsi="Times New Roman" w:eastAsia="仿宋_GB2312" w:cs="Times New Roman"/>
          <w:sz w:val="32"/>
          <w:szCs w:val="32"/>
        </w:rPr>
        <w:t>．装设平衡装置</w:t>
      </w:r>
    </w:p>
    <w:p>
      <w:pPr>
        <w:pStyle w:val="9"/>
        <w:pageBreakBefore w:val="0"/>
        <w:widowControl w:val="0"/>
        <w:wordWrap/>
        <w:topLinePunct w:val="0"/>
        <w:bidi w:val="0"/>
        <w:spacing w:line="579" w:lineRule="exact"/>
        <w:ind w:left="0" w:right="0"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rPr>
        <w:t>通过装设平衡装置的方式来达到三相负荷的分配。</w:t>
      </w:r>
    </w:p>
    <w:p>
      <w:pPr>
        <w:pStyle w:val="9"/>
        <w:pageBreakBefore w:val="0"/>
        <w:widowControl w:val="0"/>
        <w:wordWrap/>
        <w:topLinePunct w:val="0"/>
        <w:bidi w:val="0"/>
        <w:spacing w:line="579" w:lineRule="exact"/>
        <w:ind w:left="0" w:righ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w:t>
      </w:r>
      <w:r>
        <w:rPr>
          <w:rFonts w:hint="eastAsia" w:ascii="Times New Roman" w:hAnsi="Times New Roman" w:eastAsia="仿宋_GB2312" w:cs="Times New Roman"/>
          <w:sz w:val="32"/>
          <w:szCs w:val="32"/>
        </w:rPr>
        <w:t>．定期开展对三相负荷的检测工作</w:t>
      </w:r>
    </w:p>
    <w:p>
      <w:pPr>
        <w:pStyle w:val="9"/>
        <w:pageBreakBefore w:val="0"/>
        <w:widowControl w:val="0"/>
        <w:wordWrap/>
        <w:topLinePunct w:val="0"/>
        <w:bidi w:val="0"/>
        <w:spacing w:line="579" w:lineRule="exact"/>
        <w:ind w:left="0" w:right="0"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rPr>
        <w:t>定期开展对三相负荷的检测工作，将检测的结果进行专业的记录和分析，对各相的负荷电流进行定期的检测，及时发现三相不平衡状况。</w:t>
      </w:r>
    </w:p>
    <w:p>
      <w:pPr>
        <w:pStyle w:val="9"/>
        <w:pageBreakBefore w:val="0"/>
        <w:widowControl w:val="0"/>
        <w:wordWrap/>
        <w:topLinePunct w:val="0"/>
        <w:bidi w:val="0"/>
        <w:spacing w:line="579" w:lineRule="exact"/>
        <w:ind w:left="0" w:righ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w:t>
      </w:r>
      <w:r>
        <w:rPr>
          <w:rFonts w:hint="eastAsia" w:ascii="Times New Roman" w:hAnsi="Times New Roman" w:eastAsia="仿宋_GB2312" w:cs="Times New Roman"/>
          <w:sz w:val="32"/>
          <w:szCs w:val="32"/>
        </w:rPr>
        <w:t>．由不对称负荷引起的电网三相电压不平衡</w:t>
      </w:r>
    </w:p>
    <w:p>
      <w:pPr>
        <w:pStyle w:val="9"/>
        <w:pageBreakBefore w:val="0"/>
        <w:widowControl w:val="0"/>
        <w:wordWrap/>
        <w:topLinePunct w:val="0"/>
        <w:bidi w:val="0"/>
        <w:spacing w:line="579" w:lineRule="exact"/>
        <w:ind w:left="0" w:right="0"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rPr>
        <w:t>可以将不对称负荷分散接在不同的供电点，以减少集中连接造成不平衡度严重超标的问题；或使用交叉换相等办法使不对称负荷合理分配到各相，尽量使其平衡化。</w:t>
      </w:r>
    </w:p>
    <w:p>
      <w:pPr>
        <w:pStyle w:val="9"/>
        <w:pageBreakBefore w:val="0"/>
        <w:widowControl w:val="0"/>
        <w:wordWrap/>
        <w:topLinePunct w:val="0"/>
        <w:bidi w:val="0"/>
        <w:spacing w:line="579" w:lineRule="exact"/>
        <w:ind w:left="0" w:right="0" w:firstLine="640" w:firstLineChars="200"/>
        <w:textAlignment w:val="auto"/>
        <w:rPr>
          <w:rFonts w:hint="default" w:ascii="Times New Roman" w:hAnsi="Times New Roman" w:eastAsia="仿宋_GB2312" w:cs="Times New Roman"/>
          <w:sz w:val="32"/>
          <w:szCs w:val="32"/>
        </w:rPr>
      </w:pPr>
      <w:bookmarkStart w:id="117" w:name="bookmark39"/>
      <w:bookmarkEnd w:id="117"/>
      <w:bookmarkStart w:id="118" w:name="_Toc23169626"/>
      <w:r>
        <w:rPr>
          <w:rFonts w:hint="eastAsia" w:ascii="Times New Roman" w:hAnsi="Times New Roman" w:eastAsia="仿宋_GB2312" w:cs="Times New Roman"/>
          <w:sz w:val="32"/>
          <w:szCs w:val="32"/>
        </w:rPr>
        <w:t>（六）电压波动和闪变</w:t>
      </w:r>
      <w:bookmarkEnd w:id="118"/>
    </w:p>
    <w:p>
      <w:pPr>
        <w:pStyle w:val="9"/>
        <w:pageBreakBefore w:val="0"/>
        <w:widowControl w:val="0"/>
        <w:wordWrap/>
        <w:topLinePunct w:val="0"/>
        <w:bidi w:val="0"/>
        <w:spacing w:line="579" w:lineRule="exact"/>
        <w:ind w:left="0" w:righ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hint="eastAsia" w:ascii="Times New Roman" w:hAnsi="Times New Roman" w:eastAsia="仿宋_GB2312" w:cs="Times New Roman"/>
          <w:sz w:val="32"/>
          <w:szCs w:val="32"/>
        </w:rPr>
        <w:t>．电压波动和闪变允许限值</w:t>
      </w:r>
    </w:p>
    <w:p>
      <w:pPr>
        <w:pStyle w:val="9"/>
        <w:pageBreakBefore w:val="0"/>
        <w:widowControl w:val="0"/>
        <w:wordWrap/>
        <w:topLinePunct w:val="0"/>
        <w:bidi w:val="0"/>
        <w:spacing w:line="579" w:lineRule="exact"/>
        <w:ind w:left="0" w:right="0"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rPr>
        <w:t>任何一个波动负荷用户在电力系统公共连接点产生的电压变动，其限值和电压变动频率、电压等级有关。电压波动允许限值见表</w:t>
      </w:r>
      <w:r>
        <w:rPr>
          <w:rFonts w:hint="default" w:ascii="Times New Roman" w:hAnsi="Times New Roman" w:eastAsia="仿宋_GB2312" w:cs="Times New Roman"/>
          <w:sz w:val="32"/>
          <w:szCs w:val="32"/>
        </w:rPr>
        <w:t>9-2</w:t>
      </w:r>
      <w:r>
        <w:rPr>
          <w:rFonts w:hint="eastAsia" w:ascii="Times New Roman" w:hAnsi="Times New Roman" w:eastAsia="仿宋_GB2312" w:cs="Times New Roman"/>
          <w:sz w:val="32"/>
          <w:szCs w:val="32"/>
        </w:rPr>
        <w:t>。</w:t>
      </w:r>
    </w:p>
    <w:p>
      <w:pPr>
        <w:pStyle w:val="9"/>
        <w:pageBreakBefore w:val="0"/>
        <w:widowControl w:val="0"/>
        <w:wordWrap/>
        <w:topLinePunct w:val="0"/>
        <w:bidi w:val="0"/>
        <w:spacing w:line="579" w:lineRule="exact"/>
        <w:ind w:left="0" w:right="0"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rPr>
        <w:t>表9-2</w:t>
      </w:r>
      <w:r>
        <w:rPr>
          <w:rFonts w:hint="default" w:ascii="Times New Roman" w:hAnsi="Times New Roman" w:eastAsia="仿宋_GB2312" w:cs="Times New Roman"/>
          <w:sz w:val="32"/>
          <w:szCs w:val="32"/>
        </w:rPr>
        <w:t xml:space="preserve">               </w:t>
      </w:r>
      <w:r>
        <w:rPr>
          <w:rFonts w:hint="eastAsia" w:ascii="Times New Roman" w:hAnsi="Times New Roman" w:eastAsia="仿宋_GB2312" w:cs="Times New Roman"/>
          <w:sz w:val="32"/>
          <w:szCs w:val="32"/>
        </w:rPr>
        <w:t>电压波动允许限值</w:t>
      </w:r>
    </w:p>
    <w:tbl>
      <w:tblPr>
        <w:tblStyle w:val="23"/>
        <w:tblW w:w="843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12"/>
        <w:gridCol w:w="2812"/>
        <w:gridCol w:w="28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12" w:type="dxa"/>
            <w:vMerge w:val="restart"/>
            <w:shd w:val="clear" w:color="auto" w:fill="auto"/>
            <w:vAlign w:val="center"/>
          </w:tcPr>
          <w:p>
            <w:pPr>
              <w:pStyle w:val="9"/>
              <w:pageBreakBefore w:val="0"/>
              <w:widowControl w:val="0"/>
              <w:wordWrap/>
              <w:topLinePunct w:val="0"/>
              <w:bidi w:val="0"/>
              <w:spacing w:line="579" w:lineRule="exact"/>
              <w:ind w:left="0" w:right="0"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rPr>
              <w:t>r/（次/小时）</w:t>
            </w:r>
          </w:p>
        </w:tc>
        <w:tc>
          <w:tcPr>
            <w:tcW w:w="5625" w:type="dxa"/>
            <w:gridSpan w:val="2"/>
            <w:shd w:val="clear" w:color="auto" w:fill="auto"/>
            <w:vAlign w:val="center"/>
          </w:tcPr>
          <w:p>
            <w:pPr>
              <w:pStyle w:val="9"/>
              <w:pageBreakBefore w:val="0"/>
              <w:widowControl w:val="0"/>
              <w:wordWrap/>
              <w:topLinePunct w:val="0"/>
              <w:bidi w:val="0"/>
              <w:spacing w:line="579" w:lineRule="exact"/>
              <w:ind w:left="0" w:right="0"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rPr>
              <w:t>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12" w:type="dxa"/>
            <w:vMerge w:val="continue"/>
            <w:shd w:val="clear" w:color="auto" w:fill="auto"/>
            <w:vAlign w:val="center"/>
          </w:tcPr>
          <w:p>
            <w:pPr>
              <w:pStyle w:val="9"/>
              <w:pageBreakBefore w:val="0"/>
              <w:widowControl w:val="0"/>
              <w:wordWrap/>
              <w:topLinePunct w:val="0"/>
              <w:bidi w:val="0"/>
              <w:spacing w:line="579" w:lineRule="exact"/>
              <w:ind w:left="0" w:right="0" w:firstLine="560" w:firstLineChars="200"/>
              <w:textAlignment w:val="auto"/>
              <w:rPr>
                <w:rFonts w:hint="default" w:ascii="Times New Roman" w:hAnsi="Times New Roman" w:eastAsia="仿宋_GB2312" w:cs="Times New Roman"/>
                <w:sz w:val="28"/>
                <w:szCs w:val="28"/>
              </w:rPr>
            </w:pPr>
          </w:p>
        </w:tc>
        <w:tc>
          <w:tcPr>
            <w:tcW w:w="2812" w:type="dxa"/>
            <w:shd w:val="clear" w:color="auto" w:fill="auto"/>
            <w:vAlign w:val="center"/>
          </w:tcPr>
          <w:p>
            <w:pPr>
              <w:pStyle w:val="9"/>
              <w:pageBreakBefore w:val="0"/>
              <w:widowControl w:val="0"/>
              <w:wordWrap/>
              <w:topLinePunct w:val="0"/>
              <w:bidi w:val="0"/>
              <w:spacing w:line="579" w:lineRule="exact"/>
              <w:ind w:left="0" w:right="0"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rPr>
              <w:t>UN≤35kV</w:t>
            </w:r>
          </w:p>
        </w:tc>
        <w:tc>
          <w:tcPr>
            <w:tcW w:w="2813" w:type="dxa"/>
            <w:shd w:val="clear" w:color="auto" w:fill="auto"/>
            <w:vAlign w:val="center"/>
          </w:tcPr>
          <w:p>
            <w:pPr>
              <w:pStyle w:val="9"/>
              <w:pageBreakBefore w:val="0"/>
              <w:widowControl w:val="0"/>
              <w:wordWrap/>
              <w:topLinePunct w:val="0"/>
              <w:bidi w:val="0"/>
              <w:spacing w:line="579" w:lineRule="exact"/>
              <w:ind w:left="0" w:right="0"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rPr>
              <w:t>35＜UN≤220kV</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12" w:type="dxa"/>
            <w:shd w:val="clear" w:color="auto" w:fill="auto"/>
            <w:vAlign w:val="center"/>
          </w:tcPr>
          <w:p>
            <w:pPr>
              <w:pStyle w:val="9"/>
              <w:pageBreakBefore w:val="0"/>
              <w:widowControl w:val="0"/>
              <w:wordWrap/>
              <w:topLinePunct w:val="0"/>
              <w:bidi w:val="0"/>
              <w:spacing w:line="579" w:lineRule="exact"/>
              <w:ind w:left="0" w:right="0"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rPr>
              <w:t>r≤1</w:t>
            </w:r>
          </w:p>
        </w:tc>
        <w:tc>
          <w:tcPr>
            <w:tcW w:w="2812" w:type="dxa"/>
            <w:shd w:val="clear" w:color="auto" w:fill="auto"/>
            <w:vAlign w:val="center"/>
          </w:tcPr>
          <w:p>
            <w:pPr>
              <w:pStyle w:val="9"/>
              <w:pageBreakBefore w:val="0"/>
              <w:widowControl w:val="0"/>
              <w:wordWrap/>
              <w:topLinePunct w:val="0"/>
              <w:bidi w:val="0"/>
              <w:spacing w:line="579" w:lineRule="exact"/>
              <w:ind w:left="0" w:right="0"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rPr>
              <w:t>4</w:t>
            </w:r>
          </w:p>
        </w:tc>
        <w:tc>
          <w:tcPr>
            <w:tcW w:w="2813" w:type="dxa"/>
            <w:shd w:val="clear" w:color="auto" w:fill="auto"/>
            <w:vAlign w:val="center"/>
          </w:tcPr>
          <w:p>
            <w:pPr>
              <w:pStyle w:val="9"/>
              <w:pageBreakBefore w:val="0"/>
              <w:widowControl w:val="0"/>
              <w:wordWrap/>
              <w:topLinePunct w:val="0"/>
              <w:bidi w:val="0"/>
              <w:spacing w:line="579" w:lineRule="exact"/>
              <w:ind w:left="0" w:right="0"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12" w:type="dxa"/>
            <w:shd w:val="clear" w:color="auto" w:fill="auto"/>
            <w:vAlign w:val="center"/>
          </w:tcPr>
          <w:p>
            <w:pPr>
              <w:pStyle w:val="9"/>
              <w:pageBreakBefore w:val="0"/>
              <w:widowControl w:val="0"/>
              <w:wordWrap/>
              <w:topLinePunct w:val="0"/>
              <w:bidi w:val="0"/>
              <w:spacing w:line="579" w:lineRule="exact"/>
              <w:ind w:left="0" w:right="0"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rPr>
              <w:t>1＜r≤10</w:t>
            </w:r>
          </w:p>
        </w:tc>
        <w:tc>
          <w:tcPr>
            <w:tcW w:w="2812" w:type="dxa"/>
            <w:shd w:val="clear" w:color="auto" w:fill="auto"/>
            <w:vAlign w:val="center"/>
          </w:tcPr>
          <w:p>
            <w:pPr>
              <w:pStyle w:val="9"/>
              <w:pageBreakBefore w:val="0"/>
              <w:widowControl w:val="0"/>
              <w:wordWrap/>
              <w:topLinePunct w:val="0"/>
              <w:bidi w:val="0"/>
              <w:spacing w:line="579" w:lineRule="exact"/>
              <w:ind w:left="0" w:right="0"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rPr>
              <w:t>3</w:t>
            </w:r>
          </w:p>
        </w:tc>
        <w:tc>
          <w:tcPr>
            <w:tcW w:w="2813" w:type="dxa"/>
            <w:shd w:val="clear" w:color="auto" w:fill="auto"/>
            <w:vAlign w:val="center"/>
          </w:tcPr>
          <w:p>
            <w:pPr>
              <w:pStyle w:val="9"/>
              <w:pageBreakBefore w:val="0"/>
              <w:widowControl w:val="0"/>
              <w:wordWrap/>
              <w:topLinePunct w:val="0"/>
              <w:bidi w:val="0"/>
              <w:spacing w:line="579" w:lineRule="exact"/>
              <w:ind w:left="0" w:right="0"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12" w:type="dxa"/>
            <w:shd w:val="clear" w:color="auto" w:fill="auto"/>
            <w:vAlign w:val="center"/>
          </w:tcPr>
          <w:p>
            <w:pPr>
              <w:pStyle w:val="9"/>
              <w:pageBreakBefore w:val="0"/>
              <w:widowControl w:val="0"/>
              <w:wordWrap/>
              <w:topLinePunct w:val="0"/>
              <w:bidi w:val="0"/>
              <w:spacing w:line="579" w:lineRule="exact"/>
              <w:ind w:left="0" w:right="0"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rPr>
              <w:t>10＜r≤100</w:t>
            </w:r>
          </w:p>
        </w:tc>
        <w:tc>
          <w:tcPr>
            <w:tcW w:w="2812" w:type="dxa"/>
            <w:shd w:val="clear" w:color="auto" w:fill="auto"/>
            <w:vAlign w:val="center"/>
          </w:tcPr>
          <w:p>
            <w:pPr>
              <w:pStyle w:val="9"/>
              <w:pageBreakBefore w:val="0"/>
              <w:widowControl w:val="0"/>
              <w:wordWrap/>
              <w:topLinePunct w:val="0"/>
              <w:bidi w:val="0"/>
              <w:spacing w:line="579" w:lineRule="exact"/>
              <w:ind w:left="0" w:right="0"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rPr>
              <w:t>2</w:t>
            </w:r>
          </w:p>
        </w:tc>
        <w:tc>
          <w:tcPr>
            <w:tcW w:w="2813" w:type="dxa"/>
            <w:shd w:val="clear" w:color="auto" w:fill="auto"/>
            <w:vAlign w:val="center"/>
          </w:tcPr>
          <w:p>
            <w:pPr>
              <w:pStyle w:val="9"/>
              <w:pageBreakBefore w:val="0"/>
              <w:widowControl w:val="0"/>
              <w:wordWrap/>
              <w:topLinePunct w:val="0"/>
              <w:bidi w:val="0"/>
              <w:spacing w:line="579" w:lineRule="exact"/>
              <w:ind w:left="0" w:right="0"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12" w:type="dxa"/>
            <w:shd w:val="clear" w:color="auto" w:fill="auto"/>
            <w:vAlign w:val="center"/>
          </w:tcPr>
          <w:p>
            <w:pPr>
              <w:pStyle w:val="9"/>
              <w:pageBreakBefore w:val="0"/>
              <w:widowControl w:val="0"/>
              <w:wordWrap/>
              <w:topLinePunct w:val="0"/>
              <w:bidi w:val="0"/>
              <w:spacing w:line="579" w:lineRule="exact"/>
              <w:ind w:left="0" w:right="0"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rPr>
              <w:t>100＜r≤1000</w:t>
            </w:r>
          </w:p>
        </w:tc>
        <w:tc>
          <w:tcPr>
            <w:tcW w:w="2812" w:type="dxa"/>
            <w:shd w:val="clear" w:color="auto" w:fill="auto"/>
            <w:vAlign w:val="center"/>
          </w:tcPr>
          <w:p>
            <w:pPr>
              <w:pStyle w:val="9"/>
              <w:pageBreakBefore w:val="0"/>
              <w:widowControl w:val="0"/>
              <w:wordWrap/>
              <w:topLinePunct w:val="0"/>
              <w:bidi w:val="0"/>
              <w:spacing w:line="579" w:lineRule="exact"/>
              <w:ind w:left="0" w:right="0"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rPr>
              <w:t>1.25</w:t>
            </w:r>
          </w:p>
        </w:tc>
        <w:tc>
          <w:tcPr>
            <w:tcW w:w="2813" w:type="dxa"/>
            <w:shd w:val="clear" w:color="auto" w:fill="auto"/>
            <w:vAlign w:val="center"/>
          </w:tcPr>
          <w:p>
            <w:pPr>
              <w:pStyle w:val="9"/>
              <w:pageBreakBefore w:val="0"/>
              <w:widowControl w:val="0"/>
              <w:wordWrap/>
              <w:topLinePunct w:val="0"/>
              <w:bidi w:val="0"/>
              <w:spacing w:line="579" w:lineRule="exact"/>
              <w:ind w:left="0" w:right="0"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rPr>
              <w:t>1</w:t>
            </w:r>
          </w:p>
        </w:tc>
      </w:tr>
    </w:tbl>
    <w:p>
      <w:pPr>
        <w:pStyle w:val="9"/>
        <w:pageBreakBefore w:val="0"/>
        <w:widowControl w:val="0"/>
        <w:wordWrap/>
        <w:topLinePunct w:val="0"/>
        <w:bidi w:val="0"/>
        <w:spacing w:line="579" w:lineRule="exact"/>
        <w:ind w:left="0" w:right="0"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rPr>
        <w:t>电力系统公共连接点，在系统正常运行的较小方式下，以一周为测量周期，所有长时间闪变值</w:t>
      </w:r>
      <w:r>
        <w:rPr>
          <w:rFonts w:hint="default" w:ascii="Times New Roman" w:hAnsi="Times New Roman" w:eastAsia="仿宋_GB2312" w:cs="Times New Roman"/>
          <w:sz w:val="32"/>
          <w:szCs w:val="32"/>
        </w:rPr>
        <w:t>Plt</w:t>
      </w:r>
      <w:r>
        <w:rPr>
          <w:rFonts w:hint="eastAsia" w:ascii="Times New Roman" w:hAnsi="Times New Roman" w:eastAsia="仿宋_GB2312" w:cs="Times New Roman"/>
          <w:sz w:val="32"/>
          <w:szCs w:val="32"/>
        </w:rPr>
        <w:t>都应满足相关要求，具体见表</w:t>
      </w:r>
      <w:r>
        <w:rPr>
          <w:rFonts w:hint="default" w:ascii="Times New Roman" w:hAnsi="Times New Roman" w:eastAsia="仿宋_GB2312" w:cs="Times New Roman"/>
          <w:sz w:val="32"/>
          <w:szCs w:val="32"/>
        </w:rPr>
        <w:t>9-3</w:t>
      </w:r>
      <w:r>
        <w:rPr>
          <w:rFonts w:hint="eastAsia" w:ascii="Times New Roman" w:hAnsi="Times New Roman" w:eastAsia="仿宋_GB2312" w:cs="Times New Roman"/>
          <w:sz w:val="32"/>
          <w:szCs w:val="32"/>
        </w:rPr>
        <w:t>。</w:t>
      </w:r>
    </w:p>
    <w:p>
      <w:pPr>
        <w:pStyle w:val="9"/>
        <w:pageBreakBefore w:val="0"/>
        <w:widowControl w:val="0"/>
        <w:wordWrap/>
        <w:topLinePunct w:val="0"/>
        <w:bidi w:val="0"/>
        <w:spacing w:line="579" w:lineRule="exact"/>
        <w:ind w:left="0" w:right="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表9-3                    闪变限值</w:t>
      </w:r>
    </w:p>
    <w:p>
      <w:pPr>
        <w:pStyle w:val="8"/>
        <w:kinsoku w:val="0"/>
        <w:overflowPunct w:val="0"/>
        <w:spacing w:before="7"/>
        <w:ind w:left="0"/>
        <w:rPr>
          <w:sz w:val="5"/>
          <w:szCs w:val="5"/>
        </w:rPr>
      </w:pPr>
    </w:p>
    <w:tbl>
      <w:tblPr>
        <w:tblStyle w:val="23"/>
        <w:tblW w:w="8437" w:type="dxa"/>
        <w:jc w:val="center"/>
        <w:tblInd w:w="0" w:type="dxa"/>
        <w:tblLayout w:type="fixed"/>
        <w:tblCellMar>
          <w:top w:w="0" w:type="dxa"/>
          <w:left w:w="0" w:type="dxa"/>
          <w:bottom w:w="0" w:type="dxa"/>
          <w:right w:w="0" w:type="dxa"/>
        </w:tblCellMar>
      </w:tblPr>
      <w:tblGrid>
        <w:gridCol w:w="4220"/>
        <w:gridCol w:w="4217"/>
      </w:tblGrid>
      <w:tr>
        <w:tblPrEx>
          <w:tblLayout w:type="fixed"/>
          <w:tblCellMar>
            <w:top w:w="0" w:type="dxa"/>
            <w:left w:w="0" w:type="dxa"/>
            <w:bottom w:w="0" w:type="dxa"/>
            <w:right w:w="0" w:type="dxa"/>
          </w:tblCellMar>
        </w:tblPrEx>
        <w:trPr>
          <w:trHeight w:val="406" w:hRule="exact"/>
          <w:jc w:val="center"/>
        </w:trPr>
        <w:tc>
          <w:tcPr>
            <w:tcW w:w="4220" w:type="dxa"/>
            <w:tcBorders>
              <w:top w:val="single" w:color="000000" w:sz="12" w:space="0"/>
              <w:left w:val="single" w:color="000000" w:sz="12" w:space="0"/>
              <w:bottom w:val="single" w:color="000000" w:sz="4" w:space="0"/>
              <w:right w:val="single" w:color="000000" w:sz="4" w:space="0"/>
            </w:tcBorders>
          </w:tcPr>
          <w:p>
            <w:pPr>
              <w:pStyle w:val="34"/>
              <w:kinsoku w:val="0"/>
              <w:overflowPunct w:val="0"/>
              <w:spacing w:before="36"/>
              <w:ind w:left="89"/>
              <w:jc w:val="center"/>
            </w:pPr>
            <w:r>
              <w:rPr>
                <w:rFonts w:ascii="宋体" w:eastAsia="宋体" w:cs="宋体"/>
                <w:position w:val="1"/>
                <w:sz w:val="20"/>
                <w:szCs w:val="20"/>
              </w:rPr>
              <w:t>U</w:t>
            </w:r>
            <w:r>
              <w:rPr>
                <w:rFonts w:ascii="宋体" w:eastAsia="宋体" w:cs="宋体"/>
                <w:sz w:val="10"/>
                <w:szCs w:val="10"/>
              </w:rPr>
              <w:t>N</w:t>
            </w:r>
            <w:r>
              <w:rPr>
                <w:rFonts w:hint="eastAsia" w:ascii="宋体" w:eastAsia="宋体" w:cs="宋体"/>
                <w:position w:val="1"/>
                <w:sz w:val="20"/>
                <w:szCs w:val="20"/>
              </w:rPr>
              <w:t>≤</w:t>
            </w:r>
            <w:r>
              <w:rPr>
                <w:rFonts w:ascii="宋体" w:eastAsia="宋体" w:cs="宋体"/>
                <w:position w:val="1"/>
                <w:sz w:val="20"/>
                <w:szCs w:val="20"/>
              </w:rPr>
              <w:t>110kV</w:t>
            </w:r>
          </w:p>
        </w:tc>
        <w:tc>
          <w:tcPr>
            <w:tcW w:w="4217" w:type="dxa"/>
            <w:tcBorders>
              <w:top w:val="single" w:color="000000" w:sz="12" w:space="0"/>
              <w:left w:val="single" w:color="000000" w:sz="4" w:space="0"/>
              <w:bottom w:val="single" w:color="000000" w:sz="4" w:space="0"/>
              <w:right w:val="single" w:color="000000" w:sz="12" w:space="0"/>
            </w:tcBorders>
          </w:tcPr>
          <w:p>
            <w:pPr>
              <w:pStyle w:val="34"/>
              <w:kinsoku w:val="0"/>
              <w:overflowPunct w:val="0"/>
              <w:spacing w:before="36"/>
              <w:ind w:left="111"/>
              <w:jc w:val="center"/>
            </w:pPr>
            <w:r>
              <w:rPr>
                <w:rFonts w:ascii="宋体" w:eastAsia="宋体" w:cs="宋体"/>
                <w:position w:val="1"/>
                <w:sz w:val="20"/>
                <w:szCs w:val="20"/>
              </w:rPr>
              <w:t>U</w:t>
            </w:r>
            <w:r>
              <w:rPr>
                <w:rFonts w:ascii="宋体" w:eastAsia="宋体" w:cs="宋体"/>
                <w:sz w:val="10"/>
                <w:szCs w:val="10"/>
              </w:rPr>
              <w:t>N</w:t>
            </w:r>
            <w:r>
              <w:rPr>
                <w:rFonts w:hint="eastAsia" w:ascii="宋体" w:eastAsia="宋体" w:cs="宋体"/>
                <w:position w:val="1"/>
                <w:sz w:val="20"/>
                <w:szCs w:val="20"/>
              </w:rPr>
              <w:t>＞</w:t>
            </w:r>
            <w:r>
              <w:rPr>
                <w:rFonts w:ascii="宋体" w:eastAsia="宋体" w:cs="宋体"/>
                <w:position w:val="1"/>
                <w:sz w:val="20"/>
                <w:szCs w:val="20"/>
              </w:rPr>
              <w:t>110kV</w:t>
            </w:r>
          </w:p>
        </w:tc>
      </w:tr>
      <w:tr>
        <w:tblPrEx>
          <w:tblLayout w:type="fixed"/>
          <w:tblCellMar>
            <w:top w:w="0" w:type="dxa"/>
            <w:left w:w="0" w:type="dxa"/>
            <w:bottom w:w="0" w:type="dxa"/>
            <w:right w:w="0" w:type="dxa"/>
          </w:tblCellMar>
        </w:tblPrEx>
        <w:trPr>
          <w:trHeight w:val="425" w:hRule="exact"/>
          <w:jc w:val="center"/>
        </w:trPr>
        <w:tc>
          <w:tcPr>
            <w:tcW w:w="4220" w:type="dxa"/>
            <w:tcBorders>
              <w:top w:val="single" w:color="000000" w:sz="4" w:space="0"/>
              <w:left w:val="single" w:color="000000" w:sz="12" w:space="0"/>
              <w:bottom w:val="single" w:color="000000" w:sz="12" w:space="0"/>
              <w:right w:val="single" w:color="000000" w:sz="4" w:space="0"/>
            </w:tcBorders>
          </w:tcPr>
          <w:p>
            <w:pPr>
              <w:pStyle w:val="34"/>
              <w:kinsoku w:val="0"/>
              <w:overflowPunct w:val="0"/>
              <w:spacing w:before="36"/>
              <w:ind w:left="90"/>
              <w:jc w:val="center"/>
            </w:pPr>
            <w:r>
              <w:rPr>
                <w:rFonts w:ascii="宋体" w:eastAsia="宋体" w:cs="宋体"/>
                <w:spacing w:val="1"/>
                <w:sz w:val="20"/>
                <w:szCs w:val="20"/>
              </w:rPr>
              <w:t>1</w:t>
            </w:r>
          </w:p>
        </w:tc>
        <w:tc>
          <w:tcPr>
            <w:tcW w:w="4217" w:type="dxa"/>
            <w:tcBorders>
              <w:top w:val="single" w:color="000000" w:sz="4" w:space="0"/>
              <w:left w:val="single" w:color="000000" w:sz="4" w:space="0"/>
              <w:bottom w:val="single" w:color="000000" w:sz="12" w:space="0"/>
              <w:right w:val="single" w:color="000000" w:sz="12" w:space="0"/>
            </w:tcBorders>
          </w:tcPr>
          <w:p>
            <w:pPr>
              <w:pStyle w:val="34"/>
              <w:kinsoku w:val="0"/>
              <w:overflowPunct w:val="0"/>
              <w:spacing w:before="36"/>
              <w:ind w:left="108"/>
              <w:jc w:val="center"/>
            </w:pPr>
            <w:r>
              <w:rPr>
                <w:rFonts w:ascii="宋体" w:eastAsia="宋体" w:cs="宋体"/>
                <w:sz w:val="20"/>
                <w:szCs w:val="20"/>
              </w:rPr>
              <w:t>0.8</w:t>
            </w:r>
          </w:p>
        </w:tc>
      </w:tr>
    </w:tbl>
    <w:p>
      <w:pPr>
        <w:pStyle w:val="8"/>
        <w:kinsoku w:val="0"/>
        <w:overflowPunct w:val="0"/>
        <w:spacing w:before="8"/>
        <w:ind w:left="0"/>
        <w:rPr>
          <w:sz w:val="16"/>
          <w:szCs w:val="16"/>
        </w:rPr>
      </w:pPr>
    </w:p>
    <w:p>
      <w:pPr>
        <w:pStyle w:val="9"/>
        <w:pageBreakBefore w:val="0"/>
        <w:widowControl w:val="0"/>
        <w:wordWrap/>
        <w:topLinePunct w:val="0"/>
        <w:bidi w:val="0"/>
        <w:spacing w:line="579" w:lineRule="exact"/>
        <w:ind w:left="0" w:righ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w:t>
      </w:r>
      <w:r>
        <w:rPr>
          <w:rFonts w:hint="eastAsia" w:ascii="Times New Roman" w:hAnsi="Times New Roman" w:eastAsia="仿宋_GB2312" w:cs="Times New Roman"/>
          <w:sz w:val="32"/>
          <w:szCs w:val="32"/>
        </w:rPr>
        <w:t>．对电压波动和闪变应采取下列抑制措施</w:t>
      </w:r>
    </w:p>
    <w:p>
      <w:pPr>
        <w:pStyle w:val="9"/>
        <w:pageBreakBefore w:val="0"/>
        <w:widowControl w:val="0"/>
        <w:wordWrap/>
        <w:topLinePunct w:val="0"/>
        <w:bidi w:val="0"/>
        <w:spacing w:line="579" w:lineRule="exact"/>
        <w:ind w:left="0" w:right="0"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hint="default" w:ascii="Times New Roman" w:hAnsi="Times New Roman" w:eastAsia="仿宋_GB2312" w:cs="Times New Roman"/>
          <w:sz w:val="32"/>
          <w:szCs w:val="32"/>
        </w:rPr>
        <w:t>1</w:t>
      </w:r>
      <w:r>
        <w:rPr>
          <w:rFonts w:hint="eastAsia" w:ascii="Times New Roman" w:hAnsi="Times New Roman" w:eastAsia="仿宋_GB2312" w:cs="Times New Roman"/>
          <w:sz w:val="32"/>
          <w:szCs w:val="32"/>
        </w:rPr>
        <w:t>）采用专线或专用变压器供电</w:t>
      </w:r>
    </w:p>
    <w:p>
      <w:pPr>
        <w:pStyle w:val="9"/>
        <w:pageBreakBefore w:val="0"/>
        <w:widowControl w:val="0"/>
        <w:wordWrap/>
        <w:topLinePunct w:val="0"/>
        <w:bidi w:val="0"/>
        <w:spacing w:line="579" w:lineRule="exact"/>
        <w:ind w:left="0" w:right="0"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rPr>
        <w:t>对大容量的冲击性负荷，采用专线或专用变压器供电，是降低电压波动对其他设备运行影响的最简便有效的办法。</w:t>
      </w:r>
    </w:p>
    <w:p>
      <w:pPr>
        <w:pStyle w:val="9"/>
        <w:pageBreakBefore w:val="0"/>
        <w:widowControl w:val="0"/>
        <w:wordWrap/>
        <w:topLinePunct w:val="0"/>
        <w:bidi w:val="0"/>
        <w:spacing w:line="579" w:lineRule="exact"/>
        <w:ind w:left="0" w:right="0"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hint="default" w:ascii="Times New Roman" w:hAnsi="Times New Roman" w:eastAsia="仿宋_GB2312" w:cs="Times New Roman"/>
          <w:sz w:val="32"/>
          <w:szCs w:val="32"/>
        </w:rPr>
        <w:t>2</w:t>
      </w:r>
      <w:r>
        <w:rPr>
          <w:rFonts w:hint="eastAsia" w:ascii="Times New Roman" w:hAnsi="Times New Roman" w:eastAsia="仿宋_GB2312" w:cs="Times New Roman"/>
          <w:sz w:val="32"/>
          <w:szCs w:val="32"/>
        </w:rPr>
        <w:t>）减小线路阻抗</w:t>
      </w:r>
    </w:p>
    <w:p>
      <w:pPr>
        <w:pStyle w:val="9"/>
        <w:pageBreakBefore w:val="0"/>
        <w:widowControl w:val="0"/>
        <w:wordWrap/>
        <w:topLinePunct w:val="0"/>
        <w:bidi w:val="0"/>
        <w:spacing w:line="579" w:lineRule="exact"/>
        <w:ind w:left="0" w:right="0"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rPr>
        <w:t>当冲击性负荷与其他负荷共用供电线路时，设法减小线路阻抗，例如将单回路改为双回路，减小冲击性负荷引起的电压波动。</w:t>
      </w:r>
    </w:p>
    <w:p>
      <w:pPr>
        <w:pStyle w:val="9"/>
        <w:pageBreakBefore w:val="0"/>
        <w:widowControl w:val="0"/>
        <w:wordWrap/>
        <w:topLinePunct w:val="0"/>
        <w:bidi w:val="0"/>
        <w:spacing w:line="579" w:lineRule="exact"/>
        <w:ind w:left="0" w:right="0"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hint="default" w:ascii="Times New Roman" w:hAnsi="Times New Roman" w:eastAsia="仿宋_GB2312" w:cs="Times New Roman"/>
          <w:sz w:val="32"/>
          <w:szCs w:val="32"/>
        </w:rPr>
        <w:t>3</w:t>
      </w:r>
      <w:r>
        <w:rPr>
          <w:rFonts w:hint="eastAsia" w:ascii="Times New Roman" w:hAnsi="Times New Roman" w:eastAsia="仿宋_GB2312" w:cs="Times New Roman"/>
          <w:sz w:val="32"/>
          <w:szCs w:val="32"/>
        </w:rPr>
        <w:t>）选用短路容量较大或电压等级较高的电网供电</w:t>
      </w:r>
    </w:p>
    <w:p>
      <w:pPr>
        <w:pStyle w:val="9"/>
        <w:pageBreakBefore w:val="0"/>
        <w:widowControl w:val="0"/>
        <w:wordWrap/>
        <w:topLinePunct w:val="0"/>
        <w:bidi w:val="0"/>
        <w:spacing w:line="579" w:lineRule="exact"/>
        <w:ind w:left="0" w:right="0"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rPr>
        <w:t>对大型电弧炉的炉用变压器应选用短路容量较大或电压等级较高的电网供电，能有效地减小冲击性负荷引起的电压波动。</w:t>
      </w:r>
    </w:p>
    <w:p>
      <w:pPr>
        <w:pStyle w:val="9"/>
        <w:pageBreakBefore w:val="0"/>
        <w:widowControl w:val="0"/>
        <w:wordWrap/>
        <w:topLinePunct w:val="0"/>
        <w:bidi w:val="0"/>
        <w:spacing w:line="579" w:lineRule="exact"/>
        <w:ind w:left="0" w:right="0"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hint="default" w:ascii="Times New Roman" w:hAnsi="Times New Roman" w:eastAsia="仿宋_GB2312" w:cs="Times New Roman"/>
          <w:sz w:val="32"/>
          <w:szCs w:val="32"/>
        </w:rPr>
        <w:t>4</w:t>
      </w:r>
      <w:r>
        <w:rPr>
          <w:rFonts w:hint="eastAsia" w:ascii="Times New Roman" w:hAnsi="Times New Roman" w:eastAsia="仿宋_GB2312" w:cs="Times New Roman"/>
          <w:sz w:val="32"/>
          <w:szCs w:val="32"/>
        </w:rPr>
        <w:t>）采用静止无功补偿器</w:t>
      </w:r>
      <w:r>
        <w:rPr>
          <w:rFonts w:hint="default" w:ascii="Times New Roman" w:hAnsi="Times New Roman" w:eastAsia="仿宋_GB2312" w:cs="Times New Roman"/>
          <w:sz w:val="32"/>
          <w:szCs w:val="32"/>
        </w:rPr>
        <w:t>SVG</w:t>
      </w:r>
      <w:r>
        <w:rPr>
          <w:rFonts w:hint="eastAsia" w:ascii="Times New Roman" w:hAnsi="Times New Roman" w:eastAsia="仿宋_GB2312" w:cs="Times New Roman"/>
          <w:sz w:val="32"/>
          <w:szCs w:val="32"/>
        </w:rPr>
        <w:t>装置，维持电网指标在允</w:t>
      </w:r>
      <w:r>
        <w:rPr>
          <w:rFonts w:hint="default" w:ascii="Times New Roman" w:hAnsi="Times New Roman" w:eastAsia="仿宋_GB2312" w:cs="Times New Roman"/>
          <w:sz w:val="32"/>
          <w:szCs w:val="32"/>
        </w:rPr>
        <w:t>许的范围内。</w:t>
      </w:r>
    </w:p>
    <w:p>
      <w:pPr>
        <w:pStyle w:val="8"/>
        <w:pageBreakBefore w:val="0"/>
        <w:widowControl w:val="0"/>
        <w:kinsoku w:val="0"/>
        <w:wordWrap/>
        <w:overflowPunct w:val="0"/>
        <w:topLinePunct w:val="0"/>
        <w:bidi w:val="0"/>
        <w:spacing w:before="0" w:line="579" w:lineRule="exact"/>
        <w:ind w:left="0"/>
        <w:textAlignment w:val="auto"/>
        <w:rPr>
          <w:rFonts w:hint="default" w:ascii="Times New Roman" w:hAnsi="Times New Roman" w:cs="Times New Roman"/>
          <w:sz w:val="20"/>
          <w:szCs w:val="20"/>
        </w:rPr>
      </w:pPr>
    </w:p>
    <w:p>
      <w:pPr>
        <w:pStyle w:val="2"/>
        <w:pageBreakBefore w:val="0"/>
        <w:widowControl w:val="0"/>
        <w:wordWrap/>
        <w:topLinePunct w:val="0"/>
        <w:bidi w:val="0"/>
        <w:spacing w:before="0" w:beforeLines="0" w:after="0" w:afterLines="0" w:line="579" w:lineRule="exact"/>
        <w:ind w:left="0" w:firstLine="640" w:firstLineChars="200"/>
        <w:textAlignment w:val="auto"/>
        <w:rPr>
          <w:rFonts w:hint="default" w:ascii="Times New Roman" w:hAnsi="Times New Roman" w:cs="Times New Roman"/>
          <w:b w:val="0"/>
          <w:sz w:val="32"/>
          <w:szCs w:val="32"/>
        </w:rPr>
      </w:pPr>
      <w:bookmarkStart w:id="119" w:name="bookmark40"/>
      <w:bookmarkEnd w:id="119"/>
      <w:bookmarkStart w:id="120" w:name="_Toc23169627"/>
      <w:bookmarkStart w:id="121" w:name="_Toc19199822"/>
      <w:r>
        <w:rPr>
          <w:rFonts w:hint="default" w:ascii="Times New Roman" w:hAnsi="Times New Roman" w:cs="Times New Roman"/>
          <w:b w:val="0"/>
          <w:sz w:val="32"/>
          <w:szCs w:val="32"/>
        </w:rPr>
        <w:t>十、用户服务规划</w:t>
      </w:r>
      <w:bookmarkEnd w:id="120"/>
      <w:bookmarkEnd w:id="121"/>
    </w:p>
    <w:p>
      <w:pPr>
        <w:pStyle w:val="3"/>
        <w:pageBreakBefore w:val="0"/>
        <w:widowControl w:val="0"/>
        <w:wordWrap/>
        <w:topLinePunct w:val="0"/>
        <w:bidi w:val="0"/>
        <w:spacing w:before="0" w:beforeLines="0" w:after="0" w:afterLines="0" w:line="579" w:lineRule="exact"/>
        <w:ind w:firstLine="640" w:firstLineChars="200"/>
        <w:textAlignment w:val="auto"/>
        <w:rPr>
          <w:rFonts w:hint="default" w:ascii="Times New Roman" w:hAnsi="Times New Roman" w:eastAsia="仿宋_GB2312" w:cs="Times New Roman"/>
          <w:b w:val="0"/>
          <w:sz w:val="32"/>
          <w:szCs w:val="32"/>
        </w:rPr>
      </w:pPr>
      <w:bookmarkStart w:id="122" w:name="_Toc19199823"/>
      <w:bookmarkStart w:id="123" w:name="_Toc23169628"/>
      <w:r>
        <w:rPr>
          <w:rFonts w:hint="default" w:ascii="Times New Roman" w:hAnsi="Times New Roman" w:eastAsia="仿宋_GB2312" w:cs="Times New Roman"/>
          <w:b w:val="0"/>
          <w:sz w:val="32"/>
          <w:szCs w:val="32"/>
        </w:rPr>
        <w:t>（一）常规用户服务规划</w:t>
      </w:r>
      <w:bookmarkEnd w:id="122"/>
      <w:bookmarkEnd w:id="123"/>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随着社会经济的不断发展，社会各界和广大客户对电力供给、服务质量提出了更高的要求。应切实开展以下工作，提高对用户供电服务水平。</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规范办公营业场所。试点区内应建立固定的办公场所及营业网点，并有统一、明显的标志，营业场所应方便营业区用户业务办理。加强供电营业窗口规范化建设，优化服务流程，完善服务标准，规范服务行为。</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建立优质服务长效机制。坚强有力、调度灵活的网架结构，是满足客户需求、供电优质服务的硬件基础。从管理上要向需求侧倾斜，开展以客户为单位的安全生产、供电可靠性、电压质量等指标的管理，促进供电服务水平的提高。</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加强队伍建设，提高从业员工素质。不断强化从业员工的服务意识和服务水平；加强营销人员的管理，使营销人员明确自身工作的目标和标准，做到岗位责任明确，服务到位；强化职业道德，高度重视对员工职业道德的培养，同时制订不同岗位的职业道德规范和相应的考核体系。</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4．严格执行价格主管部门制定的电价和收费政策，及时在供电营业场所和网站公开电价、收费标准和服务程序。</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color w:val="FF0000"/>
          <w:sz w:val="32"/>
          <w:szCs w:val="32"/>
        </w:rPr>
      </w:pPr>
      <w:r>
        <w:rPr>
          <w:rFonts w:hint="default" w:ascii="Times New Roman" w:hAnsi="Times New Roman" w:eastAsia="仿宋_GB2312" w:cs="Times New Roman"/>
          <w:sz w:val="32"/>
          <w:szCs w:val="32"/>
        </w:rPr>
        <w:t>5．供电方案答复期限：居民客户不超过3个工作日，低压电力客户不超过7个工作日。</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6．装表接电期限：受电工程检验合格并办结相关手续后，居民客户3个工作日内送电，非居民客户5个工作日内送电。</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7．受理客户计费电能表校验申请后，5个工作日内出具检测结果。客户提出抄表数据异常后，7个工作日内核实并答复。</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8．当电力供应不足,不能保证连续供电时,严格按照政府批准的有序用电方案实施错避峰、停限电。</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9．受理客户投诉后，1个工作日内联系客户，7个工作日内答复处理意见。</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10．提供24小时电力故障报修服务，供电抢修人员到达现场的时间不超过45分钟。</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11．供电设施计划检修停电，提前7天向社会公告；供电设施临时检修停电的，提前24小时公告。对欠费客户依法采取停电措施，提前7天送达停电通知书，费用结清后24小时内恢复供电。</w:t>
      </w:r>
    </w:p>
    <w:p>
      <w:pPr>
        <w:pStyle w:val="3"/>
        <w:pageBreakBefore w:val="0"/>
        <w:widowControl w:val="0"/>
        <w:wordWrap/>
        <w:topLinePunct w:val="0"/>
        <w:bidi w:val="0"/>
        <w:spacing w:before="0" w:beforeLines="0" w:after="0" w:afterLines="0" w:line="579" w:lineRule="exact"/>
        <w:ind w:firstLine="640" w:firstLineChars="200"/>
        <w:textAlignment w:val="auto"/>
        <w:rPr>
          <w:rFonts w:hint="default" w:ascii="Times New Roman" w:hAnsi="Times New Roman" w:eastAsia="仿宋_GB2312" w:cs="Times New Roman"/>
          <w:b w:val="0"/>
          <w:sz w:val="32"/>
          <w:szCs w:val="32"/>
        </w:rPr>
      </w:pPr>
      <w:bookmarkStart w:id="124" w:name="_Toc19199824"/>
      <w:bookmarkStart w:id="125" w:name="_Toc23169629"/>
      <w:r>
        <w:rPr>
          <w:rFonts w:hint="default" w:ascii="Times New Roman" w:hAnsi="Times New Roman" w:eastAsia="仿宋_GB2312" w:cs="Times New Roman"/>
          <w:b w:val="0"/>
          <w:sz w:val="32"/>
          <w:szCs w:val="32"/>
        </w:rPr>
        <w:t>（二）保底供电服务规划</w:t>
      </w:r>
      <w:bookmarkEnd w:id="124"/>
      <w:bookmarkEnd w:id="125"/>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增量配电网目前主要面向大工业及商业用电客户；对于居民、农业、重要公用事业、公益性服务等用电性质，则继续按照所在省（市、区）的目录销售电价执行。对于不参加电力市场交易的用户（包含具备市场交易资格而选择不参与市场交易的电力用户），增量配电网有义务向其提供保底供电服务。这将向电力用户提供更为廉价的电力能源和更加优质的供配电及其他增值服务。</w:t>
      </w:r>
    </w:p>
    <w:p>
      <w:pPr>
        <w:pStyle w:val="3"/>
        <w:pageBreakBefore w:val="0"/>
        <w:widowControl w:val="0"/>
        <w:wordWrap/>
        <w:topLinePunct w:val="0"/>
        <w:bidi w:val="0"/>
        <w:spacing w:before="0" w:beforeLines="0" w:after="0" w:afterLines="0" w:line="579" w:lineRule="exact"/>
        <w:ind w:firstLine="640" w:firstLineChars="200"/>
        <w:textAlignment w:val="auto"/>
        <w:rPr>
          <w:rFonts w:hint="default" w:ascii="Times New Roman" w:hAnsi="Times New Roman" w:eastAsia="仿宋_GB2312" w:cs="Times New Roman"/>
          <w:b w:val="0"/>
          <w:sz w:val="32"/>
          <w:szCs w:val="32"/>
        </w:rPr>
      </w:pPr>
      <w:bookmarkStart w:id="126" w:name="_Toc19199825"/>
      <w:bookmarkStart w:id="127" w:name="_Toc23169630"/>
      <w:r>
        <w:rPr>
          <w:rFonts w:hint="default" w:ascii="Times New Roman" w:hAnsi="Times New Roman" w:eastAsia="仿宋_GB2312" w:cs="Times New Roman"/>
          <w:b w:val="0"/>
          <w:sz w:val="32"/>
          <w:szCs w:val="32"/>
        </w:rPr>
        <w:t>（三）增值服务规划</w:t>
      </w:r>
      <w:bookmarkEnd w:id="126"/>
      <w:bookmarkEnd w:id="127"/>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增量配电网业主可以有偿为各类用户提供增值服务，其内容包括但不限于为用户提供用电规划、智能用电、节能增效、用电设备运维、综合能源服务等。通过不断创新和丰富增值服务内容，一方面使电力用户得到越来越个性化、优质的电力服务，另一方面对于运营商来说也可以获得更多盈利增长点，以此通过良性循环激活市场，发挥市场的价值发现作用，推动产业内涵的不断进步和发展。</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综合能源服务。综合能源服务是一种新型的为满足终端客户多元化能源生产与消费的能源服务方式，涵盖能源规划设计、工程投资建设、多能源运营服务以及投融资服务等方面。简单来说，就是不单销售能源商品，还销售能源服务，当然这种服务主要是附着于能源商品之上的。对于增量配网业主来说，就是由单一售电模式转为电、气、冷、热等的多元化能源供应和多样化增值服务模式。</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用户节能减排服务。增量配网业主提供节能减排方案，建立准确测量的系统，精确的统计电能消耗，通过精准的测量和对细节的掌握，精准的分析企业的用能情况，如是否存在直接浪费、配电容量是否合理以及设备的能效是否低下等等，进而从管理和技术改造两个方面提出改善意见，协助用户真正将节能减排落实到实处。</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p>
    <w:p>
      <w:pPr>
        <w:pStyle w:val="2"/>
        <w:pageBreakBefore w:val="0"/>
        <w:widowControl w:val="0"/>
        <w:wordWrap/>
        <w:topLinePunct w:val="0"/>
        <w:bidi w:val="0"/>
        <w:spacing w:before="0" w:beforeLines="0" w:after="0" w:afterLines="0" w:line="579" w:lineRule="exact"/>
        <w:ind w:left="0" w:firstLine="640" w:firstLineChars="200"/>
        <w:textAlignment w:val="auto"/>
        <w:rPr>
          <w:rFonts w:hint="default" w:ascii="Times New Roman" w:hAnsi="Times New Roman" w:cs="Times New Roman"/>
          <w:b w:val="0"/>
          <w:sz w:val="32"/>
          <w:szCs w:val="32"/>
        </w:rPr>
      </w:pPr>
      <w:bookmarkStart w:id="128" w:name="_Toc19199826"/>
      <w:bookmarkStart w:id="129" w:name="_Toc23169631"/>
      <w:r>
        <w:rPr>
          <w:rFonts w:hint="default" w:ascii="Times New Roman" w:hAnsi="Times New Roman" w:cs="Times New Roman"/>
          <w:b w:val="0"/>
          <w:sz w:val="32"/>
          <w:szCs w:val="32"/>
        </w:rPr>
        <w:t>十一、节能与环境保护</w:t>
      </w:r>
      <w:bookmarkEnd w:id="128"/>
      <w:bookmarkEnd w:id="129"/>
    </w:p>
    <w:p>
      <w:pPr>
        <w:pStyle w:val="3"/>
        <w:pageBreakBefore w:val="0"/>
        <w:widowControl w:val="0"/>
        <w:wordWrap/>
        <w:topLinePunct w:val="0"/>
        <w:bidi w:val="0"/>
        <w:spacing w:before="0" w:beforeLines="0" w:after="0" w:afterLines="0" w:line="579" w:lineRule="exact"/>
        <w:ind w:firstLine="640" w:firstLineChars="200"/>
        <w:textAlignment w:val="auto"/>
        <w:rPr>
          <w:rFonts w:hint="default" w:ascii="Times New Roman" w:hAnsi="Times New Roman" w:eastAsia="仿宋_GB2312" w:cs="Times New Roman"/>
          <w:b w:val="0"/>
          <w:sz w:val="32"/>
          <w:szCs w:val="32"/>
        </w:rPr>
      </w:pPr>
      <w:bookmarkStart w:id="130" w:name="_Toc19199827"/>
      <w:bookmarkStart w:id="131" w:name="_Toc23169632"/>
      <w:r>
        <w:rPr>
          <w:rFonts w:hint="default" w:ascii="Times New Roman" w:hAnsi="Times New Roman" w:eastAsia="仿宋_GB2312" w:cs="Times New Roman"/>
          <w:b w:val="0"/>
          <w:sz w:val="32"/>
          <w:szCs w:val="32"/>
        </w:rPr>
        <w:t>（一）节能分析</w:t>
      </w:r>
      <w:bookmarkEnd w:id="130"/>
      <w:bookmarkEnd w:id="131"/>
    </w:p>
    <w:p>
      <w:pPr>
        <w:pStyle w:val="4"/>
        <w:pageBreakBefore w:val="0"/>
        <w:widowControl w:val="0"/>
        <w:wordWrap/>
        <w:topLinePunct w:val="0"/>
        <w:bidi w:val="0"/>
        <w:spacing w:before="0" w:beforeLines="0" w:after="0" w:afterLines="0" w:line="579" w:lineRule="exact"/>
        <w:ind w:left="0" w:firstLine="640" w:firstLineChars="200"/>
        <w:textAlignment w:val="auto"/>
        <w:rPr>
          <w:rFonts w:hint="default" w:ascii="Times New Roman" w:hAnsi="Times New Roman" w:eastAsia="仿宋_GB2312" w:cs="Times New Roman"/>
          <w:sz w:val="32"/>
          <w:szCs w:val="32"/>
        </w:rPr>
      </w:pPr>
      <w:bookmarkStart w:id="132" w:name="_Toc23169633"/>
      <w:r>
        <w:rPr>
          <w:rFonts w:hint="default" w:ascii="Times New Roman" w:hAnsi="Times New Roman" w:eastAsia="仿宋_GB2312" w:cs="Times New Roman"/>
          <w:sz w:val="32"/>
          <w:szCs w:val="32"/>
        </w:rPr>
        <w:t>1．系统节能分析</w:t>
      </w:r>
      <w:bookmarkEnd w:id="132"/>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（1）接入系统方案确保技术合理、经济最优。</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规划可进一步优化和加强电网供电结构，能够提高供电可靠性，本期工程接入系统方案可以灵活适应网络潮流变化，网架结构清晰，正常和N-l方式下，各线路潮流均在经济输送范围内，潮流分布合理，网络损耗低。</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（2）导线截面选择满足送电要求</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结合电网远景发展，本项目线路采用根据送电需要选择适合类型导线，既满足电力输送，同时节省线路走廊资源，适应电网发展需要。</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（3）合理配置变电站低压无功设备</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按照分层分区、就地平衡的原则，合理配置低压无功补偿容量。为“以全电网有功功率损耗最小为目标的优化运行和优化调度”创造条件，可以有效降低全网的电能损耗。</w:t>
      </w:r>
    </w:p>
    <w:p>
      <w:pPr>
        <w:pStyle w:val="4"/>
        <w:pageBreakBefore w:val="0"/>
        <w:widowControl w:val="0"/>
        <w:wordWrap/>
        <w:topLinePunct w:val="0"/>
        <w:bidi w:val="0"/>
        <w:spacing w:before="0" w:beforeLines="0" w:after="0" w:afterLines="0" w:line="579" w:lineRule="exact"/>
        <w:ind w:left="0" w:firstLine="640" w:firstLineChars="200"/>
        <w:textAlignment w:val="auto"/>
        <w:rPr>
          <w:rFonts w:hint="default" w:ascii="Times New Roman" w:hAnsi="Times New Roman" w:eastAsia="仿宋_GB2312" w:cs="Times New Roman"/>
          <w:sz w:val="32"/>
          <w:szCs w:val="32"/>
        </w:rPr>
      </w:pPr>
      <w:bookmarkStart w:id="133" w:name="_Toc23169634"/>
      <w:r>
        <w:rPr>
          <w:rFonts w:hint="default" w:ascii="Times New Roman" w:hAnsi="Times New Roman" w:eastAsia="仿宋_GB2312" w:cs="Times New Roman"/>
          <w:sz w:val="32"/>
          <w:szCs w:val="32"/>
        </w:rPr>
        <w:t>2．变电节能分析</w:t>
      </w:r>
      <w:bookmarkEnd w:id="133"/>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（1）本工程建筑物、维护材料积极推广新型建筑材料，采用能耗低的新型材料等。</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（2）主变压器选择节能型低损耗的变压器，年运行成本比普通变压器低约20%，投资回收周期短，全寿命周期运行成本低；变电站照明灯具选用绿色、环保的高效节能灯具。</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（3）35kV变电站规划配置无功补偿电容器装置，运行时可根据功率因数来决定投入电容器组数，提高线路的功率因数，补偿线路中的无功损耗，从而进一步降低能源的损耗，提高经济效益。</w:t>
      </w:r>
    </w:p>
    <w:p>
      <w:pPr>
        <w:pStyle w:val="4"/>
        <w:pageBreakBefore w:val="0"/>
        <w:widowControl w:val="0"/>
        <w:wordWrap/>
        <w:topLinePunct w:val="0"/>
        <w:bidi w:val="0"/>
        <w:spacing w:before="0" w:beforeLines="0" w:after="0" w:afterLines="0" w:line="579" w:lineRule="exact"/>
        <w:ind w:left="0" w:firstLine="640" w:firstLineChars="200"/>
        <w:textAlignment w:val="auto"/>
        <w:rPr>
          <w:rFonts w:hint="default" w:ascii="Times New Roman" w:hAnsi="Times New Roman" w:eastAsia="仿宋_GB2312" w:cs="Times New Roman"/>
          <w:sz w:val="32"/>
          <w:szCs w:val="32"/>
        </w:rPr>
      </w:pPr>
      <w:bookmarkStart w:id="134" w:name="_Toc23169635"/>
      <w:r>
        <w:rPr>
          <w:rFonts w:hint="default" w:ascii="Times New Roman" w:hAnsi="Times New Roman" w:eastAsia="仿宋_GB2312" w:cs="Times New Roman"/>
          <w:sz w:val="32"/>
          <w:szCs w:val="32"/>
        </w:rPr>
        <w:t>3．送电线路节能分析</w:t>
      </w:r>
      <w:bookmarkEnd w:id="134"/>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（1）精心选线，合理规划出线走廊，利用现状线路路径，减少线损、降低能耗，节约线路走廊。</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线路改造时，采用节能金具，降低磁滞损耗。铸铁锻造的线路金具（如线夹、防振锤等），在交变电磁场的磁滞效应作用下，将引起涡流，由于材料电阻的存在，必然产生电能损失。为了防止涡流损失，导线金具推荐采用铝合金悬垂线夹和防滑型预绞式防振锤，降低了电磁能量损耗的同时延长导线的使用寿命。</w:t>
      </w:r>
    </w:p>
    <w:p>
      <w:pPr>
        <w:pStyle w:val="4"/>
        <w:pageBreakBefore w:val="0"/>
        <w:widowControl w:val="0"/>
        <w:wordWrap/>
        <w:topLinePunct w:val="0"/>
        <w:bidi w:val="0"/>
        <w:spacing w:before="0" w:beforeLines="0" w:after="0" w:afterLines="0" w:line="579" w:lineRule="exact"/>
        <w:ind w:left="0" w:firstLine="640" w:firstLineChars="200"/>
        <w:textAlignment w:val="auto"/>
        <w:rPr>
          <w:rFonts w:hint="default" w:ascii="Times New Roman" w:hAnsi="Times New Roman" w:eastAsia="仿宋_GB2312" w:cs="Times New Roman"/>
          <w:sz w:val="32"/>
          <w:szCs w:val="32"/>
        </w:rPr>
      </w:pPr>
      <w:bookmarkStart w:id="135" w:name="_Toc23169636"/>
      <w:r>
        <w:rPr>
          <w:rFonts w:hint="default" w:ascii="Times New Roman" w:hAnsi="Times New Roman" w:eastAsia="仿宋_GB2312" w:cs="Times New Roman"/>
          <w:sz w:val="32"/>
          <w:szCs w:val="32"/>
        </w:rPr>
        <w:t>4．配电节能分析</w:t>
      </w:r>
      <w:bookmarkEnd w:id="135"/>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（1）优化网架结构</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线路部分：避免建设期重复建设，配电网的交叉供电、迂回供电，进而缩短供电半径，提高资产利用率，进而降低技术线损，提高投资收益回收率。</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变压器合理分布：精准预测负荷，合理调整变压器，达到经济运行。变压器本身具有铁损（空载损耗）和铜损（负载损耗）。所以变压器的选型、容量、经济运行方式等方面能够有效降低线损。合理选择配电变压器容量，台区变压器分布尽量坚持“小容量、多布点”原则。</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避免三相不平衡：对于配电变压器一定要把降低三相负荷不平衡作为一项经济指标，列入考核项目，制定奖惩措施，以提高认识，增强对降损工作的自觉性和积极性。同时要求有关人员定期测量三相负荷电流，检查和掌握三相负荷不平衡情况。测量负荷应在白天和夜晚用电高峰时段进行。</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通过以上手段，降低的初期工程投资和后期运营线损成本，均可作为试点范围企业的电价成本优惠点。</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（2）运维部分</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智能运维是降低后期的运维成本，提高运维效率的一个必不可少的手段和工具。试点区域可考虑以智能运维系统帮助区域内的变电站实现智能管理。降低配电环节成本，优化了电量资源配置，降低用电企业生产成本。</w:t>
      </w:r>
    </w:p>
    <w:p>
      <w:pPr>
        <w:pStyle w:val="3"/>
        <w:pageBreakBefore w:val="0"/>
        <w:widowControl w:val="0"/>
        <w:wordWrap/>
        <w:topLinePunct w:val="0"/>
        <w:bidi w:val="0"/>
        <w:spacing w:before="0" w:beforeLines="0" w:after="0" w:afterLines="0" w:line="579" w:lineRule="exact"/>
        <w:ind w:firstLine="640" w:firstLineChars="200"/>
        <w:textAlignment w:val="auto"/>
        <w:rPr>
          <w:rFonts w:hint="default" w:ascii="Times New Roman" w:hAnsi="Times New Roman" w:eastAsia="仿宋_GB2312" w:cs="Times New Roman"/>
          <w:b w:val="0"/>
          <w:sz w:val="32"/>
          <w:szCs w:val="32"/>
        </w:rPr>
      </w:pPr>
      <w:bookmarkStart w:id="136" w:name="_Toc19199828"/>
      <w:bookmarkStart w:id="137" w:name="_Toc23169637"/>
      <w:r>
        <w:rPr>
          <w:rFonts w:hint="default" w:ascii="Times New Roman" w:hAnsi="Times New Roman" w:eastAsia="仿宋_GB2312" w:cs="Times New Roman"/>
          <w:b w:val="0"/>
          <w:sz w:val="32"/>
          <w:szCs w:val="32"/>
        </w:rPr>
        <w:t>（二）环境保护</w:t>
      </w:r>
      <w:bookmarkEnd w:id="136"/>
      <w:bookmarkEnd w:id="137"/>
    </w:p>
    <w:p>
      <w:pPr>
        <w:pStyle w:val="4"/>
        <w:pageBreakBefore w:val="0"/>
        <w:widowControl w:val="0"/>
        <w:wordWrap/>
        <w:topLinePunct w:val="0"/>
        <w:bidi w:val="0"/>
        <w:spacing w:before="0" w:beforeLines="0" w:after="0" w:afterLines="0" w:line="579" w:lineRule="exact"/>
        <w:ind w:left="0" w:firstLine="640" w:firstLineChars="200"/>
        <w:textAlignment w:val="auto"/>
        <w:rPr>
          <w:rFonts w:hint="default" w:ascii="Times New Roman" w:hAnsi="Times New Roman" w:eastAsia="仿宋_GB2312" w:cs="Times New Roman"/>
          <w:sz w:val="32"/>
          <w:szCs w:val="32"/>
        </w:rPr>
      </w:pPr>
      <w:bookmarkStart w:id="138" w:name="_Toc23169638"/>
      <w:r>
        <w:rPr>
          <w:rFonts w:hint="default" w:ascii="Times New Roman" w:hAnsi="Times New Roman" w:eastAsia="仿宋_GB2312" w:cs="Times New Roman"/>
          <w:sz w:val="32"/>
          <w:szCs w:val="32"/>
        </w:rPr>
        <w:t>1．变电环境保护</w:t>
      </w:r>
      <w:bookmarkEnd w:id="138"/>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（1）噪声防治</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变电站（按远景考虑）运行噪声源主要来自于主变压器等大型声源设备。为进一步降低设备噪声源强，建议本项目采用低噪声变压器。</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变电工程施工主要包括土石方开挖、土建及设备安装等几个阶段，其施工工程量及施工时间相对较小。主要噪声源有工地运输车辆的交通噪声、土建、设备安装施工中各种机具的设备噪声。变电站噪声防治采取以下措施：</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1）施工时，应限制夜间高噪声设备施工活动；同时，现场作业时应将高噪声施工活动尽量远离敏感点；变电站施工时，一般先建好围墙，也可在一定程度上降低施工噪声对周围的影响。</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2）控制变电站声源的噪声水平，对产生噪声的电气设备在设备招标时按国际标准、国家标准从严加以控制。变电站主变噪声源强不大于75dB（A）。</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3）对站内噪声敏感的建筑部位（主控室等），在设计中尽呈远离噪声源或采取其它有效措施。</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（2）电磁辐射防治措施</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1）合理选择主变位置</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严格遵守当地发展规划的要求。变电站主变离人口密集区较远，站址附近没有重要通讯设施及对电磁环境敏感的设施。</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2）降低工频电场与磁感应强度</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根据已投运变电站的实测资料、规程要求，确定变电站的平面布置和对构、支架高度要求，使工频电场强度水平控制在规程范围之内。</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（3）损益分析</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本项目变电站的建设为旧址改造，对环境影响有限，带来的社会、经济效益是显著的，项目对区域经济的可持续发展将起到积极的作用。</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（4）综合分析</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在项目建设和运行工程中严格落实环境保护措施，加强环境管理，项目产生的水、声、渣、水土流失及电磁辐射等环境影响均可满足国家标准要求，对环境影响较小，在可接受范围内；工程的建设带来的社会、经济效益是显著的，对区域经济的和谐可持续发展将起到积极的作用。</w:t>
      </w:r>
    </w:p>
    <w:p>
      <w:pPr>
        <w:pStyle w:val="4"/>
        <w:pageBreakBefore w:val="0"/>
        <w:widowControl w:val="0"/>
        <w:wordWrap/>
        <w:topLinePunct w:val="0"/>
        <w:bidi w:val="0"/>
        <w:spacing w:before="0" w:beforeLines="0" w:after="0" w:afterLines="0" w:line="579" w:lineRule="exact"/>
        <w:ind w:left="0" w:firstLine="640" w:firstLineChars="200"/>
        <w:textAlignment w:val="auto"/>
        <w:rPr>
          <w:rFonts w:hint="default" w:ascii="Times New Roman" w:hAnsi="Times New Roman" w:eastAsia="仿宋_GB2312" w:cs="Times New Roman"/>
          <w:sz w:val="32"/>
          <w:szCs w:val="32"/>
        </w:rPr>
      </w:pPr>
      <w:bookmarkStart w:id="139" w:name="_Toc23169639"/>
      <w:r>
        <w:rPr>
          <w:rFonts w:hint="default" w:ascii="Times New Roman" w:hAnsi="Times New Roman" w:eastAsia="仿宋_GB2312" w:cs="Times New Roman"/>
          <w:sz w:val="32"/>
          <w:szCs w:val="32"/>
        </w:rPr>
        <w:t>2．线路环境保护</w:t>
      </w:r>
      <w:bookmarkEnd w:id="139"/>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根据《中华人民共和国环境保护法》、《中华人民共和国水土保持法》和国务院《建设项目环境保护管理条例》，本项目需在可研阶段进行工程环境影响评价和水土保持方案论证，以达到环境保护的目标。</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（1）防止公害的对策</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线路按《电信线路遭受强电线路影响的容许值》及《输电线路对电信线路危险和干扰影响防护设计规程》进行设计，故对通信设施的防护间距或交叉角度均满足规程规定，对通信线的干扰影响小于规程容许值。</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（2）社会环境保护</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000000"/>
          <w:sz w:val="32"/>
          <w:szCs w:val="32"/>
        </w:rPr>
        <w:t>35千伏线路路径采用原路径改造，10千伏线路采用电缆，并采取一定的措施，接地装置不得接触自来水管以尽量减少超高压线路对附近居民日常生活的影响，避免工程建设时的纠纷，保证了居民的生态环境。另外，应加强宣传，离村庄较近的杆</w:t>
      </w:r>
      <w:r>
        <w:rPr>
          <w:rFonts w:hint="default" w:ascii="Times New Roman" w:hAnsi="Times New Roman" w:eastAsia="仿宋_GB2312" w:cs="Times New Roman"/>
          <w:sz w:val="32"/>
          <w:szCs w:val="32"/>
        </w:rPr>
        <w:t>塔要树立明显的警示牌，防止攀登以免造成意外事件。</w:t>
      </w:r>
    </w:p>
    <w:p>
      <w:pPr>
        <w:pStyle w:val="4"/>
        <w:pageBreakBefore w:val="0"/>
        <w:widowControl w:val="0"/>
        <w:wordWrap/>
        <w:topLinePunct w:val="0"/>
        <w:bidi w:val="0"/>
        <w:spacing w:before="0" w:beforeLines="0" w:after="0" w:afterLines="0" w:line="579" w:lineRule="exact"/>
        <w:ind w:left="0" w:firstLine="640" w:firstLineChars="200"/>
        <w:textAlignment w:val="auto"/>
        <w:rPr>
          <w:rFonts w:hint="default" w:ascii="Times New Roman" w:hAnsi="Times New Roman" w:eastAsia="仿宋_GB2312" w:cs="Times New Roman"/>
          <w:sz w:val="32"/>
          <w:szCs w:val="32"/>
        </w:rPr>
      </w:pPr>
      <w:bookmarkStart w:id="140" w:name="_Toc23169640"/>
      <w:r>
        <w:rPr>
          <w:rFonts w:hint="default" w:ascii="Times New Roman" w:hAnsi="Times New Roman" w:eastAsia="仿宋_GB2312" w:cs="Times New Roman"/>
          <w:sz w:val="32"/>
          <w:szCs w:val="32"/>
        </w:rPr>
        <w:t>3．环境效益分析</w:t>
      </w:r>
      <w:bookmarkEnd w:id="140"/>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本规划与地方政府环保规划以及国家和地方产业及环保政策相一致，按照智慧、低碳、生态的规划理念，高起点、高标准的开展，可为新区生产、生活提供电力服务，达到最佳的电力利用率和较高的环保要求，满足社会对能源和环境的共同要求，具有良好的环境效益和社会效益。</w:t>
      </w: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color w:val="000000"/>
          <w:sz w:val="32"/>
          <w:szCs w:val="32"/>
        </w:rPr>
      </w:pP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color w:val="000000"/>
          <w:sz w:val="32"/>
          <w:szCs w:val="32"/>
        </w:rPr>
      </w:pPr>
    </w:p>
    <w:p>
      <w:pPr>
        <w:pStyle w:val="9"/>
        <w:pageBreakBefore w:val="0"/>
        <w:widowControl w:val="0"/>
        <w:wordWrap/>
        <w:topLinePunct w:val="0"/>
        <w:bidi w:val="0"/>
        <w:spacing w:line="579" w:lineRule="exact"/>
        <w:ind w:firstLine="640" w:firstLineChars="200"/>
        <w:textAlignment w:val="auto"/>
        <w:rPr>
          <w:rFonts w:hint="default" w:ascii="Times New Roman" w:hAnsi="Times New Roman" w:eastAsia="仿宋_GB2312" w:cs="Times New Roman"/>
          <w:color w:val="000000"/>
          <w:sz w:val="32"/>
          <w:szCs w:val="32"/>
        </w:rPr>
        <w:sectPr>
          <w:headerReference r:id="rId5" w:type="default"/>
          <w:footerReference r:id="rId6" w:type="default"/>
          <w:pgSz w:w="11910" w:h="16850"/>
          <w:pgMar w:top="1400" w:right="1440" w:bottom="1420" w:left="1680" w:header="1161" w:footer="1226" w:gutter="0"/>
          <w:cols w:equalWidth="0" w:num="1">
            <w:col w:w="8790"/>
          </w:cols>
        </w:sectPr>
      </w:pPr>
    </w:p>
    <w:p>
      <w:bookmarkStart w:id="141" w:name="bookmark52"/>
      <w:bookmarkEnd w:id="141"/>
    </w:p>
    <w:sectPr>
      <w:headerReference r:id="rId7" w:type="default"/>
      <w:footerReference r:id="rId8" w:type="even"/>
      <w:pgSz w:w="11850" w:h="16783"/>
      <w:pgMar w:top="1620" w:right="280" w:bottom="1780" w:left="1640" w:header="1361" w:footer="0" w:gutter="0"/>
      <w:cols w:equalWidth="0" w:num="1">
        <w:col w:w="204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华文细黑">
    <w:panose1 w:val="02010600040101010101"/>
    <w:charset w:val="86"/>
    <w:family w:val="auto"/>
    <w:pitch w:val="default"/>
    <w:sig w:usb0="00000287" w:usb1="080F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12168154"/>
      <w:docPartObj>
        <w:docPartGallery w:val="autotext"/>
      </w:docPartObj>
    </w:sdtPr>
    <w:sdtContent>
      <w:p>
        <w:pPr>
          <w:pStyle w:val="14"/>
          <w:jc w:val="center"/>
        </w:pPr>
      </w:p>
    </w:sdtContent>
  </w:sdt>
  <w:p>
    <w:pPr>
      <w:pStyle w:val="8"/>
      <w:kinsoku w:val="0"/>
      <w:overflowPunct w:val="0"/>
      <w:spacing w:before="0" w:line="14" w:lineRule="auto"/>
      <w:ind w:left="0"/>
      <w:rPr>
        <w:rFonts w:ascii="Times New Roman" w:cs="Times New Roman" w:eastAsiaTheme="minorEastAsia"/>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kinsoku w:val="0"/>
      <w:overflowPunct w:val="0"/>
      <w:spacing w:before="0" w:line="14" w:lineRule="auto"/>
      <w:ind w:left="0"/>
      <w:rPr>
        <w:rFonts w:ascii="Times New Roman" w:cs="Times New Roman" w:eastAsiaTheme="minorEastAsia"/>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kinsoku w:val="0"/>
      <w:overflowPunct w:val="0"/>
      <w:spacing w:before="0" w:line="14" w:lineRule="auto"/>
      <w:ind w:left="0"/>
      <w:rPr>
        <w:rFonts w:ascii="Times New Roman" w:cs="Times New Roman" w:eastAsiaTheme="minorEastAsia"/>
        <w:sz w:val="2"/>
        <w:szCs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kinsoku w:val="0"/>
      <w:overflowPunct w:val="0"/>
      <w:spacing w:before="0" w:line="14" w:lineRule="auto"/>
      <w:ind w:left="0"/>
      <w:rPr>
        <w:rFonts w:ascii="Times New Roman" w:cs="Times New Roman" w:eastAsiaTheme="minorEastAsia"/>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kinsoku w:val="0"/>
      <w:overflowPunct w:val="0"/>
      <w:spacing w:before="0" w:line="14" w:lineRule="auto"/>
      <w:ind w:left="0"/>
      <w:rPr>
        <w:rFonts w:ascii="Times New Roman" w:cs="Times New Roman" w:eastAsiaTheme="minorEastAsia"/>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7C8"/>
    <w:rsid w:val="00001CA3"/>
    <w:rsid w:val="000020F5"/>
    <w:rsid w:val="00024D2B"/>
    <w:rsid w:val="0003190E"/>
    <w:rsid w:val="00061E56"/>
    <w:rsid w:val="000F5710"/>
    <w:rsid w:val="001308EB"/>
    <w:rsid w:val="00141711"/>
    <w:rsid w:val="00151E0B"/>
    <w:rsid w:val="001631D1"/>
    <w:rsid w:val="001872FA"/>
    <w:rsid w:val="001B7D12"/>
    <w:rsid w:val="001E1B27"/>
    <w:rsid w:val="001E213F"/>
    <w:rsid w:val="002037C5"/>
    <w:rsid w:val="00220A30"/>
    <w:rsid w:val="00223719"/>
    <w:rsid w:val="0022660D"/>
    <w:rsid w:val="00292786"/>
    <w:rsid w:val="002E6164"/>
    <w:rsid w:val="002F71F9"/>
    <w:rsid w:val="003074E0"/>
    <w:rsid w:val="0031333F"/>
    <w:rsid w:val="00321B28"/>
    <w:rsid w:val="003315E8"/>
    <w:rsid w:val="003813C1"/>
    <w:rsid w:val="00396EE3"/>
    <w:rsid w:val="003A4BCB"/>
    <w:rsid w:val="003D531D"/>
    <w:rsid w:val="003E45B3"/>
    <w:rsid w:val="003F0AD5"/>
    <w:rsid w:val="00415E8F"/>
    <w:rsid w:val="00421774"/>
    <w:rsid w:val="004449D8"/>
    <w:rsid w:val="004753D6"/>
    <w:rsid w:val="00483291"/>
    <w:rsid w:val="004A2EFB"/>
    <w:rsid w:val="004A3B37"/>
    <w:rsid w:val="004A59F5"/>
    <w:rsid w:val="004A6CC4"/>
    <w:rsid w:val="004B0A12"/>
    <w:rsid w:val="004B3B27"/>
    <w:rsid w:val="004B6379"/>
    <w:rsid w:val="004D674C"/>
    <w:rsid w:val="004E47B8"/>
    <w:rsid w:val="00505FF9"/>
    <w:rsid w:val="00510FE3"/>
    <w:rsid w:val="005120E2"/>
    <w:rsid w:val="00541EB9"/>
    <w:rsid w:val="0054419B"/>
    <w:rsid w:val="00593F27"/>
    <w:rsid w:val="005E70E8"/>
    <w:rsid w:val="00610C60"/>
    <w:rsid w:val="00621102"/>
    <w:rsid w:val="00651B26"/>
    <w:rsid w:val="006722E5"/>
    <w:rsid w:val="0067376D"/>
    <w:rsid w:val="006C3B23"/>
    <w:rsid w:val="006C63ED"/>
    <w:rsid w:val="006C6D5C"/>
    <w:rsid w:val="006D0FDC"/>
    <w:rsid w:val="007124A7"/>
    <w:rsid w:val="0075200B"/>
    <w:rsid w:val="00772D7A"/>
    <w:rsid w:val="007B1BDC"/>
    <w:rsid w:val="007B5891"/>
    <w:rsid w:val="007D3826"/>
    <w:rsid w:val="007F3BE7"/>
    <w:rsid w:val="0081523A"/>
    <w:rsid w:val="008319DC"/>
    <w:rsid w:val="00855BEF"/>
    <w:rsid w:val="00885BDD"/>
    <w:rsid w:val="008B6800"/>
    <w:rsid w:val="00961FA6"/>
    <w:rsid w:val="00990335"/>
    <w:rsid w:val="009A18AD"/>
    <w:rsid w:val="009B4418"/>
    <w:rsid w:val="009B747B"/>
    <w:rsid w:val="009D3E7C"/>
    <w:rsid w:val="009E3CCC"/>
    <w:rsid w:val="009E7EA0"/>
    <w:rsid w:val="00A132E6"/>
    <w:rsid w:val="00A24455"/>
    <w:rsid w:val="00A335AE"/>
    <w:rsid w:val="00A35D62"/>
    <w:rsid w:val="00A477C8"/>
    <w:rsid w:val="00A824DB"/>
    <w:rsid w:val="00A83471"/>
    <w:rsid w:val="00A93DEF"/>
    <w:rsid w:val="00AB472F"/>
    <w:rsid w:val="00AD184D"/>
    <w:rsid w:val="00AD2D87"/>
    <w:rsid w:val="00AD4795"/>
    <w:rsid w:val="00AF0686"/>
    <w:rsid w:val="00AF5CD9"/>
    <w:rsid w:val="00B12AB4"/>
    <w:rsid w:val="00B149A7"/>
    <w:rsid w:val="00B31696"/>
    <w:rsid w:val="00B34AA4"/>
    <w:rsid w:val="00B36211"/>
    <w:rsid w:val="00BB3534"/>
    <w:rsid w:val="00BB6B94"/>
    <w:rsid w:val="00BD7C23"/>
    <w:rsid w:val="00BF1D09"/>
    <w:rsid w:val="00C414F9"/>
    <w:rsid w:val="00C72D44"/>
    <w:rsid w:val="00CD2941"/>
    <w:rsid w:val="00CE17A3"/>
    <w:rsid w:val="00CE6455"/>
    <w:rsid w:val="00CF15C3"/>
    <w:rsid w:val="00CF5C66"/>
    <w:rsid w:val="00D2073C"/>
    <w:rsid w:val="00D22065"/>
    <w:rsid w:val="00D359D2"/>
    <w:rsid w:val="00D503BB"/>
    <w:rsid w:val="00D50FA8"/>
    <w:rsid w:val="00D65383"/>
    <w:rsid w:val="00E00AF6"/>
    <w:rsid w:val="00E179B8"/>
    <w:rsid w:val="00E312BE"/>
    <w:rsid w:val="00E3208B"/>
    <w:rsid w:val="00E33A45"/>
    <w:rsid w:val="00E41183"/>
    <w:rsid w:val="00E537EF"/>
    <w:rsid w:val="00E577E7"/>
    <w:rsid w:val="00E679FF"/>
    <w:rsid w:val="00E82B41"/>
    <w:rsid w:val="00ED5271"/>
    <w:rsid w:val="00EE3C67"/>
    <w:rsid w:val="00EF4341"/>
    <w:rsid w:val="00F0769D"/>
    <w:rsid w:val="00F266B2"/>
    <w:rsid w:val="00F54B4E"/>
    <w:rsid w:val="00F661C2"/>
    <w:rsid w:val="00F67402"/>
    <w:rsid w:val="00F97B9D"/>
    <w:rsid w:val="00FE182D"/>
    <w:rsid w:val="00FE218C"/>
    <w:rsid w:val="144621A0"/>
    <w:rsid w:val="287B7F66"/>
    <w:rsid w:val="2BF32E13"/>
    <w:rsid w:val="454D3C35"/>
    <w:rsid w:val="691B6B94"/>
    <w:rsid w:val="6D5658F2"/>
    <w:rsid w:val="7A124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adjustRightInd w:val="0"/>
    </w:pPr>
    <w:rPr>
      <w:rFonts w:ascii="Times New Roman" w:hAnsi="Times New Roman" w:cs="Times New Roman" w:eastAsiaTheme="minorEastAsia"/>
      <w:kern w:val="0"/>
      <w:sz w:val="24"/>
      <w:szCs w:val="24"/>
      <w:lang w:val="en-US" w:eastAsia="zh-CN" w:bidi="ar-SA"/>
    </w:rPr>
  </w:style>
  <w:style w:type="paragraph" w:styleId="2">
    <w:name w:val="heading 1"/>
    <w:basedOn w:val="1"/>
    <w:next w:val="1"/>
    <w:link w:val="35"/>
    <w:qFormat/>
    <w:uiPriority w:val="0"/>
    <w:pPr>
      <w:keepNext/>
      <w:keepLines/>
      <w:autoSpaceDE/>
      <w:autoSpaceDN/>
      <w:snapToGrid w:val="0"/>
      <w:spacing w:before="150" w:beforeLines="150" w:after="150" w:afterLines="150" w:line="500" w:lineRule="atLeast"/>
      <w:ind w:left="425" w:hanging="425"/>
      <w:jc w:val="both"/>
      <w:outlineLvl w:val="0"/>
    </w:pPr>
    <w:rPr>
      <w:rFonts w:ascii="黑体" w:eastAsia="黑体"/>
      <w:b/>
      <w:bCs/>
      <w:kern w:val="44"/>
      <w:sz w:val="30"/>
      <w:szCs w:val="30"/>
    </w:rPr>
  </w:style>
  <w:style w:type="paragraph" w:styleId="3">
    <w:name w:val="heading 2"/>
    <w:basedOn w:val="1"/>
    <w:next w:val="1"/>
    <w:link w:val="36"/>
    <w:qFormat/>
    <w:uiPriority w:val="0"/>
    <w:pPr>
      <w:keepNext/>
      <w:keepLines/>
      <w:autoSpaceDE/>
      <w:autoSpaceDN/>
      <w:snapToGrid w:val="0"/>
      <w:spacing w:before="150" w:beforeLines="150" w:after="100" w:afterLines="100" w:line="500" w:lineRule="atLeast"/>
      <w:jc w:val="both"/>
      <w:outlineLvl w:val="1"/>
    </w:pPr>
    <w:rPr>
      <w:rFonts w:ascii="宋体" w:hAnsi="Arial" w:eastAsia="宋体"/>
      <w:b/>
      <w:bCs/>
      <w:kern w:val="2"/>
      <w:sz w:val="28"/>
      <w:szCs w:val="28"/>
    </w:rPr>
  </w:style>
  <w:style w:type="paragraph" w:styleId="4">
    <w:name w:val="heading 3"/>
    <w:basedOn w:val="1"/>
    <w:next w:val="1"/>
    <w:link w:val="39"/>
    <w:qFormat/>
    <w:uiPriority w:val="0"/>
    <w:pPr>
      <w:keepNext/>
      <w:keepLines/>
      <w:autoSpaceDE/>
      <w:autoSpaceDN/>
      <w:snapToGrid w:val="0"/>
      <w:spacing w:before="50" w:beforeLines="50" w:after="50" w:afterLines="50" w:line="500" w:lineRule="atLeast"/>
      <w:ind w:left="709" w:hanging="709"/>
      <w:jc w:val="both"/>
      <w:outlineLvl w:val="2"/>
    </w:pPr>
    <w:rPr>
      <w:rFonts w:ascii="宋体" w:eastAsia="宋体"/>
      <w:bCs/>
      <w:kern w:val="2"/>
      <w:sz w:val="28"/>
      <w:szCs w:val="28"/>
    </w:rPr>
  </w:style>
  <w:style w:type="character" w:default="1" w:styleId="24">
    <w:name w:val="Default Paragraph Font"/>
    <w:semiHidden/>
    <w:unhideWhenUsed/>
    <w:qFormat/>
    <w:uiPriority w:val="1"/>
  </w:style>
  <w:style w:type="table" w:default="1" w:styleId="23">
    <w:name w:val="Normal Table"/>
    <w:semiHidden/>
    <w:unhideWhenUsed/>
    <w:uiPriority w:val="99"/>
    <w:tblPr>
      <w:tblLayout w:type="fixed"/>
      <w:tblCellMar>
        <w:top w:w="0" w:type="dxa"/>
        <w:left w:w="108" w:type="dxa"/>
        <w:bottom w:w="0" w:type="dxa"/>
        <w:right w:w="108" w:type="dxa"/>
      </w:tblCellMar>
    </w:tblPr>
  </w:style>
  <w:style w:type="paragraph" w:styleId="5">
    <w:name w:val="toc 7"/>
    <w:basedOn w:val="1"/>
    <w:next w:val="1"/>
    <w:unhideWhenUsed/>
    <w:qFormat/>
    <w:uiPriority w:val="39"/>
    <w:pPr>
      <w:autoSpaceDE/>
      <w:autoSpaceDN/>
      <w:adjustRightInd/>
      <w:ind w:left="2520" w:leftChars="1200"/>
      <w:jc w:val="both"/>
    </w:pPr>
    <w:rPr>
      <w:rFonts w:asciiTheme="minorHAnsi" w:hAnsiTheme="minorHAnsi" w:cstheme="minorBidi"/>
      <w:kern w:val="2"/>
      <w:sz w:val="21"/>
      <w:szCs w:val="22"/>
    </w:rPr>
  </w:style>
  <w:style w:type="paragraph" w:styleId="6">
    <w:name w:val="caption"/>
    <w:basedOn w:val="1"/>
    <w:next w:val="1"/>
    <w:qFormat/>
    <w:uiPriority w:val="35"/>
    <w:pPr>
      <w:ind w:firstLine="200" w:firstLineChars="200"/>
      <w:jc w:val="center"/>
    </w:pPr>
    <w:rPr>
      <w:rFonts w:ascii="仿宋_GB2312" w:hAnsi="宋体" w:eastAsia="仿宋_GB2312" w:cs="Arial"/>
      <w:szCs w:val="21"/>
    </w:rPr>
  </w:style>
  <w:style w:type="paragraph" w:styleId="7">
    <w:name w:val="annotation text"/>
    <w:basedOn w:val="1"/>
    <w:link w:val="40"/>
    <w:semiHidden/>
    <w:unhideWhenUsed/>
    <w:qFormat/>
    <w:uiPriority w:val="99"/>
  </w:style>
  <w:style w:type="paragraph" w:styleId="8">
    <w:name w:val="Body Text"/>
    <w:basedOn w:val="1"/>
    <w:link w:val="32"/>
    <w:qFormat/>
    <w:uiPriority w:val="1"/>
    <w:pPr>
      <w:spacing w:before="159"/>
      <w:ind w:left="305"/>
    </w:pPr>
    <w:rPr>
      <w:rFonts w:ascii="宋体" w:eastAsia="宋体" w:cs="宋体"/>
      <w:sz w:val="32"/>
      <w:szCs w:val="32"/>
    </w:rPr>
  </w:style>
  <w:style w:type="paragraph" w:styleId="9">
    <w:name w:val="Body Text Indent"/>
    <w:basedOn w:val="1"/>
    <w:link w:val="38"/>
    <w:qFormat/>
    <w:uiPriority w:val="0"/>
    <w:pPr>
      <w:autoSpaceDE/>
      <w:autoSpaceDN/>
      <w:adjustRightInd/>
      <w:spacing w:line="480" w:lineRule="atLeast"/>
      <w:ind w:firstLine="601"/>
      <w:jc w:val="both"/>
    </w:pPr>
    <w:rPr>
      <w:rFonts w:ascii="宋体" w:eastAsia="宋体"/>
      <w:kern w:val="2"/>
      <w:sz w:val="28"/>
    </w:rPr>
  </w:style>
  <w:style w:type="paragraph" w:styleId="10">
    <w:name w:val="toc 5"/>
    <w:basedOn w:val="1"/>
    <w:next w:val="1"/>
    <w:unhideWhenUsed/>
    <w:qFormat/>
    <w:uiPriority w:val="39"/>
    <w:pPr>
      <w:autoSpaceDE/>
      <w:autoSpaceDN/>
      <w:adjustRightInd/>
      <w:ind w:left="1680" w:leftChars="800"/>
      <w:jc w:val="both"/>
    </w:pPr>
    <w:rPr>
      <w:rFonts w:asciiTheme="minorHAnsi" w:hAnsiTheme="minorHAnsi" w:cstheme="minorBidi"/>
      <w:kern w:val="2"/>
      <w:sz w:val="21"/>
      <w:szCs w:val="22"/>
    </w:rPr>
  </w:style>
  <w:style w:type="paragraph" w:styleId="11">
    <w:name w:val="toc 3"/>
    <w:basedOn w:val="1"/>
    <w:next w:val="1"/>
    <w:unhideWhenUsed/>
    <w:qFormat/>
    <w:uiPriority w:val="39"/>
    <w:pPr>
      <w:ind w:left="840" w:leftChars="400"/>
    </w:pPr>
  </w:style>
  <w:style w:type="paragraph" w:styleId="12">
    <w:name w:val="toc 8"/>
    <w:basedOn w:val="1"/>
    <w:next w:val="1"/>
    <w:unhideWhenUsed/>
    <w:qFormat/>
    <w:uiPriority w:val="39"/>
    <w:pPr>
      <w:autoSpaceDE/>
      <w:autoSpaceDN/>
      <w:adjustRightInd/>
      <w:ind w:left="2940" w:leftChars="1400"/>
      <w:jc w:val="both"/>
    </w:pPr>
    <w:rPr>
      <w:rFonts w:asciiTheme="minorHAnsi" w:hAnsiTheme="minorHAnsi" w:cstheme="minorBidi"/>
      <w:kern w:val="2"/>
      <w:sz w:val="21"/>
      <w:szCs w:val="22"/>
    </w:rPr>
  </w:style>
  <w:style w:type="paragraph" w:styleId="13">
    <w:name w:val="Balloon Text"/>
    <w:basedOn w:val="1"/>
    <w:link w:val="42"/>
    <w:semiHidden/>
    <w:unhideWhenUsed/>
    <w:qFormat/>
    <w:uiPriority w:val="99"/>
    <w:rPr>
      <w:sz w:val="18"/>
      <w:szCs w:val="18"/>
    </w:rPr>
  </w:style>
  <w:style w:type="paragraph" w:styleId="14">
    <w:name w:val="footer"/>
    <w:basedOn w:val="1"/>
    <w:link w:val="28"/>
    <w:unhideWhenUsed/>
    <w:qFormat/>
    <w:uiPriority w:val="99"/>
    <w:pPr>
      <w:tabs>
        <w:tab w:val="center" w:pos="4153"/>
        <w:tab w:val="right" w:pos="8306"/>
      </w:tabs>
      <w:snapToGrid w:val="0"/>
    </w:pPr>
    <w:rPr>
      <w:sz w:val="18"/>
      <w:szCs w:val="18"/>
    </w:rPr>
  </w:style>
  <w:style w:type="paragraph" w:styleId="15">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pPr>
      <w:tabs>
        <w:tab w:val="right" w:leader="dot" w:pos="8900"/>
      </w:tabs>
      <w:spacing w:line="360" w:lineRule="auto"/>
    </w:pPr>
    <w:rPr>
      <w:rFonts w:ascii="黑体" w:hAnsi="黑体" w:eastAsia="黑体"/>
      <w:sz w:val="28"/>
      <w:szCs w:val="28"/>
    </w:rPr>
  </w:style>
  <w:style w:type="paragraph" w:styleId="17">
    <w:name w:val="toc 4"/>
    <w:basedOn w:val="1"/>
    <w:next w:val="1"/>
    <w:unhideWhenUsed/>
    <w:uiPriority w:val="39"/>
    <w:pPr>
      <w:autoSpaceDE/>
      <w:autoSpaceDN/>
      <w:adjustRightInd/>
      <w:ind w:left="1260" w:leftChars="600"/>
      <w:jc w:val="both"/>
    </w:pPr>
    <w:rPr>
      <w:rFonts w:asciiTheme="minorHAnsi" w:hAnsiTheme="minorHAnsi" w:cstheme="minorBidi"/>
      <w:kern w:val="2"/>
      <w:sz w:val="21"/>
      <w:szCs w:val="22"/>
    </w:rPr>
  </w:style>
  <w:style w:type="paragraph" w:styleId="18">
    <w:name w:val="toc 6"/>
    <w:basedOn w:val="1"/>
    <w:next w:val="1"/>
    <w:unhideWhenUsed/>
    <w:qFormat/>
    <w:uiPriority w:val="39"/>
    <w:pPr>
      <w:autoSpaceDE/>
      <w:autoSpaceDN/>
      <w:adjustRightInd/>
      <w:ind w:left="2100" w:leftChars="1000"/>
      <w:jc w:val="both"/>
    </w:pPr>
    <w:rPr>
      <w:rFonts w:asciiTheme="minorHAnsi" w:hAnsiTheme="minorHAnsi" w:cstheme="minorBidi"/>
      <w:kern w:val="2"/>
      <w:sz w:val="21"/>
      <w:szCs w:val="22"/>
    </w:rPr>
  </w:style>
  <w:style w:type="paragraph" w:styleId="19">
    <w:name w:val="toc 2"/>
    <w:basedOn w:val="1"/>
    <w:next w:val="1"/>
    <w:unhideWhenUsed/>
    <w:qFormat/>
    <w:uiPriority w:val="39"/>
    <w:pPr>
      <w:tabs>
        <w:tab w:val="right" w:leader="dot" w:pos="8900"/>
      </w:tabs>
      <w:spacing w:line="360" w:lineRule="auto"/>
      <w:ind w:left="480" w:leftChars="200"/>
    </w:pPr>
    <w:rPr>
      <w:rFonts w:ascii="宋体" w:hAnsi="宋体" w:eastAsia="宋体"/>
      <w:sz w:val="28"/>
      <w:szCs w:val="28"/>
    </w:rPr>
  </w:style>
  <w:style w:type="paragraph" w:styleId="20">
    <w:name w:val="toc 9"/>
    <w:basedOn w:val="1"/>
    <w:next w:val="1"/>
    <w:unhideWhenUsed/>
    <w:qFormat/>
    <w:uiPriority w:val="39"/>
    <w:pPr>
      <w:autoSpaceDE/>
      <w:autoSpaceDN/>
      <w:adjustRightInd/>
      <w:ind w:left="3360" w:leftChars="1600"/>
      <w:jc w:val="both"/>
    </w:pPr>
    <w:rPr>
      <w:rFonts w:asciiTheme="minorHAnsi" w:hAnsiTheme="minorHAnsi" w:cstheme="minorBidi"/>
      <w:kern w:val="2"/>
      <w:sz w:val="21"/>
      <w:szCs w:val="22"/>
    </w:rPr>
  </w:style>
  <w:style w:type="paragraph" w:styleId="21">
    <w:name w:val="Normal (Web)"/>
    <w:basedOn w:val="1"/>
    <w:semiHidden/>
    <w:unhideWhenUsed/>
    <w:qFormat/>
    <w:uiPriority w:val="99"/>
    <w:pPr>
      <w:widowControl/>
      <w:autoSpaceDE/>
      <w:autoSpaceDN/>
      <w:adjustRightInd/>
      <w:spacing w:before="100" w:beforeAutospacing="1" w:after="100" w:afterAutospacing="1"/>
    </w:pPr>
    <w:rPr>
      <w:rFonts w:ascii="宋体" w:hAnsi="宋体" w:eastAsia="宋体" w:cs="宋体"/>
    </w:rPr>
  </w:style>
  <w:style w:type="paragraph" w:styleId="22">
    <w:name w:val="annotation subject"/>
    <w:basedOn w:val="7"/>
    <w:next w:val="7"/>
    <w:link w:val="41"/>
    <w:semiHidden/>
    <w:unhideWhenUsed/>
    <w:qFormat/>
    <w:uiPriority w:val="99"/>
    <w:rPr>
      <w:b/>
      <w:bCs/>
    </w:rPr>
  </w:style>
  <w:style w:type="character" w:styleId="25">
    <w:name w:val="Hyperlink"/>
    <w:unhideWhenUsed/>
    <w:qFormat/>
    <w:uiPriority w:val="99"/>
    <w:rPr>
      <w:color w:val="0000FF"/>
      <w:u w:val="single"/>
    </w:rPr>
  </w:style>
  <w:style w:type="character" w:styleId="26">
    <w:name w:val="annotation reference"/>
    <w:basedOn w:val="24"/>
    <w:semiHidden/>
    <w:unhideWhenUsed/>
    <w:qFormat/>
    <w:uiPriority w:val="99"/>
    <w:rPr>
      <w:sz w:val="21"/>
      <w:szCs w:val="21"/>
    </w:rPr>
  </w:style>
  <w:style w:type="character" w:customStyle="1" w:styleId="27">
    <w:name w:val="页眉 字符"/>
    <w:basedOn w:val="24"/>
    <w:link w:val="15"/>
    <w:qFormat/>
    <w:uiPriority w:val="99"/>
    <w:rPr>
      <w:sz w:val="18"/>
      <w:szCs w:val="18"/>
    </w:rPr>
  </w:style>
  <w:style w:type="character" w:customStyle="1" w:styleId="28">
    <w:name w:val="页脚 字符"/>
    <w:basedOn w:val="24"/>
    <w:link w:val="14"/>
    <w:qFormat/>
    <w:uiPriority w:val="99"/>
    <w:rPr>
      <w:sz w:val="18"/>
      <w:szCs w:val="18"/>
    </w:rPr>
  </w:style>
  <w:style w:type="character" w:customStyle="1" w:styleId="29">
    <w:name w:val="标题 1 字符"/>
    <w:basedOn w:val="24"/>
    <w:qFormat/>
    <w:uiPriority w:val="9"/>
    <w:rPr>
      <w:rFonts w:ascii="Times New Roman" w:hAnsi="Times New Roman" w:cs="Times New Roman"/>
      <w:b/>
      <w:bCs/>
      <w:kern w:val="44"/>
      <w:sz w:val="44"/>
      <w:szCs w:val="44"/>
    </w:rPr>
  </w:style>
  <w:style w:type="character" w:customStyle="1" w:styleId="30">
    <w:name w:val="标题 2 字符"/>
    <w:basedOn w:val="24"/>
    <w:semiHidden/>
    <w:qFormat/>
    <w:uiPriority w:val="9"/>
    <w:rPr>
      <w:rFonts w:asciiTheme="majorHAnsi" w:hAnsiTheme="majorHAnsi" w:eastAsiaTheme="majorEastAsia" w:cstheme="majorBidi"/>
      <w:b/>
      <w:bCs/>
      <w:kern w:val="0"/>
      <w:sz w:val="32"/>
      <w:szCs w:val="32"/>
    </w:rPr>
  </w:style>
  <w:style w:type="character" w:customStyle="1" w:styleId="31">
    <w:name w:val="标题 3 字符"/>
    <w:basedOn w:val="24"/>
    <w:semiHidden/>
    <w:qFormat/>
    <w:uiPriority w:val="9"/>
    <w:rPr>
      <w:rFonts w:ascii="Times New Roman" w:hAnsi="Times New Roman" w:cs="Times New Roman"/>
      <w:b/>
      <w:bCs/>
      <w:kern w:val="0"/>
      <w:sz w:val="32"/>
      <w:szCs w:val="32"/>
    </w:rPr>
  </w:style>
  <w:style w:type="character" w:customStyle="1" w:styleId="32">
    <w:name w:val="正文文本 字符"/>
    <w:basedOn w:val="24"/>
    <w:link w:val="8"/>
    <w:qFormat/>
    <w:uiPriority w:val="1"/>
    <w:rPr>
      <w:rFonts w:ascii="宋体" w:hAnsi="Times New Roman" w:eastAsia="宋体" w:cs="宋体"/>
      <w:kern w:val="0"/>
      <w:sz w:val="32"/>
      <w:szCs w:val="32"/>
    </w:rPr>
  </w:style>
  <w:style w:type="paragraph" w:styleId="33">
    <w:name w:val="List Paragraph"/>
    <w:basedOn w:val="1"/>
    <w:qFormat/>
    <w:uiPriority w:val="1"/>
  </w:style>
  <w:style w:type="paragraph" w:customStyle="1" w:styleId="34">
    <w:name w:val="Table Paragraph"/>
    <w:basedOn w:val="1"/>
    <w:qFormat/>
    <w:uiPriority w:val="1"/>
  </w:style>
  <w:style w:type="character" w:customStyle="1" w:styleId="35">
    <w:name w:val="标题 1 字符1"/>
    <w:link w:val="2"/>
    <w:qFormat/>
    <w:uiPriority w:val="0"/>
    <w:rPr>
      <w:rFonts w:ascii="黑体" w:hAnsi="Times New Roman" w:eastAsia="黑体" w:cs="Times New Roman"/>
      <w:b/>
      <w:bCs/>
      <w:kern w:val="44"/>
      <w:sz w:val="30"/>
      <w:szCs w:val="30"/>
    </w:rPr>
  </w:style>
  <w:style w:type="character" w:customStyle="1" w:styleId="36">
    <w:name w:val="标题 2 字符1"/>
    <w:link w:val="3"/>
    <w:uiPriority w:val="0"/>
    <w:rPr>
      <w:rFonts w:ascii="宋体" w:hAnsi="Arial" w:eastAsia="宋体" w:cs="Times New Roman"/>
      <w:b/>
      <w:bCs/>
      <w:sz w:val="28"/>
      <w:szCs w:val="28"/>
    </w:rPr>
  </w:style>
  <w:style w:type="character" w:customStyle="1" w:styleId="37">
    <w:name w:val="正文文本缩进 字符"/>
    <w:basedOn w:val="24"/>
    <w:semiHidden/>
    <w:uiPriority w:val="99"/>
    <w:rPr>
      <w:rFonts w:ascii="Times New Roman" w:hAnsi="Times New Roman" w:cs="Times New Roman"/>
      <w:kern w:val="0"/>
      <w:sz w:val="24"/>
      <w:szCs w:val="24"/>
    </w:rPr>
  </w:style>
  <w:style w:type="character" w:customStyle="1" w:styleId="38">
    <w:name w:val="正文文本缩进 字符1"/>
    <w:link w:val="9"/>
    <w:qFormat/>
    <w:uiPriority w:val="0"/>
    <w:rPr>
      <w:rFonts w:ascii="宋体" w:hAnsi="Times New Roman" w:eastAsia="宋体" w:cs="Times New Roman"/>
      <w:sz w:val="28"/>
      <w:szCs w:val="24"/>
    </w:rPr>
  </w:style>
  <w:style w:type="character" w:customStyle="1" w:styleId="39">
    <w:name w:val="标题 3 字符1"/>
    <w:link w:val="4"/>
    <w:uiPriority w:val="0"/>
    <w:rPr>
      <w:rFonts w:ascii="宋体" w:hAnsi="Times New Roman" w:eastAsia="宋体" w:cs="Times New Roman"/>
      <w:bCs/>
      <w:sz w:val="28"/>
      <w:szCs w:val="28"/>
    </w:rPr>
  </w:style>
  <w:style w:type="character" w:customStyle="1" w:styleId="40">
    <w:name w:val="批注文字 字符"/>
    <w:basedOn w:val="24"/>
    <w:link w:val="7"/>
    <w:semiHidden/>
    <w:qFormat/>
    <w:uiPriority w:val="99"/>
    <w:rPr>
      <w:rFonts w:ascii="Times New Roman" w:hAnsi="Times New Roman" w:cs="Times New Roman"/>
      <w:kern w:val="0"/>
      <w:sz w:val="24"/>
      <w:szCs w:val="24"/>
    </w:rPr>
  </w:style>
  <w:style w:type="character" w:customStyle="1" w:styleId="41">
    <w:name w:val="批注主题 字符"/>
    <w:basedOn w:val="40"/>
    <w:link w:val="22"/>
    <w:semiHidden/>
    <w:qFormat/>
    <w:uiPriority w:val="99"/>
    <w:rPr>
      <w:rFonts w:ascii="Times New Roman" w:hAnsi="Times New Roman" w:cs="Times New Roman"/>
      <w:b/>
      <w:bCs/>
      <w:kern w:val="0"/>
      <w:sz w:val="24"/>
      <w:szCs w:val="24"/>
    </w:rPr>
  </w:style>
  <w:style w:type="character" w:customStyle="1" w:styleId="42">
    <w:name w:val="批注框文本 字符"/>
    <w:basedOn w:val="24"/>
    <w:link w:val="13"/>
    <w:semiHidden/>
    <w:qFormat/>
    <w:uiPriority w:val="99"/>
    <w:rPr>
      <w:rFonts w:ascii="Times New Roman" w:hAnsi="Times New Roman" w:cs="Times New Roman"/>
      <w:kern w:val="0"/>
      <w:sz w:val="18"/>
      <w:szCs w:val="18"/>
    </w:rPr>
  </w:style>
  <w:style w:type="character" w:customStyle="1" w:styleId="43">
    <w:name w:val="split"/>
    <w:qFormat/>
    <w:uiPriority w:val="0"/>
  </w:style>
  <w:style w:type="paragraph" w:customStyle="1" w:styleId="44">
    <w:name w:val="目录 21"/>
    <w:basedOn w:val="1"/>
    <w:next w:val="1"/>
    <w:qFormat/>
    <w:uiPriority w:val="39"/>
    <w:pPr>
      <w:autoSpaceDE/>
      <w:autoSpaceDN/>
      <w:adjustRightInd/>
      <w:ind w:left="1470"/>
    </w:pPr>
    <w:rPr>
      <w:rFonts w:eastAsia="宋体"/>
      <w:kern w:val="2"/>
      <w:sz w:val="18"/>
      <w:szCs w:val="18"/>
    </w:rPr>
  </w:style>
  <w:style w:type="character" w:customStyle="1" w:styleId="45">
    <w:name w:val="正文文本缩进 Char2"/>
    <w:qFormat/>
    <w:uiPriority w:val="0"/>
    <w:rPr>
      <w:rFonts w:ascii="宋体" w:eastAsia="宋体"/>
      <w:kern w:val="2"/>
      <w:sz w:val="28"/>
      <w:szCs w:val="24"/>
      <w:lang w:val="en-US" w:eastAsia="zh-CN" w:bidi="ar-SA"/>
    </w:rPr>
  </w:style>
  <w:style w:type="character" w:customStyle="1" w:styleId="46">
    <w:name w:val="标题 2 Char1"/>
    <w:uiPriority w:val="0"/>
    <w:rPr>
      <w:rFonts w:ascii="宋体" w:hAnsi="Arial"/>
      <w:b/>
      <w:bCs/>
      <w:kern w:val="2"/>
      <w:sz w:val="28"/>
      <w:szCs w:val="28"/>
    </w:rPr>
  </w:style>
  <w:style w:type="paragraph" w:customStyle="1" w:styleId="47">
    <w:name w:val="TOC Heading"/>
    <w:basedOn w:val="2"/>
    <w:next w:val="1"/>
    <w:unhideWhenUsed/>
    <w:qFormat/>
    <w:uiPriority w:val="39"/>
    <w:pPr>
      <w:widowControl/>
      <w:adjustRightInd/>
      <w:snapToGrid/>
      <w:spacing w:before="240" w:beforeLines="0" w:after="0" w:afterLines="0" w:line="259" w:lineRule="auto"/>
      <w:ind w:left="0" w:firstLine="0"/>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48">
    <w:name w:val="Unresolved Mention"/>
    <w:basedOn w:val="24"/>
    <w:semiHidden/>
    <w:unhideWhenUsed/>
    <w:qFormat/>
    <w:uiPriority w:val="99"/>
    <w:rPr>
      <w:color w:val="605E5C"/>
      <w:shd w:val="clear" w:color="auto" w:fill="E1DFDD"/>
    </w:rPr>
  </w:style>
  <w:style w:type="paragraph" w:customStyle="1" w:styleId="49">
    <w:name w:val="Char1"/>
    <w:basedOn w:val="1"/>
    <w:qFormat/>
    <w:uiPriority w:val="0"/>
    <w:rPr>
      <w:rFonts w:ascii="Times New Roman" w:hAnsi="Times New Roman" w:eastAsia="华文细黑" w:cs="Arial"/>
      <w:szCs w:val="72"/>
    </w:rPr>
  </w:style>
  <w:style w:type="paragraph" w:customStyle="1" w:styleId="50">
    <w:name w:val="ly正文"/>
    <w:qFormat/>
    <w:uiPriority w:val="0"/>
    <w:pPr>
      <w:spacing w:beforeLines="30" w:afterLines="30" w:line="400" w:lineRule="exact"/>
      <w:ind w:firstLine="200" w:firstLineChars="200"/>
      <w:jc w:val="both"/>
    </w:pPr>
    <w:rPr>
      <w:rFonts w:ascii="华文细黑" w:hAnsi="Times New Roman" w:eastAsia="华文细黑" w:cs="Times New Roman"/>
      <w:kern w:val="2"/>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customXml" Target="../customXml/item1.xml"/><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png"/><Relationship Id="rId23" Type="http://schemas.openxmlformats.org/officeDocument/2006/relationships/image" Target="media/image14.jpeg"/><Relationship Id="rId22" Type="http://schemas.openxmlformats.org/officeDocument/2006/relationships/image" Target="media/image13.emf"/><Relationship Id="rId21" Type="http://schemas.openxmlformats.org/officeDocument/2006/relationships/image" Target="media/image12.emf"/><Relationship Id="rId20" Type="http://schemas.openxmlformats.org/officeDocument/2006/relationships/image" Target="media/image11.emf"/><Relationship Id="rId2" Type="http://schemas.openxmlformats.org/officeDocument/2006/relationships/settings" Target="settings.xml"/><Relationship Id="rId19" Type="http://schemas.openxmlformats.org/officeDocument/2006/relationships/image" Target="media/image10.emf"/><Relationship Id="rId18" Type="http://schemas.openxmlformats.org/officeDocument/2006/relationships/image" Target="media/image9.emf"/><Relationship Id="rId17" Type="http://schemas.openxmlformats.org/officeDocument/2006/relationships/image" Target="media/image8.emf"/><Relationship Id="rId16" Type="http://schemas.openxmlformats.org/officeDocument/2006/relationships/image" Target="media/image7.emf"/><Relationship Id="rId15" Type="http://schemas.openxmlformats.org/officeDocument/2006/relationships/image" Target="media/image6.emf"/><Relationship Id="rId14" Type="http://schemas.openxmlformats.org/officeDocument/2006/relationships/image" Target="media/image5.emf"/><Relationship Id="rId13" Type="http://schemas.openxmlformats.org/officeDocument/2006/relationships/image" Target="media/image4.emf"/><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DCB12A-6150-4877-936D-AB4386A51557}">
  <ds:schemaRefs/>
</ds:datastoreItem>
</file>

<file path=docProps/app.xml><?xml version="1.0" encoding="utf-8"?>
<Properties xmlns="http://schemas.openxmlformats.org/officeDocument/2006/extended-properties" xmlns:vt="http://schemas.openxmlformats.org/officeDocument/2006/docPropsVTypes">
  <Template>Normal</Template>
  <Pages>104</Pages>
  <Words>5542</Words>
  <Characters>31595</Characters>
  <Lines>263</Lines>
  <Paragraphs>74</Paragraphs>
  <TotalTime>4</TotalTime>
  <ScaleCrop>false</ScaleCrop>
  <LinksUpToDate>false</LinksUpToDate>
  <CharactersWithSpaces>37063</CharactersWithSpaces>
  <Application>WPS Office_11.8.2.8276_F1E327BC-269C-435d-A152-05C5408002CA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2019-10-27T11:30:00Z</dcterms:created>
  <dc:creator>c mx</dc:creator>
  <cp:lastModifiedBy>信息采编</cp:lastModifiedBy>
  <cp:lastPrinted>2019-10-31T06:31:00Z</cp:lastPrinted>
  <dcterms:modified xsi:type="dcterms:W3CDTF">2020-02-20T02:03:38Z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ies>
</file>