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579" w:lineRule="exact"/>
        <w:ind w:left="0" w:leftChars="0" w:right="50" w:rightChars="21" w:firstLine="0" w:firstLineChars="0"/>
        <w:textAlignment w:val="auto"/>
        <w:rPr>
          <w:rFonts w:hint="default" w:ascii="Times New Roman" w:hAnsi="Times New Roman" w:cs="Times New Roman"/>
          <w:sz w:val="32"/>
          <w:szCs w:val="32"/>
        </w:rPr>
      </w:pPr>
      <w:bookmarkStart w:id="0" w:name="_Toc484985672"/>
      <w:bookmarkStart w:id="1" w:name="_Toc29469581"/>
      <w:bookmarkStart w:id="2" w:name="_Toc450649285"/>
      <w:bookmarkStart w:id="3" w:name="_Toc450649297"/>
      <w:bookmarkStart w:id="4" w:name="_Toc250995902"/>
      <w:bookmarkStart w:id="5" w:name="_Toc307054132"/>
      <w:bookmarkStart w:id="6" w:name="_Toc306956317"/>
      <w:bookmarkStart w:id="7" w:name="_Toc253585697"/>
      <w:bookmarkStart w:id="8" w:name="_Toc18080"/>
      <w:bookmarkStart w:id="9" w:name="_Toc253745603"/>
      <w:bookmarkStart w:id="10" w:name="_Toc397341724"/>
      <w:bookmarkStart w:id="11" w:name="_Toc397340718"/>
      <w:bookmarkStart w:id="12" w:name="_Toc306780377"/>
      <w:bookmarkStart w:id="13" w:name="_Toc367968409"/>
      <w:bookmarkStart w:id="14" w:name="_Toc306766356"/>
      <w:bookmarkStart w:id="15" w:name="_Toc236660746"/>
      <w:bookmarkStart w:id="16" w:name="_Toc236747698"/>
      <w:bookmarkStart w:id="17" w:name="_Toc253595428"/>
      <w:bookmarkStart w:id="18" w:name="_Toc373954833"/>
      <w:bookmarkStart w:id="19" w:name="_Toc373955043"/>
      <w:bookmarkStart w:id="20" w:name="_Toc397340384"/>
      <w:bookmarkStart w:id="21" w:name="_Toc397340149"/>
      <w:bookmarkStart w:id="437" w:name="_GoBack"/>
      <w:bookmarkEnd w:id="437"/>
      <w:r>
        <w:rPr>
          <w:rFonts w:hint="eastAsia" w:ascii="Times New Roman" w:hAnsi="Times New Roman" w:eastAsia="楷体_GB2312" w:cs="Times New Roman"/>
          <w:sz w:val="32"/>
          <w:szCs w:val="32"/>
          <w:lang w:eastAsia="zh-CN"/>
        </w:rPr>
        <w:t>对外发布，略有删减</w:t>
      </w: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eastAsia="方正小标宋简体" w:cs="Times New Roman"/>
          <w:b w:val="0"/>
          <w:bCs w:val="0"/>
          <w:spacing w:val="1"/>
          <w:w w:val="100"/>
          <w:kern w:val="0"/>
          <w:sz w:val="52"/>
          <w:szCs w:val="52"/>
          <w:lang w:val="en-US" w:eastAsia="en-US" w:bidi="ar-SA"/>
        </w:rPr>
      </w:pPr>
    </w:p>
    <w:p>
      <w:pPr>
        <w:adjustRightInd w:val="0"/>
        <w:snapToGrid w:val="0"/>
        <w:spacing w:line="360" w:lineRule="auto"/>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舟山市六横镇小郭巨临港产业园</w:t>
      </w:r>
    </w:p>
    <w:p>
      <w:pPr>
        <w:adjustRightInd w:val="0"/>
        <w:snapToGrid w:val="0"/>
        <w:spacing w:line="360" w:lineRule="auto"/>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增量配电网建设发展规划</w:t>
      </w:r>
    </w:p>
    <w:p>
      <w:pPr>
        <w:adjustRightInd w:val="0"/>
        <w:snapToGrid w:val="0"/>
        <w:spacing w:line="360" w:lineRule="auto"/>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（2019-2025年）</w:t>
      </w:r>
    </w:p>
    <w:p>
      <w:pPr>
        <w:adjustRightInd w:val="0"/>
        <w:snapToGrid w:val="0"/>
        <w:spacing w:line="560" w:lineRule="exact"/>
        <w:jc w:val="center"/>
        <w:rPr>
          <w:rFonts w:hint="default" w:ascii="Times New Roman" w:hAnsi="Times New Roman" w:eastAsia="方正小标宋简体" w:cs="Times New Roman"/>
          <w:color w:val="000000"/>
          <w:kern w:val="0"/>
          <w:sz w:val="32"/>
          <w:szCs w:val="32"/>
        </w:rPr>
      </w:pPr>
    </w:p>
    <w:p>
      <w:pPr>
        <w:tabs>
          <w:tab w:val="center" w:pos="4156"/>
        </w:tabs>
        <w:rPr>
          <w:rFonts w:hint="default" w:ascii="Times New Roman" w:hAnsi="Times New Roman" w:eastAsia="仿宋_GB2312" w:cs="Times New Roman"/>
          <w:sz w:val="30"/>
          <w:szCs w:val="30"/>
        </w:rPr>
        <w:sectPr>
          <w:headerReference r:id="rId3" w:type="default"/>
          <w:footerReference r:id="rId4" w:type="default"/>
          <w:pgSz w:w="11906" w:h="16838"/>
          <w:pgMar w:top="1440" w:right="1800" w:bottom="1440" w:left="1800" w:header="851" w:footer="992" w:gutter="0"/>
          <w:pgNumType w:fmt="numberInDash"/>
          <w:cols w:space="720" w:num="1"/>
          <w:titlePg/>
          <w:docGrid w:linePitch="326" w:charSpace="0"/>
        </w:sectPr>
      </w:pP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val="en-US" w:eastAsia="zh-CN"/>
        </w:rPr>
      </w:pPr>
      <w:bookmarkStart w:id="22" w:name="_Toc23169541"/>
      <w:bookmarkStart w:id="23" w:name="_Toc28458016"/>
      <w:bookmarkStart w:id="24" w:name="_Toc489961275"/>
      <w:bookmarkStart w:id="25" w:name="_Toc11772027"/>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val="en-US" w:eastAsia="zh-CN"/>
        </w:rPr>
      </w:pP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根据</w:t>
      </w:r>
      <w:r>
        <w:rPr>
          <w:rFonts w:hint="default" w:ascii="Times New Roman" w:hAnsi="Times New Roman" w:eastAsia="仿宋_GB2312" w:cs="Times New Roman"/>
          <w:kern w:val="2"/>
          <w:sz w:val="32"/>
          <w:szCs w:val="32"/>
        </w:rPr>
        <w:t>《中共中央国务院关于进一步深化电力体制改革的若干意见》（中发〔2015〕9号）精神，国家发展改革委、国家能源局于201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年</w:t>
      </w:r>
      <w:r>
        <w:rPr>
          <w:rFonts w:hint="default" w:ascii="Times New Roman" w:hAnsi="Times New Roman" w:eastAsia="仿宋_GB2312" w:cs="Times New Roman"/>
          <w:kern w:val="2"/>
          <w:sz w:val="32"/>
          <w:szCs w:val="32"/>
          <w:lang w:val="en-US" w:eastAsia="zh-CN"/>
        </w:rPr>
        <w:t>6</w:t>
      </w:r>
      <w:r>
        <w:rPr>
          <w:rFonts w:hint="default" w:ascii="Times New Roman" w:hAnsi="Times New Roman" w:eastAsia="仿宋_GB2312" w:cs="Times New Roman"/>
          <w:kern w:val="2"/>
          <w:sz w:val="32"/>
          <w:szCs w:val="32"/>
        </w:rPr>
        <w:t>月</w:t>
      </w:r>
      <w:r>
        <w:rPr>
          <w:rFonts w:hint="default" w:ascii="Times New Roman" w:hAnsi="Times New Roman" w:eastAsia="仿宋_GB2312" w:cs="Times New Roman"/>
          <w:kern w:val="2"/>
          <w:sz w:val="32"/>
          <w:szCs w:val="32"/>
          <w:lang w:val="en-US" w:eastAsia="zh-CN"/>
        </w:rPr>
        <w:t>印发</w:t>
      </w:r>
      <w:r>
        <w:rPr>
          <w:rFonts w:hint="default" w:ascii="Times New Roman" w:hAnsi="Times New Roman" w:eastAsia="仿宋_GB2312" w:cs="Times New Roman"/>
          <w:kern w:val="2"/>
          <w:sz w:val="32"/>
          <w:szCs w:val="32"/>
        </w:rPr>
        <w:t>了《关于规范开展第四批增量配电业务改革试点的通知》（发改</w:t>
      </w:r>
      <w:r>
        <w:rPr>
          <w:rFonts w:hint="default" w:ascii="Times New Roman" w:hAnsi="Times New Roman" w:eastAsia="仿宋_GB2312" w:cs="Times New Roman"/>
          <w:kern w:val="2"/>
          <w:sz w:val="32"/>
          <w:szCs w:val="32"/>
          <w:lang w:val="en-US" w:eastAsia="zh-CN"/>
        </w:rPr>
        <w:t>运行</w:t>
      </w:r>
      <w:r>
        <w:rPr>
          <w:rFonts w:hint="default" w:ascii="Times New Roman" w:hAnsi="Times New Roman" w:eastAsia="仿宋_GB2312" w:cs="Times New Roman"/>
          <w:kern w:val="2"/>
          <w:sz w:val="32"/>
          <w:szCs w:val="32"/>
        </w:rPr>
        <w:t>〔201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val="en-US" w:eastAsia="zh-CN"/>
        </w:rPr>
        <w:t>1097</w:t>
      </w:r>
      <w:r>
        <w:rPr>
          <w:rFonts w:hint="default" w:ascii="Times New Roman" w:hAnsi="Times New Roman" w:eastAsia="仿宋_GB2312" w:cs="Times New Roman"/>
          <w:kern w:val="2"/>
          <w:sz w:val="32"/>
          <w:szCs w:val="32"/>
        </w:rPr>
        <w:t>号），公布了</w:t>
      </w:r>
      <w:r>
        <w:rPr>
          <w:rFonts w:hint="default" w:ascii="Times New Roman" w:hAnsi="Times New Roman" w:eastAsia="仿宋_GB2312" w:cs="Times New Roman"/>
          <w:kern w:val="2"/>
          <w:sz w:val="32"/>
          <w:szCs w:val="32"/>
          <w:lang w:val="en-US" w:eastAsia="zh-CN"/>
        </w:rPr>
        <w:t>我省</w:t>
      </w:r>
      <w:r>
        <w:rPr>
          <w:rFonts w:hint="default" w:ascii="Times New Roman" w:hAnsi="Times New Roman" w:eastAsia="仿宋_GB2312" w:cs="Times New Roman"/>
          <w:kern w:val="2"/>
          <w:sz w:val="32"/>
          <w:szCs w:val="32"/>
        </w:rPr>
        <w:t>第</w:t>
      </w:r>
      <w:r>
        <w:rPr>
          <w:rFonts w:hint="default" w:ascii="Times New Roman" w:hAnsi="Times New Roman" w:eastAsia="仿宋_GB2312" w:cs="Times New Roman"/>
          <w:kern w:val="2"/>
          <w:sz w:val="32"/>
          <w:szCs w:val="32"/>
          <w:lang w:val="en-US" w:eastAsia="zh-CN"/>
        </w:rPr>
        <w:t>四</w:t>
      </w:r>
      <w:r>
        <w:rPr>
          <w:rFonts w:hint="default" w:ascii="Times New Roman" w:hAnsi="Times New Roman" w:eastAsia="仿宋_GB2312" w:cs="Times New Roman"/>
          <w:kern w:val="2"/>
          <w:sz w:val="32"/>
          <w:szCs w:val="32"/>
        </w:rPr>
        <w:t>批</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rPr>
        <w:t>个增量配电业务改革试点的名单，舟山市六横镇小郭巨临港产业园增量配电试点项目为</w:t>
      </w:r>
      <w:r>
        <w:rPr>
          <w:rFonts w:hint="default" w:ascii="Times New Roman" w:hAnsi="Times New Roman" w:eastAsia="仿宋_GB2312" w:cs="Times New Roman"/>
          <w:kern w:val="2"/>
          <w:sz w:val="32"/>
          <w:szCs w:val="32"/>
          <w:lang w:val="en-US" w:eastAsia="zh-CN"/>
        </w:rPr>
        <w:t>其中</w:t>
      </w:r>
      <w:r>
        <w:rPr>
          <w:rFonts w:hint="default" w:ascii="Times New Roman" w:hAnsi="Times New Roman" w:eastAsia="仿宋_GB2312" w:cs="Times New Roman"/>
          <w:kern w:val="2"/>
          <w:sz w:val="32"/>
          <w:szCs w:val="32"/>
        </w:rPr>
        <w:t>之一。</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en-US" w:eastAsia="zh-CN"/>
        </w:rPr>
        <w:t>为积极有序推进我省增量配电业务改革，确保改革取得实效，保障</w:t>
      </w:r>
      <w:r>
        <w:rPr>
          <w:rFonts w:hint="default" w:ascii="Times New Roman" w:hAnsi="Times New Roman" w:eastAsia="仿宋_GB2312" w:cs="Times New Roman"/>
          <w:kern w:val="2"/>
          <w:sz w:val="32"/>
          <w:szCs w:val="32"/>
        </w:rPr>
        <w:t>舟山市六横镇小郭巨临港产业园</w:t>
      </w:r>
      <w:r>
        <w:rPr>
          <w:rFonts w:hint="default" w:ascii="Times New Roman" w:hAnsi="Times New Roman" w:eastAsia="仿宋_GB2312" w:cs="Times New Roman"/>
          <w:kern w:val="2"/>
          <w:sz w:val="32"/>
          <w:szCs w:val="32"/>
          <w:lang w:val="en-US" w:eastAsia="zh-CN"/>
        </w:rPr>
        <w:t>增量配电网持续健康发展，</w:t>
      </w:r>
      <w:r>
        <w:rPr>
          <w:rFonts w:hint="default" w:ascii="Times New Roman" w:hAnsi="Times New Roman" w:eastAsia="仿宋_GB2312" w:cs="Times New Roman"/>
          <w:kern w:val="2"/>
          <w:sz w:val="32"/>
          <w:szCs w:val="32"/>
        </w:rPr>
        <w:t>根据</w:t>
      </w:r>
      <w:r>
        <w:rPr>
          <w:rFonts w:hint="default" w:ascii="Times New Roman" w:hAnsi="Times New Roman" w:eastAsia="仿宋_GB2312" w:cs="Times New Roman"/>
          <w:kern w:val="2"/>
          <w:sz w:val="32"/>
          <w:szCs w:val="32"/>
          <w:lang w:eastAsia="zh-CN"/>
        </w:rPr>
        <w:t>《关于做好增量配电网建设发展规划编制工作的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》（浙发改办能源〔2019〕7</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）、《关于加快推进第四批增量配电网业务试点项目的通知》（浙发改能源〔2019〕311号）</w:t>
      </w:r>
      <w:r>
        <w:rPr>
          <w:rFonts w:hint="default" w:ascii="Times New Roman" w:hAnsi="Times New Roman" w:eastAsia="仿宋_GB2312" w:cs="Times New Roman"/>
          <w:kern w:val="2"/>
          <w:sz w:val="32"/>
          <w:szCs w:val="32"/>
        </w:rPr>
        <w:t>要求，编制</w:t>
      </w:r>
      <w:r>
        <w:rPr>
          <w:rFonts w:hint="default" w:ascii="Times New Roman" w:hAnsi="Times New Roman" w:eastAsia="仿宋_GB2312" w:cs="Times New Roman"/>
          <w:kern w:val="2"/>
          <w:sz w:val="32"/>
          <w:szCs w:val="32"/>
          <w:lang w:val="en-US" w:eastAsia="zh-CN"/>
        </w:rPr>
        <w:t>本规划</w:t>
      </w:r>
      <w:r>
        <w:rPr>
          <w:rFonts w:hint="default" w:ascii="Times New Roman" w:hAnsi="Times New Roman" w:eastAsia="仿宋_GB2312" w:cs="Times New Roman"/>
          <w:kern w:val="2"/>
          <w:sz w:val="32"/>
          <w:szCs w:val="32"/>
          <w:lang w:eastAsia="zh-CN"/>
        </w:rPr>
        <w:t>。</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本规划基准年为201</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rPr>
        <w:t>年，规划期为201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-202</w:t>
      </w:r>
      <w:r>
        <w:rPr>
          <w:rFonts w:hint="default" w:ascii="Times New Roman" w:hAnsi="Times New Roman" w:eastAsia="仿宋_GB2312" w:cs="Times New Roman"/>
          <w:kern w:val="2"/>
          <w:sz w:val="32"/>
          <w:szCs w:val="32"/>
          <w:lang w:val="en-US" w:eastAsia="zh-CN"/>
        </w:rPr>
        <w:t>5</w:t>
      </w:r>
      <w:r>
        <w:rPr>
          <w:rFonts w:hint="default" w:ascii="Times New Roman" w:hAnsi="Times New Roman" w:eastAsia="仿宋_GB2312" w:cs="Times New Roman"/>
          <w:kern w:val="2"/>
          <w:sz w:val="32"/>
          <w:szCs w:val="32"/>
        </w:rPr>
        <w:t>年。</w:t>
      </w:r>
    </w:p>
    <w:bookmarkEnd w:id="22"/>
    <w:bookmarkEnd w:id="23"/>
    <w:bookmarkEnd w:id="24"/>
    <w:bookmarkEnd w:id="25"/>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本</w:t>
      </w:r>
      <w:r>
        <w:rPr>
          <w:rFonts w:hint="default" w:ascii="Times New Roman" w:hAnsi="Times New Roman" w:eastAsia="仿宋_GB2312" w:cs="Times New Roman"/>
          <w:kern w:val="2"/>
          <w:sz w:val="32"/>
          <w:szCs w:val="32"/>
        </w:rPr>
        <w:t>规划</w:t>
      </w:r>
      <w:r>
        <w:rPr>
          <w:rFonts w:hint="default" w:ascii="Times New Roman" w:hAnsi="Times New Roman" w:eastAsia="仿宋_GB2312" w:cs="Times New Roman"/>
          <w:kern w:val="2"/>
          <w:sz w:val="32"/>
          <w:szCs w:val="32"/>
          <w:lang w:val="en-US" w:eastAsia="zh-CN"/>
        </w:rPr>
        <w:t>的</w:t>
      </w:r>
      <w:r>
        <w:rPr>
          <w:rFonts w:hint="default" w:ascii="Times New Roman" w:hAnsi="Times New Roman" w:eastAsia="仿宋_GB2312" w:cs="Times New Roman"/>
          <w:kern w:val="2"/>
          <w:sz w:val="32"/>
          <w:szCs w:val="32"/>
        </w:rPr>
        <w:t>编制依据</w:t>
      </w:r>
      <w:r>
        <w:rPr>
          <w:rFonts w:hint="default" w:ascii="Times New Roman" w:hAnsi="Times New Roman" w:eastAsia="仿宋_GB2312" w:cs="Times New Roman"/>
          <w:kern w:val="2"/>
          <w:sz w:val="32"/>
          <w:szCs w:val="32"/>
          <w:lang w:val="en-US" w:eastAsia="zh-CN"/>
        </w:rPr>
        <w:t>主要包括：</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1．《中共中央 国务院关于进一步深化电力体制改革的若干意见》(中发〔2015〕9号)；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2．《国家发展改革委、国家能源局关于印发电力体制改革配套文件的通知》（发改经体〔2015〕2752号）；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3．《国家发展改革委 国家能源局关于印发&lt;售电公司准入与退出管理办法&gt;和&lt;有序放开配电网业务管理办法&gt;的通知》（发改经体〔2016〕2120号）；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4．《国家发展改革委 国家能源局关于印发&lt;增量配电业务配电区域划分实施办法（试行）&gt;的通知》（发改能源规〔2018〕424号）；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5．《国家发展改革委 国家能源局关于规范开展第四批增量配电业务改革试点的通知》（发改经体〔2019〕1097号）；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6．《关于进一步做好我省增量配电业务改革试点工作的通知》（浙发改能源〔2018〕645号）；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7．《关于做好增量配电网建设发展规划编制工作的通知》（浙发改办能源〔2019〕7号）；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8．《关于加快推进第四批增量配电网业务试点项目的通知》（浙发改能源〔2019〕311号）；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rPr>
        <w:t>9．</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10．《浙江舟山群岛新区（城市）总体规划(2012－2030年)》</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rPr>
        <w:t>11.</w:t>
      </w:r>
      <w:r>
        <w:rPr>
          <w:rFonts w:hint="default" w:ascii="Times New Roman" w:hAnsi="Times New Roman" w:eastAsia="仿宋_GB2312" w:cs="Times New Roman"/>
          <w:kern w:val="2"/>
          <w:sz w:val="32"/>
          <w:szCs w:val="32"/>
        </w:rPr>
        <w:t>《舟山市六横镇总体规划(2008—2020)》</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rPr>
        <w:t>12.</w:t>
      </w:r>
      <w:r>
        <w:rPr>
          <w:rFonts w:hint="default" w:ascii="Times New Roman" w:hAnsi="Times New Roman" w:eastAsia="仿宋_GB2312" w:cs="Times New Roman"/>
          <w:kern w:val="2"/>
          <w:sz w:val="32"/>
          <w:szCs w:val="32"/>
        </w:rPr>
        <w:t>《舟山六横岛小郭巨片区规划》（2015年）</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rPr>
        <w:t>．《城市电力规划规范》（GB/T 50293-2014）；</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4</w:t>
      </w:r>
      <w:r>
        <w:rPr>
          <w:rFonts w:hint="default" w:ascii="Times New Roman" w:hAnsi="Times New Roman" w:eastAsia="仿宋_GB2312" w:cs="Times New Roman"/>
          <w:kern w:val="2"/>
          <w:sz w:val="32"/>
          <w:szCs w:val="32"/>
        </w:rPr>
        <w:t>．《配电网规划设计技术导则》（DL/T 5729-2016）；</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5</w:t>
      </w:r>
      <w:r>
        <w:rPr>
          <w:rFonts w:hint="default" w:ascii="Times New Roman" w:hAnsi="Times New Roman" w:eastAsia="仿宋_GB2312" w:cs="Times New Roman"/>
          <w:kern w:val="2"/>
          <w:sz w:val="32"/>
          <w:szCs w:val="32"/>
        </w:rPr>
        <w:t>．《电能质量 公用电网间谐波》（</w:t>
      </w:r>
      <w:r>
        <w:rPr>
          <w:rFonts w:hint="default" w:ascii="Times New Roman" w:hAnsi="Times New Roman" w:eastAsia="仿宋_GB2312" w:cs="Times New Roman"/>
          <w:kern w:val="2"/>
          <w:sz w:val="32"/>
          <w:szCs w:val="32"/>
        </w:rPr>
        <w:fldChar w:fldCharType="begin"/>
      </w:r>
      <w:r>
        <w:rPr>
          <w:rFonts w:hint="default" w:ascii="Times New Roman" w:hAnsi="Times New Roman" w:eastAsia="仿宋_GB2312" w:cs="Times New Roman"/>
          <w:kern w:val="2"/>
          <w:sz w:val="32"/>
          <w:szCs w:val="32"/>
        </w:rPr>
        <w:instrText xml:space="preserve"> HYPERLINK "https://www.baidu.com/s?wd=GB%2FT&amp;tn=SE_PcZhidaonwhc_ngpagmjz&amp;rsv_dl=gh_pc_zhidao" \t "_blank" </w:instrText>
      </w:r>
      <w:r>
        <w:rPr>
          <w:rFonts w:hint="default" w:ascii="Times New Roman" w:hAnsi="Times New Roman" w:eastAsia="仿宋_GB2312" w:cs="Times New Roman"/>
          <w:kern w:val="2"/>
          <w:sz w:val="32"/>
          <w:szCs w:val="32"/>
        </w:rPr>
        <w:fldChar w:fldCharType="separate"/>
      </w:r>
      <w:r>
        <w:rPr>
          <w:rFonts w:hint="default" w:ascii="Times New Roman" w:hAnsi="Times New Roman" w:eastAsia="仿宋_GB2312" w:cs="Times New Roman"/>
          <w:kern w:val="2"/>
          <w:sz w:val="32"/>
          <w:szCs w:val="32"/>
        </w:rPr>
        <w:t>GB/T</w:t>
      </w:r>
      <w:r>
        <w:rPr>
          <w:rFonts w:hint="default" w:ascii="Times New Roman" w:hAnsi="Times New Roman" w:eastAsia="仿宋_GB2312" w:cs="Times New Roman"/>
          <w:kern w:val="2"/>
          <w:sz w:val="32"/>
          <w:szCs w:val="32"/>
        </w:rPr>
        <w:fldChar w:fldCharType="end"/>
      </w:r>
      <w:r>
        <w:rPr>
          <w:rFonts w:hint="default" w:ascii="Times New Roman" w:hAnsi="Times New Roman" w:eastAsia="仿宋_GB2312" w:cs="Times New Roman"/>
          <w:kern w:val="2"/>
          <w:sz w:val="32"/>
          <w:szCs w:val="32"/>
        </w:rPr>
        <w:t xml:space="preserve"> 24337-2009）；</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6</w:t>
      </w:r>
      <w:r>
        <w:rPr>
          <w:rFonts w:hint="default" w:ascii="Times New Roman" w:hAnsi="Times New Roman" w:eastAsia="仿宋_GB2312" w:cs="Times New Roman"/>
          <w:kern w:val="2"/>
          <w:sz w:val="32"/>
          <w:szCs w:val="32"/>
        </w:rPr>
        <w:t>．《电能质量 供电电压偏差》（GB/T 12325-2008）；</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rPr>
        <w:t>．《电能质量 三相电压允许不平衡度》（GB/T 15543-2008）；</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rPr>
        <w:t>．《电能质量 电压波动和闪变》（GB/T 12326-2008）。</w:t>
      </w:r>
    </w:p>
    <w:p>
      <w:pPr>
        <w:pStyle w:val="16"/>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一、试点范围</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依据</w:t>
      </w:r>
      <w:r>
        <w:rPr>
          <w:rFonts w:hint="default" w:ascii="Times New Roman" w:hAnsi="Times New Roman" w:eastAsia="仿宋_GB2312" w:cs="Times New Roman"/>
          <w:sz w:val="32"/>
          <w:szCs w:val="32"/>
        </w:rPr>
        <w:t>《有序放开配电网业务管理办法》（发改经体〔2016〕2120号）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eastAsia="zh-CN"/>
        </w:rPr>
        <w:t>《关于进一步做好我省增量配电业务改革试点工作的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》（浙发改能源〔2018〕645</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r>
        <w:rPr>
          <w:rFonts w:hint="default" w:ascii="Times New Roman" w:hAnsi="Times New Roman" w:eastAsia="仿宋_GB2312" w:cs="Times New Roman"/>
          <w:kern w:val="0"/>
          <w:sz w:val="32"/>
          <w:szCs w:val="32"/>
        </w:rPr>
        <w:t>等国家、省相关电改政策文件，按照规划引领、界限清晰、避免交叉供电的原则</w:t>
      </w:r>
      <w:r>
        <w:rPr>
          <w:rFonts w:hint="default" w:ascii="Times New Roman" w:hAnsi="Times New Roman" w:eastAsia="仿宋_GB2312" w:cs="Times New Roman"/>
          <w:kern w:val="0"/>
          <w:sz w:val="32"/>
          <w:szCs w:val="32"/>
          <w:lang w:val="en-US" w:eastAsia="zh-CN"/>
        </w:rPr>
        <w:t>划定</w:t>
      </w:r>
      <w:r>
        <w:rPr>
          <w:rFonts w:hint="default" w:ascii="Times New Roman" w:hAnsi="Times New Roman" w:eastAsia="仿宋_GB2312" w:cs="Times New Roman"/>
          <w:kern w:val="0"/>
          <w:sz w:val="32"/>
          <w:szCs w:val="32"/>
        </w:rPr>
        <w:t>试</w:t>
      </w:r>
      <w:r>
        <w:rPr>
          <w:rFonts w:hint="default" w:ascii="Times New Roman" w:hAnsi="Times New Roman" w:eastAsia="仿宋_GB2312" w:cs="Times New Roman"/>
          <w:sz w:val="32"/>
          <w:szCs w:val="32"/>
        </w:rPr>
        <w:t>点区域。</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试点区域位于</w:t>
      </w:r>
      <w:r>
        <w:rPr>
          <w:rFonts w:hint="eastAsia" w:ascii="Times New Roman" w:eastAsia="仿宋_GB2312" w:cs="Times New Roman"/>
          <w:sz w:val="32"/>
          <w:szCs w:val="32"/>
          <w:lang w:val="en-US" w:eastAsia="zh-CN"/>
        </w:rPr>
        <w:t>舟山六横岛</w:t>
      </w:r>
      <w:r>
        <w:rPr>
          <w:rFonts w:hint="default" w:ascii="Times New Roman" w:hAnsi="Times New Roman" w:eastAsia="仿宋_GB2312" w:cs="Times New Roman"/>
          <w:sz w:val="32"/>
          <w:szCs w:val="32"/>
        </w:rPr>
        <w:t>，区域面积为</w:t>
      </w:r>
      <w:r>
        <w:rPr>
          <w:rFonts w:hint="eastAsia" w:ascii="Times New Roman" w:eastAsia="仿宋_GB2312" w:cs="Times New Roman"/>
          <w:sz w:val="32"/>
          <w:szCs w:val="32"/>
          <w:lang w:val="en-US" w:eastAsia="zh-CN"/>
        </w:rPr>
        <w:t>20</w:t>
      </w:r>
      <w:r>
        <w:rPr>
          <w:rFonts w:hint="default" w:ascii="Times New Roman" w:hAnsi="Times New Roman" w:eastAsia="仿宋_GB2312" w:cs="Times New Roman"/>
          <w:sz w:val="32"/>
          <w:szCs w:val="32"/>
        </w:rPr>
        <w:t>平方公里。试点区域范围为西至双屿门海域，南以小郭巨二期围垦范围为界线，东到炮台岗一线山体，北至青联社区村前沿</w:t>
      </w:r>
      <w:r>
        <w:rPr>
          <w:rFonts w:hint="eastAsia" w:ascii="Times New Roman" w:eastAsia="仿宋_GB2312" w:cs="Times New Roman"/>
          <w:sz w:val="32"/>
          <w:szCs w:val="32"/>
          <w:lang w:eastAsia="zh-CN"/>
        </w:rPr>
        <w:t>。该区域为促淤围垦区域，分为围垦一期与二期。其中围垦一期已成陆，面积约5平方公里，二期15平方公里海堤已建成，围垦吹填还未完成。</w:t>
      </w:r>
      <w:r>
        <w:rPr>
          <w:rFonts w:hint="default" w:ascii="Times New Roman" w:hAnsi="Times New Roman" w:eastAsia="仿宋_GB2312" w:cs="Times New Roman"/>
          <w:sz w:val="32"/>
          <w:szCs w:val="32"/>
        </w:rPr>
        <w:t>如下图 1-1 所示。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rPr>
        <w:t>舟山市六横镇小郭巨临港产业园</w:t>
      </w:r>
      <w:r>
        <w:rPr>
          <w:rFonts w:hint="default" w:ascii="Times New Roman" w:hAnsi="Times New Roman" w:eastAsia="仿宋_GB2312" w:cs="Times New Roman"/>
          <w:kern w:val="0"/>
          <w:sz w:val="32"/>
          <w:szCs w:val="32"/>
        </w:rPr>
        <w:t>增量配电业务改革试点</w:t>
      </w:r>
      <w:r>
        <w:rPr>
          <w:rFonts w:hint="default" w:ascii="Times New Roman" w:hAnsi="Times New Roman" w:eastAsia="仿宋_GB2312" w:cs="Times New Roman"/>
          <w:sz w:val="32"/>
          <w:szCs w:val="32"/>
        </w:rPr>
        <w:t>规划</w:t>
      </w:r>
      <w:r>
        <w:rPr>
          <w:rFonts w:hint="default" w:ascii="Times New Roman" w:hAnsi="Times New Roman" w:eastAsia="仿宋_GB2312" w:cs="Times New Roman"/>
          <w:kern w:val="0"/>
          <w:sz w:val="32"/>
          <w:szCs w:val="32"/>
          <w:lang w:val="en-US" w:eastAsia="zh-CN"/>
        </w:rPr>
        <w:t>区域内</w:t>
      </w:r>
      <w:r>
        <w:rPr>
          <w:rFonts w:hint="default" w:ascii="Times New Roman" w:hAnsi="Times New Roman" w:eastAsia="仿宋_GB2312" w:cs="Times New Roman"/>
          <w:sz w:val="32"/>
          <w:szCs w:val="32"/>
          <w:lang w:val="en-US" w:eastAsia="zh-CN"/>
        </w:rPr>
        <w:t>建设110</w:t>
      </w:r>
      <w:r>
        <w:rPr>
          <w:rFonts w:hint="default" w:ascii="Times New Roman" w:hAnsi="Times New Roman" w:eastAsia="仿宋_GB2312" w:cs="Times New Roman"/>
          <w:sz w:val="32"/>
          <w:szCs w:val="32"/>
        </w:rPr>
        <w:t>千伏及以下</w:t>
      </w:r>
      <w:r>
        <w:rPr>
          <w:rFonts w:hint="default" w:ascii="Times New Roman" w:hAnsi="Times New Roman" w:eastAsia="仿宋_GB2312" w:cs="Times New Roman"/>
          <w:sz w:val="32"/>
          <w:szCs w:val="32"/>
          <w:lang w:val="en-US" w:eastAsia="zh-CN"/>
        </w:rPr>
        <w:t>增量配</w:t>
      </w:r>
      <w:r>
        <w:rPr>
          <w:rFonts w:hint="default" w:ascii="Times New Roman" w:hAnsi="Times New Roman" w:eastAsia="仿宋_GB2312" w:cs="Times New Roman"/>
          <w:sz w:val="32"/>
          <w:szCs w:val="32"/>
        </w:rPr>
        <w:t>电网。</w:t>
      </w:r>
    </w:p>
    <w:p>
      <w:pPr>
        <w:pStyle w:val="480"/>
        <w:keepNext w:val="0"/>
        <w:keepLines w:val="0"/>
        <w:pageBreakBefore w:val="0"/>
        <w:kinsoku/>
        <w:wordWrap/>
        <w:overflowPunct/>
        <w:topLinePunct w:val="0"/>
        <w:autoSpaceDE/>
        <w:autoSpaceDN/>
        <w:bidi w:val="0"/>
        <w:adjustRightInd/>
        <w:snapToGrid/>
        <w:spacing w:before="0" w:beforeLines="0" w:after="0" w:afterLines="0" w:line="560" w:lineRule="exact"/>
        <w:ind w:right="50" w:rightChars="21" w:firstLine="560"/>
        <w:textAlignment w:val="auto"/>
        <w:rPr>
          <w:rFonts w:hint="default" w:ascii="Times New Roman" w:hAnsi="Times New Roman" w:cs="Times New Roman"/>
          <w:sz w:val="15"/>
          <w:szCs w:val="15"/>
        </w:rPr>
      </w:pPr>
      <w:r>
        <w:rPr>
          <w:rFonts w:hint="default" w:ascii="Times New Roman" w:hAnsi="Times New Roman" w:eastAsia="仿宋_GB2312" w:cs="Times New Roman"/>
          <w:sz w:val="32"/>
          <w:szCs w:val="32"/>
          <w:lang w:val="en-US" w:eastAsia="zh-CN"/>
        </w:rPr>
        <w:t>根据《省发展改革委关于确认舟山市六横镇小郭巨临港产业园增量配电业务试点项目业主的通知》规定，确定浙江浙能能源服务有限公司（50%）</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国网浙江综合能源服务有限公司（50%）组成的联合体为舟山市六横镇小郭巨临港产业园</w:t>
      </w:r>
      <w:r>
        <w:rPr>
          <w:rFonts w:hint="default" w:ascii="Times New Roman" w:hAnsi="Times New Roman" w:eastAsia="仿宋_GB2312" w:cs="Times New Roman"/>
          <w:kern w:val="0"/>
          <w:sz w:val="32"/>
          <w:szCs w:val="32"/>
        </w:rPr>
        <w:t>增量配电</w:t>
      </w:r>
      <w:r>
        <w:rPr>
          <w:rFonts w:hint="default" w:ascii="Times New Roman" w:hAnsi="Times New Roman" w:eastAsia="仿宋_GB2312" w:cs="Times New Roman"/>
          <w:kern w:val="0"/>
          <w:sz w:val="32"/>
          <w:szCs w:val="32"/>
          <w:lang w:val="en-US" w:eastAsia="zh-CN"/>
        </w:rPr>
        <w:t>网</w:t>
      </w:r>
      <w:r>
        <w:rPr>
          <w:rFonts w:hint="default" w:ascii="Times New Roman" w:hAnsi="Times New Roman" w:eastAsia="仿宋_GB2312" w:cs="Times New Roman"/>
          <w:sz w:val="32"/>
          <w:szCs w:val="32"/>
          <w:lang w:val="en-US" w:eastAsia="zh-CN"/>
        </w:rPr>
        <w:t>业主</w:t>
      </w:r>
      <w:r>
        <w:rPr>
          <w:rFonts w:hint="default" w:ascii="Times New Roman" w:hAnsi="Times New Roman" w:eastAsia="仿宋_GB2312" w:cs="Times New Roman"/>
          <w:kern w:val="0"/>
          <w:sz w:val="32"/>
          <w:szCs w:val="32"/>
          <w:lang w:val="en-US" w:eastAsia="zh-CN"/>
        </w:rPr>
        <w:t>。</w:t>
      </w:r>
    </w:p>
    <w:p>
      <w:pPr>
        <w:pStyle w:val="93"/>
        <w:rPr>
          <w:highlight w:val="yellow"/>
        </w:rPr>
      </w:pPr>
      <w:r>
        <w:drawing>
          <wp:inline distT="0" distB="0" distL="114300" distR="114300">
            <wp:extent cx="4524375" cy="3259455"/>
            <wp:effectExtent l="0" t="0" r="9525" b="17145"/>
            <wp:docPr id="20" name="图片 1" descr="E:\WXL\Documents\Tencent Files\578962883\Image\C2C\@X4[Z7~Z2R{JPLC~PMAZ9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WXL\Documents\Tencent Files\578962883\Image\C2C\@X4[Z7~Z2R{JPLC~PMAZ9I7.jpg"/>
                    <pic:cNvPicPr>
                      <a:picLocks noChangeAspect="1"/>
                    </pic:cNvPicPr>
                  </pic:nvPicPr>
                  <pic:blipFill>
                    <a:blip r:embed="rId12"/>
                    <a:stretch>
                      <a:fillRect/>
                    </a:stretch>
                  </pic:blipFill>
                  <pic:spPr>
                    <a:xfrm>
                      <a:off x="0" y="0"/>
                      <a:ext cx="4524375" cy="3259455"/>
                    </a:xfrm>
                    <a:prstGeom prst="rect">
                      <a:avLst/>
                    </a:prstGeom>
                    <a:noFill/>
                    <a:ln>
                      <a:noFill/>
                    </a:ln>
                  </pic:spPr>
                </pic:pic>
              </a:graphicData>
            </a:graphic>
          </wp:inline>
        </w:drawing>
      </w:r>
    </w:p>
    <w:p>
      <w:pPr>
        <w:pStyle w:val="94"/>
        <w:keepLines w:val="0"/>
        <w:rPr>
          <w:rFonts w:ascii="仿宋_GB2312" w:eastAsia="仿宋_GB2312"/>
          <w:sz w:val="24"/>
          <w:szCs w:val="24"/>
        </w:rPr>
      </w:pPr>
      <w:r>
        <w:rPr>
          <w:rFonts w:hint="eastAsia" w:ascii="仿宋_GB2312" w:eastAsia="仿宋_GB2312"/>
          <w:sz w:val="24"/>
          <w:szCs w:val="24"/>
        </w:rPr>
        <w:t>试点区域范围示意图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黑体" w:cs="Times New Roman"/>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二、区域经济社会发展概况</w:t>
      </w:r>
      <w:bookmarkEnd w:id="0"/>
      <w:bookmarkEnd w:id="1"/>
      <w:bookmarkEnd w:id="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26" w:name="_Toc253748537"/>
      <w:bookmarkEnd w:id="26"/>
      <w:bookmarkStart w:id="27" w:name="_Toc253745332"/>
      <w:bookmarkEnd w:id="27"/>
      <w:bookmarkStart w:id="28" w:name="_Toc253746836"/>
      <w:bookmarkEnd w:id="28"/>
      <w:bookmarkStart w:id="29" w:name="_Toc253585555"/>
      <w:bookmarkEnd w:id="29"/>
      <w:bookmarkStart w:id="30" w:name="_Toc253744965"/>
      <w:bookmarkEnd w:id="30"/>
      <w:bookmarkStart w:id="31" w:name="_Toc253748343"/>
      <w:bookmarkEnd w:id="31"/>
      <w:bookmarkStart w:id="32" w:name="_Toc253744941"/>
      <w:bookmarkEnd w:id="32"/>
      <w:bookmarkStart w:id="33" w:name="_Toc253746642"/>
      <w:bookmarkEnd w:id="33"/>
      <w:bookmarkStart w:id="34" w:name="_Toc253748331"/>
      <w:bookmarkEnd w:id="34"/>
      <w:bookmarkStart w:id="35" w:name="_Toc253746630"/>
      <w:bookmarkEnd w:id="35"/>
      <w:bookmarkStart w:id="36" w:name="_Toc253748391"/>
      <w:bookmarkEnd w:id="36"/>
      <w:bookmarkStart w:id="37" w:name="_Toc253748403"/>
      <w:bookmarkEnd w:id="37"/>
      <w:bookmarkStart w:id="38" w:name="_Toc253595389"/>
      <w:bookmarkEnd w:id="38"/>
      <w:bookmarkStart w:id="39" w:name="_Toc253745001"/>
      <w:bookmarkEnd w:id="39"/>
      <w:bookmarkStart w:id="40" w:name="_Toc306780376"/>
      <w:bookmarkEnd w:id="40"/>
      <w:bookmarkStart w:id="41" w:name="_Toc253746690"/>
      <w:bookmarkEnd w:id="41"/>
      <w:bookmarkStart w:id="42" w:name="_Toc253744989"/>
      <w:bookmarkEnd w:id="42"/>
      <w:bookmarkStart w:id="43" w:name="_Toc253748379"/>
      <w:bookmarkEnd w:id="43"/>
      <w:bookmarkStart w:id="44" w:name="_Toc253748511"/>
      <w:bookmarkEnd w:id="44"/>
      <w:bookmarkStart w:id="45" w:name="_Toc253746837"/>
      <w:bookmarkEnd w:id="45"/>
      <w:bookmarkStart w:id="46" w:name="_Toc253565031"/>
      <w:bookmarkEnd w:id="46"/>
      <w:bookmarkStart w:id="47" w:name="_Toc253596426"/>
      <w:bookmarkEnd w:id="47"/>
      <w:bookmarkStart w:id="48" w:name="_Toc253565007"/>
      <w:bookmarkEnd w:id="48"/>
      <w:bookmarkStart w:id="49" w:name="_Toc306779770"/>
      <w:bookmarkEnd w:id="49"/>
      <w:bookmarkStart w:id="50" w:name="_Toc253564923"/>
      <w:bookmarkEnd w:id="50"/>
      <w:bookmarkStart w:id="51" w:name="_Toc253595202"/>
      <w:bookmarkEnd w:id="51"/>
      <w:bookmarkStart w:id="52" w:name="_Toc253595262"/>
      <w:bookmarkEnd w:id="52"/>
      <w:bookmarkStart w:id="53" w:name="_Toc253748539"/>
      <w:bookmarkEnd w:id="53"/>
      <w:bookmarkStart w:id="54" w:name="_Toc253595274"/>
      <w:bookmarkEnd w:id="54"/>
      <w:bookmarkStart w:id="55" w:name="_Toc253748578"/>
      <w:bookmarkEnd w:id="55"/>
      <w:bookmarkStart w:id="56" w:name="_Toc253595400"/>
      <w:bookmarkEnd w:id="56"/>
      <w:bookmarkStart w:id="57" w:name="_Toc253748283"/>
      <w:bookmarkEnd w:id="57"/>
      <w:bookmarkStart w:id="58" w:name="_Toc253600104"/>
      <w:bookmarkEnd w:id="58"/>
      <w:bookmarkStart w:id="59" w:name="_Toc253596228"/>
      <w:bookmarkEnd w:id="59"/>
      <w:bookmarkStart w:id="60" w:name="_Toc253596239"/>
      <w:bookmarkEnd w:id="60"/>
      <w:bookmarkStart w:id="61" w:name="_Toc253745013"/>
      <w:bookmarkEnd w:id="61"/>
      <w:bookmarkStart w:id="62" w:name="_Toc253746835"/>
      <w:bookmarkEnd w:id="62"/>
      <w:bookmarkStart w:id="63" w:name="_Toc253747293"/>
      <w:bookmarkEnd w:id="63"/>
      <w:bookmarkStart w:id="64" w:name="_Toc253595225"/>
      <w:bookmarkEnd w:id="64"/>
      <w:bookmarkStart w:id="65" w:name="_Toc306779995"/>
      <w:bookmarkEnd w:id="65"/>
      <w:bookmarkStart w:id="66" w:name="_Toc253745049"/>
      <w:bookmarkEnd w:id="66"/>
      <w:bookmarkStart w:id="67" w:name="_Toc253745097"/>
      <w:bookmarkEnd w:id="67"/>
      <w:bookmarkStart w:id="68" w:name="_Toc253599932"/>
      <w:bookmarkEnd w:id="68"/>
      <w:bookmarkStart w:id="69" w:name="_Toc253748994"/>
      <w:bookmarkEnd w:id="69"/>
      <w:bookmarkStart w:id="70" w:name="_Toc253596447"/>
      <w:bookmarkEnd w:id="70"/>
      <w:bookmarkStart w:id="71" w:name="_Toc253748295"/>
      <w:bookmarkEnd w:id="71"/>
      <w:bookmarkStart w:id="72" w:name="_Toc306779814"/>
      <w:bookmarkEnd w:id="72"/>
      <w:bookmarkStart w:id="73" w:name="_Toc253748451"/>
      <w:bookmarkEnd w:id="73"/>
      <w:bookmarkStart w:id="74" w:name="_Toc253746838"/>
      <w:bookmarkEnd w:id="74"/>
      <w:bookmarkStart w:id="75" w:name="_Toc253745330"/>
      <w:bookmarkEnd w:id="75"/>
      <w:bookmarkStart w:id="76" w:name="_Toc253746594"/>
      <w:bookmarkEnd w:id="76"/>
      <w:bookmarkStart w:id="77" w:name="_Toc253744905"/>
      <w:bookmarkEnd w:id="77"/>
      <w:bookmarkStart w:id="78" w:name="_Toc253745484"/>
      <w:bookmarkEnd w:id="78"/>
      <w:bookmarkStart w:id="79" w:name="_Toc306780210"/>
      <w:bookmarkEnd w:id="79"/>
      <w:bookmarkStart w:id="80" w:name="_Toc253747031"/>
      <w:bookmarkEnd w:id="80"/>
      <w:bookmarkStart w:id="81" w:name="_Toc253600199"/>
      <w:bookmarkEnd w:id="81"/>
      <w:bookmarkStart w:id="82" w:name="_Toc253745482"/>
      <w:bookmarkEnd w:id="82"/>
      <w:bookmarkStart w:id="83" w:name="_Toc253745592"/>
      <w:bookmarkEnd w:id="83"/>
      <w:bookmarkStart w:id="84" w:name="_Toc306779829"/>
      <w:bookmarkEnd w:id="84"/>
      <w:bookmarkStart w:id="85" w:name="_Toc306773507"/>
      <w:bookmarkEnd w:id="85"/>
      <w:bookmarkStart w:id="86" w:name="_Toc253748886"/>
      <w:bookmarkEnd w:id="86"/>
      <w:bookmarkStart w:id="87" w:name="_Toc253745485"/>
      <w:bookmarkEnd w:id="87"/>
      <w:bookmarkStart w:id="88" w:name="_Toc253599895"/>
      <w:bookmarkEnd w:id="88"/>
      <w:bookmarkStart w:id="89" w:name="_Toc253600255"/>
      <w:bookmarkEnd w:id="89"/>
      <w:bookmarkStart w:id="90" w:name="_Toc253748735"/>
      <w:bookmarkEnd w:id="90"/>
      <w:bookmarkStart w:id="91" w:name="_Toc253746798"/>
      <w:bookmarkEnd w:id="91"/>
      <w:bookmarkStart w:id="92" w:name="_Toc253748499"/>
      <w:bookmarkEnd w:id="92"/>
      <w:bookmarkStart w:id="93" w:name="_Toc253585436"/>
      <w:bookmarkEnd w:id="93"/>
      <w:bookmarkStart w:id="94" w:name="_Toc253746678"/>
      <w:bookmarkEnd w:id="94"/>
      <w:bookmarkStart w:id="95" w:name="_Toc253746582"/>
      <w:bookmarkEnd w:id="95"/>
      <w:bookmarkStart w:id="96" w:name="_Toc253596181"/>
      <w:bookmarkEnd w:id="96"/>
      <w:bookmarkStart w:id="97" w:name="_Toc253746762"/>
      <w:bookmarkEnd w:id="97"/>
      <w:bookmarkStart w:id="98" w:name="_Toc253585543"/>
      <w:bookmarkEnd w:id="98"/>
      <w:bookmarkStart w:id="99" w:name="_Toc306773297"/>
      <w:bookmarkEnd w:id="99"/>
      <w:bookmarkStart w:id="100" w:name="_Toc253564840"/>
      <w:bookmarkEnd w:id="100"/>
      <w:bookmarkStart w:id="101" w:name="_Toc253745602"/>
      <w:bookmarkEnd w:id="101"/>
      <w:bookmarkStart w:id="102" w:name="_Toc306773356"/>
      <w:bookmarkEnd w:id="102"/>
      <w:bookmarkStart w:id="103" w:name="_Toc253747196"/>
      <w:bookmarkEnd w:id="103"/>
      <w:bookmarkStart w:id="104" w:name="_Toc253596193"/>
      <w:bookmarkEnd w:id="104"/>
      <w:bookmarkStart w:id="105" w:name="_Toc306845991"/>
      <w:bookmarkEnd w:id="105"/>
      <w:bookmarkStart w:id="106" w:name="_Toc253596056"/>
      <w:bookmarkEnd w:id="106"/>
      <w:bookmarkStart w:id="107" w:name="_Toc306780165"/>
      <w:bookmarkEnd w:id="107"/>
      <w:bookmarkStart w:id="108" w:name="_Toc306773292"/>
      <w:bookmarkEnd w:id="108"/>
      <w:bookmarkStart w:id="109" w:name="_Toc253747033"/>
      <w:bookmarkEnd w:id="109"/>
      <w:bookmarkStart w:id="110" w:name="_Toc253585690"/>
      <w:bookmarkEnd w:id="110"/>
      <w:bookmarkStart w:id="111" w:name="_Toc253748897"/>
      <w:bookmarkEnd w:id="111"/>
      <w:bookmarkStart w:id="112" w:name="_Toc306773341"/>
      <w:bookmarkEnd w:id="112"/>
      <w:bookmarkStart w:id="113" w:name="_Toc253746702"/>
      <w:bookmarkEnd w:id="113"/>
      <w:bookmarkStart w:id="114" w:name="_Toc253744857"/>
      <w:bookmarkEnd w:id="114"/>
      <w:bookmarkStart w:id="115" w:name="_Toc253745136"/>
      <w:bookmarkEnd w:id="115"/>
      <w:bookmarkStart w:id="116" w:name="_Toc253600291"/>
      <w:bookmarkEnd w:id="116"/>
      <w:bookmarkStart w:id="117" w:name="_Toc253565032"/>
      <w:bookmarkEnd w:id="117"/>
      <w:bookmarkStart w:id="118" w:name="_Toc253585471"/>
      <w:bookmarkEnd w:id="118"/>
      <w:bookmarkStart w:id="119" w:name="_Toc253599990"/>
      <w:bookmarkEnd w:id="119"/>
      <w:bookmarkStart w:id="120" w:name="_Toc253744893"/>
      <w:bookmarkEnd w:id="120"/>
      <w:bookmarkStart w:id="121" w:name="_Toc253585412"/>
      <w:bookmarkEnd w:id="121"/>
      <w:bookmarkStart w:id="122" w:name="_Toc253595308"/>
      <w:bookmarkEnd w:id="122"/>
      <w:bookmarkStart w:id="123" w:name="_Toc253595341"/>
      <w:bookmarkEnd w:id="123"/>
      <w:bookmarkStart w:id="124" w:name="_Toc253564863"/>
      <w:bookmarkEnd w:id="124"/>
      <w:bookmarkStart w:id="125" w:name="_Toc253600057"/>
      <w:bookmarkEnd w:id="125"/>
      <w:bookmarkStart w:id="126" w:name="_Toc253585262"/>
      <w:bookmarkEnd w:id="126"/>
      <w:bookmarkStart w:id="127" w:name="_Toc253749002"/>
      <w:bookmarkEnd w:id="127"/>
      <w:bookmarkStart w:id="128" w:name="_Toc253596249"/>
      <w:bookmarkEnd w:id="128"/>
      <w:bookmarkStart w:id="129" w:name="_Toc253745109"/>
      <w:bookmarkEnd w:id="129"/>
      <w:bookmarkStart w:id="130" w:name="_Toc253745061"/>
      <w:bookmarkEnd w:id="130"/>
      <w:bookmarkStart w:id="131" w:name="_Toc253600188"/>
      <w:bookmarkEnd w:id="131"/>
      <w:bookmarkStart w:id="132" w:name="_Toc253585357"/>
      <w:bookmarkEnd w:id="132"/>
      <w:bookmarkStart w:id="133" w:name="_Toc253585311"/>
      <w:bookmarkEnd w:id="133"/>
      <w:bookmarkStart w:id="134" w:name="_Toc253595213"/>
      <w:bookmarkEnd w:id="134"/>
      <w:bookmarkStart w:id="135" w:name="_Toc253596068"/>
      <w:bookmarkEnd w:id="135"/>
      <w:bookmarkStart w:id="136" w:name="_Toc253595054"/>
      <w:bookmarkEnd w:id="136"/>
      <w:bookmarkStart w:id="137" w:name="_Toc253746877"/>
      <w:bookmarkEnd w:id="137"/>
      <w:bookmarkStart w:id="138" w:name="_Toc253746810"/>
      <w:bookmarkEnd w:id="138"/>
      <w:bookmarkStart w:id="139" w:name="_Toc253585646"/>
      <w:bookmarkEnd w:id="139"/>
      <w:bookmarkStart w:id="140" w:name="_Toc253564995"/>
      <w:bookmarkEnd w:id="140"/>
      <w:bookmarkStart w:id="141" w:name="_Toc253585492"/>
      <w:bookmarkEnd w:id="141"/>
      <w:bookmarkStart w:id="142" w:name="_Toc253585460"/>
      <w:bookmarkEnd w:id="142"/>
      <w:bookmarkStart w:id="143" w:name="_Toc253748733"/>
      <w:bookmarkEnd w:id="143"/>
      <w:bookmarkStart w:id="144" w:name="_Toc253596415"/>
      <w:bookmarkEnd w:id="144"/>
      <w:bookmarkStart w:id="145" w:name="_Toc253749001"/>
      <w:bookmarkEnd w:id="145"/>
      <w:bookmarkStart w:id="146" w:name="_Toc253596217"/>
      <w:bookmarkEnd w:id="146"/>
      <w:bookmarkStart w:id="147" w:name="_Toc306780361"/>
      <w:bookmarkEnd w:id="147"/>
      <w:bookmarkStart w:id="148" w:name="_Toc253585680"/>
      <w:bookmarkEnd w:id="148"/>
      <w:bookmarkStart w:id="149" w:name="_Toc253596080"/>
      <w:bookmarkEnd w:id="149"/>
      <w:bookmarkStart w:id="150" w:name="_Toc306846040"/>
      <w:bookmarkEnd w:id="150"/>
      <w:bookmarkStart w:id="151" w:name="_Toc253746618"/>
      <w:bookmarkEnd w:id="151"/>
      <w:bookmarkStart w:id="152" w:name="_Toc253594993"/>
      <w:bookmarkEnd w:id="152"/>
      <w:bookmarkStart w:id="153" w:name="_Toc253749004"/>
      <w:bookmarkEnd w:id="153"/>
      <w:bookmarkStart w:id="154" w:name="_Toc253585346"/>
      <w:bookmarkEnd w:id="154"/>
      <w:bookmarkStart w:id="155" w:name="_Toc253746666"/>
      <w:bookmarkEnd w:id="155"/>
      <w:bookmarkStart w:id="156" w:name="_Toc253744977"/>
      <w:bookmarkEnd w:id="156"/>
      <w:bookmarkStart w:id="157" w:name="_Toc253595030"/>
      <w:bookmarkEnd w:id="157"/>
      <w:bookmarkStart w:id="158" w:name="_Toc253596312"/>
      <w:bookmarkEnd w:id="158"/>
      <w:bookmarkStart w:id="159" w:name="_Toc253596169"/>
      <w:bookmarkEnd w:id="159"/>
      <w:bookmarkStart w:id="160" w:name="_Toc253748427"/>
      <w:bookmarkEnd w:id="160"/>
      <w:bookmarkStart w:id="161" w:name="_Toc253595143"/>
      <w:bookmarkEnd w:id="161"/>
      <w:bookmarkStart w:id="162" w:name="_Toc253745025"/>
      <w:bookmarkEnd w:id="162"/>
      <w:bookmarkStart w:id="163" w:name="_Toc253746786"/>
      <w:bookmarkEnd w:id="163"/>
      <w:bookmarkStart w:id="164" w:name="_Toc253747034"/>
      <w:bookmarkEnd w:id="164"/>
      <w:bookmarkStart w:id="165" w:name="_Toc253744917"/>
      <w:bookmarkEnd w:id="165"/>
      <w:bookmarkStart w:id="166" w:name="_Toc253745345"/>
      <w:bookmarkEnd w:id="166"/>
      <w:bookmarkStart w:id="167" w:name="_Toc253595223"/>
      <w:bookmarkEnd w:id="167"/>
      <w:bookmarkStart w:id="168" w:name="_Toc253595167"/>
      <w:bookmarkEnd w:id="168"/>
      <w:bookmarkStart w:id="169" w:name="_Toc253748487"/>
      <w:bookmarkEnd w:id="169"/>
      <w:bookmarkStart w:id="170" w:name="_Toc253596379"/>
      <w:bookmarkEnd w:id="170"/>
      <w:bookmarkStart w:id="171" w:name="_Toc253748475"/>
      <w:bookmarkEnd w:id="171"/>
      <w:bookmarkStart w:id="172" w:name="_Toc253745333"/>
      <w:bookmarkEnd w:id="172"/>
      <w:bookmarkStart w:id="173" w:name="_Toc253745085"/>
      <w:bookmarkEnd w:id="173"/>
      <w:bookmarkStart w:id="174" w:name="_Toc253585634"/>
      <w:bookmarkEnd w:id="174"/>
      <w:bookmarkStart w:id="175" w:name="_Toc253746774"/>
      <w:bookmarkEnd w:id="175"/>
      <w:bookmarkStart w:id="176" w:name="_Toc253600115"/>
      <w:bookmarkEnd w:id="176"/>
      <w:bookmarkStart w:id="177" w:name="_Toc253748734"/>
      <w:bookmarkEnd w:id="177"/>
      <w:bookmarkStart w:id="178" w:name="_Toc253745599"/>
      <w:bookmarkEnd w:id="178"/>
      <w:bookmarkStart w:id="179" w:name="_Toc253745073"/>
      <w:bookmarkEnd w:id="179"/>
      <w:bookmarkStart w:id="180" w:name="_Toc253748463"/>
      <w:bookmarkEnd w:id="180"/>
      <w:bookmarkStart w:id="181" w:name="_Toc253595365"/>
      <w:bookmarkEnd w:id="181"/>
      <w:bookmarkStart w:id="182" w:name="_Toc253748732"/>
      <w:bookmarkEnd w:id="182"/>
      <w:bookmarkStart w:id="183" w:name="_Toc253596391"/>
      <w:bookmarkEnd w:id="183"/>
      <w:bookmarkStart w:id="184" w:name="_Toc251779161"/>
      <w:bookmarkEnd w:id="184"/>
      <w:bookmarkStart w:id="185" w:name="_Toc253600267"/>
      <w:bookmarkEnd w:id="185"/>
      <w:bookmarkStart w:id="186" w:name="_Toc253745121"/>
      <w:bookmarkEnd w:id="186"/>
      <w:bookmarkStart w:id="187" w:name="_Toc253747046"/>
      <w:bookmarkEnd w:id="187"/>
      <w:bookmarkStart w:id="188" w:name="_Toc251779163"/>
      <w:bookmarkEnd w:id="188"/>
      <w:bookmarkStart w:id="189" w:name="_Toc306846010"/>
      <w:bookmarkEnd w:id="189"/>
      <w:bookmarkStart w:id="190" w:name="_Toc253748523"/>
      <w:bookmarkEnd w:id="190"/>
      <w:bookmarkStart w:id="191" w:name="_Toc253747294"/>
      <w:bookmarkEnd w:id="191"/>
      <w:bookmarkStart w:id="192" w:name="_Toc253596103"/>
      <w:bookmarkEnd w:id="192"/>
      <w:bookmarkStart w:id="193" w:name="_Toc253564828"/>
      <w:bookmarkEnd w:id="193"/>
      <w:bookmarkStart w:id="194" w:name="_Toc253748538"/>
      <w:bookmarkEnd w:id="194"/>
      <w:bookmarkStart w:id="195" w:name="_Toc253748747"/>
      <w:bookmarkEnd w:id="195"/>
      <w:bookmarkStart w:id="196" w:name="_Toc253596092"/>
      <w:bookmarkEnd w:id="196"/>
      <w:bookmarkStart w:id="197" w:name="_Toc253748995"/>
      <w:bookmarkEnd w:id="197"/>
      <w:bookmarkStart w:id="198" w:name="_Toc253564911"/>
      <w:bookmarkEnd w:id="198"/>
      <w:bookmarkStart w:id="199" w:name="_Toc253747301"/>
      <w:bookmarkEnd w:id="199"/>
      <w:bookmarkStart w:id="200" w:name="_Toc253595077"/>
      <w:bookmarkEnd w:id="200"/>
      <w:bookmarkStart w:id="201" w:name="_Toc253745600"/>
      <w:bookmarkEnd w:id="201"/>
      <w:bookmarkStart w:id="202" w:name="_Toc253746546"/>
      <w:bookmarkEnd w:id="202"/>
      <w:bookmarkStart w:id="203" w:name="_Toc253745133"/>
      <w:bookmarkEnd w:id="203"/>
      <w:bookmarkStart w:id="204" w:name="_Toc253748439"/>
      <w:bookmarkEnd w:id="204"/>
      <w:bookmarkStart w:id="205" w:name="_Toc306780146"/>
      <w:bookmarkEnd w:id="205"/>
      <w:bookmarkStart w:id="206" w:name="_Toc253746738"/>
      <w:bookmarkEnd w:id="206"/>
      <w:bookmarkStart w:id="207" w:name="_Toc253748715"/>
      <w:bookmarkEnd w:id="207"/>
      <w:bookmarkStart w:id="208" w:name="_Toc306779784"/>
      <w:bookmarkEnd w:id="208"/>
      <w:bookmarkStart w:id="209" w:name="_Toc306779765"/>
      <w:bookmarkEnd w:id="209"/>
      <w:bookmarkStart w:id="210" w:name="_Toc253585494"/>
      <w:bookmarkEnd w:id="210"/>
      <w:bookmarkStart w:id="211" w:name="_Toc253748307"/>
      <w:bookmarkEnd w:id="211"/>
      <w:bookmarkStart w:id="212" w:name="_Toc253748885"/>
      <w:bookmarkEnd w:id="212"/>
      <w:bookmarkStart w:id="213" w:name="_Toc253600093"/>
      <w:bookmarkEnd w:id="213"/>
      <w:bookmarkStart w:id="214" w:name="_Toc253746714"/>
      <w:bookmarkEnd w:id="214"/>
      <w:bookmarkStart w:id="215" w:name="_Toc253745495"/>
      <w:bookmarkEnd w:id="215"/>
      <w:bookmarkStart w:id="216" w:name="_Toc253747303"/>
      <w:bookmarkEnd w:id="216"/>
      <w:bookmarkStart w:id="217" w:name="_Toc253596323"/>
      <w:bookmarkEnd w:id="217"/>
      <w:bookmarkStart w:id="218" w:name="_Toc253585622"/>
      <w:bookmarkEnd w:id="218"/>
      <w:bookmarkStart w:id="219" w:name="_Toc253747302"/>
      <w:bookmarkEnd w:id="219"/>
      <w:bookmarkStart w:id="220" w:name="_Toc253595353"/>
      <w:bookmarkEnd w:id="220"/>
      <w:bookmarkStart w:id="221" w:name="_Toc306773386"/>
      <w:bookmarkEnd w:id="221"/>
      <w:bookmarkStart w:id="222" w:name="_Toc306846070"/>
      <w:bookmarkEnd w:id="222"/>
      <w:bookmarkStart w:id="223" w:name="_Toc253585287"/>
      <w:bookmarkEnd w:id="223"/>
      <w:bookmarkStart w:id="224" w:name="_Toc253599920"/>
      <w:bookmarkEnd w:id="224"/>
      <w:bookmarkStart w:id="225" w:name="_Toc253745601"/>
      <w:bookmarkEnd w:id="225"/>
      <w:bookmarkStart w:id="226" w:name="_Toc253746558"/>
      <w:bookmarkEnd w:id="226"/>
      <w:bookmarkStart w:id="227" w:name="_Toc306773311"/>
      <w:bookmarkEnd w:id="227"/>
      <w:bookmarkStart w:id="228" w:name="_Toc253748887"/>
      <w:bookmarkEnd w:id="228"/>
      <w:bookmarkStart w:id="229" w:name="_Toc253595018"/>
      <w:bookmarkEnd w:id="229"/>
      <w:bookmarkStart w:id="230" w:name="_Toc253745486"/>
      <w:bookmarkEnd w:id="230"/>
      <w:bookmarkStart w:id="231" w:name="_Toc253564971"/>
      <w:bookmarkEnd w:id="231"/>
      <w:bookmarkStart w:id="232" w:name="_Toc253745135"/>
      <w:bookmarkEnd w:id="232"/>
      <w:bookmarkStart w:id="233" w:name="_Toc306845997"/>
      <w:bookmarkEnd w:id="233"/>
      <w:bookmarkStart w:id="234" w:name="_Toc253747299"/>
      <w:bookmarkEnd w:id="234"/>
      <w:bookmarkStart w:id="235" w:name="_Toc306780152"/>
      <w:bookmarkEnd w:id="235"/>
      <w:bookmarkStart w:id="236" w:name="_Toc253745598"/>
      <w:bookmarkEnd w:id="236"/>
      <w:bookmarkStart w:id="237" w:name="_Toc306780225"/>
      <w:bookmarkEnd w:id="237"/>
      <w:bookmarkStart w:id="238" w:name="_Toc253595411"/>
      <w:bookmarkEnd w:id="238"/>
      <w:bookmarkStart w:id="239" w:name="_Toc253748535"/>
      <w:bookmarkEnd w:id="239"/>
      <w:bookmarkStart w:id="240" w:name="_Toc253600125"/>
      <w:bookmarkEnd w:id="240"/>
      <w:bookmarkStart w:id="241" w:name="_Toc306779771"/>
      <w:bookmarkEnd w:id="241"/>
      <w:bookmarkStart w:id="242" w:name="_Toc253585482"/>
      <w:bookmarkEnd w:id="242"/>
      <w:bookmarkStart w:id="243" w:name="_Toc253748271"/>
      <w:bookmarkEnd w:id="243"/>
      <w:bookmarkStart w:id="244" w:name="_Toc253599968"/>
      <w:bookmarkEnd w:id="244"/>
      <w:bookmarkStart w:id="245" w:name="_Toc253746834"/>
      <w:bookmarkEnd w:id="245"/>
      <w:bookmarkStart w:id="246" w:name="_Toc253744929"/>
      <w:bookmarkEnd w:id="246"/>
      <w:bookmarkStart w:id="247" w:name="_Toc253747014"/>
      <w:bookmarkEnd w:id="247"/>
      <w:bookmarkStart w:id="248" w:name="_Toc253596019"/>
      <w:bookmarkEnd w:id="248"/>
      <w:bookmarkStart w:id="249" w:name="_Toc253585519"/>
      <w:bookmarkEnd w:id="249"/>
      <w:bookmarkStart w:id="250" w:name="_Toc253746929"/>
      <w:bookmarkEnd w:id="250"/>
      <w:bookmarkStart w:id="251" w:name="_Toc253744869"/>
      <w:bookmarkEnd w:id="251"/>
      <w:bookmarkStart w:id="252" w:name="_Toc253596044"/>
      <w:bookmarkEnd w:id="252"/>
      <w:bookmarkStart w:id="253" w:name="_Toc253596251"/>
      <w:bookmarkEnd w:id="253"/>
      <w:bookmarkStart w:id="254" w:name="_Toc253600210"/>
      <w:bookmarkEnd w:id="254"/>
      <w:bookmarkStart w:id="255" w:name="_Toc253746750"/>
      <w:bookmarkEnd w:id="255"/>
      <w:bookmarkStart w:id="256" w:name="_Toc253595297"/>
      <w:bookmarkEnd w:id="256"/>
      <w:bookmarkStart w:id="257" w:name="_Toc253747186"/>
      <w:bookmarkEnd w:id="257"/>
      <w:bookmarkStart w:id="258" w:name="_Toc253585299"/>
      <w:bookmarkEnd w:id="258"/>
      <w:bookmarkStart w:id="259" w:name="_Toc253600176"/>
      <w:bookmarkEnd w:id="259"/>
      <w:bookmarkStart w:id="260" w:name="_Toc253595421"/>
      <w:bookmarkEnd w:id="260"/>
      <w:bookmarkStart w:id="261" w:name="_Toc253596367"/>
      <w:bookmarkEnd w:id="261"/>
      <w:bookmarkStart w:id="262" w:name="_Toc253600302"/>
      <w:bookmarkEnd w:id="262"/>
      <w:bookmarkStart w:id="263" w:name="_Toc253746606"/>
      <w:bookmarkEnd w:id="263"/>
      <w:bookmarkStart w:id="264" w:name="_Toc306779980"/>
      <w:bookmarkEnd w:id="264"/>
      <w:bookmarkStart w:id="265" w:name="_Toc253585610"/>
      <w:bookmarkEnd w:id="265"/>
      <w:bookmarkStart w:id="266" w:name="_Toc253600313"/>
      <w:bookmarkEnd w:id="266"/>
      <w:bookmarkStart w:id="267" w:name="_Toc306846206"/>
      <w:bookmarkEnd w:id="267"/>
      <w:bookmarkStart w:id="268" w:name="_Toc253600081"/>
      <w:bookmarkEnd w:id="268"/>
      <w:bookmarkStart w:id="269" w:name="_Toc253600243"/>
      <w:bookmarkEnd w:id="269"/>
      <w:bookmarkStart w:id="270" w:name="_Toc253600323"/>
      <w:bookmarkEnd w:id="270"/>
      <w:bookmarkStart w:id="271" w:name="_Toc253596300"/>
      <w:bookmarkEnd w:id="271"/>
      <w:bookmarkStart w:id="272" w:name="_Toc253595179"/>
      <w:bookmarkEnd w:id="272"/>
      <w:bookmarkStart w:id="273" w:name="_Toc253599956"/>
      <w:bookmarkEnd w:id="273"/>
      <w:bookmarkStart w:id="274" w:name="_Toc253596205"/>
      <w:bookmarkEnd w:id="274"/>
      <w:bookmarkStart w:id="275" w:name="_Toc253564983"/>
      <w:bookmarkEnd w:id="275"/>
      <w:bookmarkStart w:id="276" w:name="_Toc306846221"/>
      <w:bookmarkEnd w:id="276"/>
      <w:bookmarkStart w:id="277" w:name="_Toc253565019"/>
      <w:bookmarkEnd w:id="277"/>
      <w:bookmarkStart w:id="278" w:name="_Toc253748367"/>
      <w:bookmarkEnd w:id="278"/>
      <w:bookmarkStart w:id="279" w:name="_Toc253600152"/>
      <w:bookmarkEnd w:id="279"/>
      <w:bookmarkStart w:id="280" w:name="_Toc253599979"/>
      <w:bookmarkEnd w:id="280"/>
      <w:bookmarkStart w:id="281" w:name="_Toc253596276"/>
      <w:bookmarkEnd w:id="281"/>
      <w:bookmarkStart w:id="282" w:name="_Toc306779844"/>
      <w:bookmarkEnd w:id="282"/>
      <w:bookmarkStart w:id="283" w:name="_Toc253745176"/>
      <w:bookmarkEnd w:id="283"/>
      <w:bookmarkStart w:id="284" w:name="_Toc306846131"/>
      <w:bookmarkEnd w:id="284"/>
      <w:bookmarkStart w:id="285" w:name="_Toc253595250"/>
      <w:bookmarkEnd w:id="285"/>
      <w:bookmarkStart w:id="286" w:name="_Toc253748247"/>
      <w:bookmarkEnd w:id="286"/>
      <w:bookmarkStart w:id="287" w:name="_Toc253596334"/>
      <w:bookmarkEnd w:id="287"/>
      <w:bookmarkStart w:id="288" w:name="_Toc306846055"/>
      <w:bookmarkEnd w:id="288"/>
      <w:bookmarkStart w:id="289" w:name="_Toc253564959"/>
      <w:bookmarkEnd w:id="289"/>
      <w:bookmarkStart w:id="290" w:name="_Toc306846085"/>
      <w:bookmarkEnd w:id="290"/>
      <w:bookmarkStart w:id="291" w:name="_Toc253600127"/>
      <w:bookmarkEnd w:id="291"/>
      <w:bookmarkStart w:id="292" w:name="_Toc253745331"/>
      <w:bookmarkEnd w:id="292"/>
      <w:bookmarkStart w:id="293" w:name="_Toc253595066"/>
      <w:bookmarkEnd w:id="293"/>
      <w:bookmarkStart w:id="294" w:name="_Toc306780240"/>
      <w:bookmarkEnd w:id="294"/>
      <w:bookmarkStart w:id="295" w:name="_Toc306773522"/>
      <w:bookmarkEnd w:id="295"/>
      <w:bookmarkStart w:id="296" w:name="_Toc253745483"/>
      <w:bookmarkEnd w:id="296"/>
      <w:bookmarkStart w:id="297" w:name="_Toc253745593"/>
      <w:bookmarkEnd w:id="297"/>
      <w:bookmarkStart w:id="298" w:name="_Toc306779859"/>
      <w:bookmarkEnd w:id="298"/>
      <w:bookmarkStart w:id="299" w:name="_Toc253585335"/>
      <w:bookmarkEnd w:id="299"/>
      <w:bookmarkStart w:id="300" w:name="_Toc253748884"/>
      <w:bookmarkEnd w:id="300"/>
      <w:bookmarkStart w:id="301" w:name="_Toc253600164"/>
      <w:bookmarkEnd w:id="301"/>
      <w:bookmarkStart w:id="302" w:name="_Toc253747183"/>
      <w:bookmarkEnd w:id="302"/>
      <w:bookmarkStart w:id="303" w:name="_Toc253585566"/>
      <w:bookmarkEnd w:id="303"/>
      <w:bookmarkStart w:id="304" w:name="_Toc306780195"/>
      <w:bookmarkEnd w:id="304"/>
      <w:bookmarkStart w:id="305" w:name="_Toc253596288"/>
      <w:bookmarkEnd w:id="305"/>
      <w:bookmarkStart w:id="306" w:name="_Toc253585448"/>
      <w:bookmarkEnd w:id="306"/>
      <w:bookmarkStart w:id="307" w:name="_Toc253744845"/>
      <w:bookmarkEnd w:id="307"/>
      <w:bookmarkStart w:id="308" w:name="_Toc253749003"/>
      <w:bookmarkEnd w:id="308"/>
      <w:bookmarkStart w:id="309" w:name="_Toc253585658"/>
      <w:bookmarkEnd w:id="309"/>
      <w:bookmarkStart w:id="310" w:name="_Toc253595377"/>
      <w:bookmarkEnd w:id="310"/>
      <w:bookmarkStart w:id="311" w:name="_Toc253596403"/>
      <w:bookmarkEnd w:id="311"/>
      <w:bookmarkStart w:id="312" w:name="_Toc253747185"/>
      <w:bookmarkEnd w:id="312"/>
      <w:bookmarkStart w:id="313" w:name="_Toc306780286"/>
      <w:bookmarkEnd w:id="313"/>
      <w:bookmarkStart w:id="314" w:name="_Toc306773298"/>
      <w:bookmarkEnd w:id="314"/>
      <w:bookmarkStart w:id="315" w:name="_Toc253600279"/>
      <w:bookmarkEnd w:id="315"/>
      <w:bookmarkStart w:id="316" w:name="_Toc253564899"/>
      <w:bookmarkEnd w:id="316"/>
      <w:bookmarkStart w:id="317" w:name="_Toc253585577"/>
      <w:bookmarkEnd w:id="317"/>
      <w:bookmarkStart w:id="318" w:name="_Toc306845996"/>
      <w:bookmarkEnd w:id="318"/>
      <w:bookmarkStart w:id="319" w:name="_Toc253748415"/>
      <w:bookmarkEnd w:id="319"/>
      <w:bookmarkStart w:id="320" w:name="_Toc253600069"/>
      <w:bookmarkEnd w:id="320"/>
      <w:bookmarkStart w:id="321" w:name="_Toc253747300"/>
      <w:bookmarkEnd w:id="321"/>
      <w:bookmarkStart w:id="322" w:name="_Toc306780151"/>
      <w:bookmarkEnd w:id="322"/>
      <w:bookmarkStart w:id="323" w:name="_Toc253747032"/>
      <w:bookmarkEnd w:id="323"/>
      <w:bookmarkStart w:id="324" w:name="_Toc253595286"/>
      <w:bookmarkEnd w:id="324"/>
      <w:bookmarkStart w:id="325" w:name="_Toc253746726"/>
      <w:bookmarkEnd w:id="325"/>
      <w:bookmarkStart w:id="326" w:name="_Toc253748319"/>
      <w:bookmarkEnd w:id="326"/>
      <w:bookmarkStart w:id="327" w:name="_Toc253564875"/>
      <w:bookmarkEnd w:id="327"/>
      <w:bookmarkStart w:id="328" w:name="_Toc253748259"/>
      <w:bookmarkEnd w:id="328"/>
      <w:bookmarkStart w:id="329" w:name="_Toc253585669"/>
      <w:bookmarkEnd w:id="329"/>
      <w:bookmarkStart w:id="330" w:name="_Toc253745037"/>
      <w:bookmarkEnd w:id="330"/>
      <w:bookmarkStart w:id="331" w:name="_Toc253745134"/>
      <w:bookmarkEnd w:id="331"/>
      <w:bookmarkStart w:id="332" w:name="_Toc253744881"/>
      <w:bookmarkEnd w:id="332"/>
      <w:bookmarkStart w:id="333" w:name="_Toc253564887"/>
      <w:bookmarkEnd w:id="333"/>
      <w:bookmarkStart w:id="334" w:name="_Toc253746570"/>
      <w:bookmarkEnd w:id="334"/>
      <w:bookmarkStart w:id="335" w:name="_Toc253748536"/>
      <w:bookmarkEnd w:id="335"/>
      <w:bookmarkStart w:id="336" w:name="_Toc306773432"/>
      <w:bookmarkEnd w:id="336"/>
      <w:bookmarkStart w:id="337" w:name="_Toc253746822"/>
      <w:bookmarkEnd w:id="337"/>
      <w:bookmarkStart w:id="338" w:name="_Toc253745228"/>
      <w:bookmarkEnd w:id="338"/>
      <w:bookmarkStart w:id="339" w:name="_Toc253585531"/>
      <w:bookmarkEnd w:id="339"/>
      <w:bookmarkStart w:id="340" w:name="_Toc306773371"/>
      <w:bookmarkEnd w:id="340"/>
      <w:bookmarkStart w:id="341" w:name="_Toc253749000"/>
      <w:bookmarkEnd w:id="341"/>
      <w:bookmarkStart w:id="342" w:name="_Toc306779905"/>
      <w:bookmarkEnd w:id="342"/>
      <w:bookmarkStart w:id="343" w:name="_Toc253748630"/>
      <w:bookmarkEnd w:id="343"/>
      <w:bookmarkStart w:id="344" w:name="_Toc253595088"/>
      <w:bookmarkEnd w:id="344"/>
      <w:bookmarkStart w:id="345" w:name="_Toc253596437"/>
      <w:bookmarkEnd w:id="345"/>
      <w:bookmarkStart w:id="346" w:name="_Toc253747184"/>
      <w:bookmarkEnd w:id="346"/>
      <w:bookmarkStart w:id="347" w:name="_Toc253745313"/>
      <w:bookmarkEnd w:id="347"/>
      <w:bookmarkStart w:id="348" w:name="_Toc253599944"/>
      <w:bookmarkEnd w:id="348"/>
      <w:bookmarkStart w:id="349" w:name="_Toc253745137"/>
      <w:bookmarkEnd w:id="349"/>
      <w:bookmarkStart w:id="350" w:name="_Toc253596114"/>
      <w:bookmarkEnd w:id="350"/>
      <w:bookmarkStart w:id="351" w:name="_Toc253595155"/>
      <w:bookmarkEnd w:id="351"/>
      <w:bookmarkStart w:id="352" w:name="_Toc253748888"/>
      <w:bookmarkEnd w:id="352"/>
      <w:bookmarkStart w:id="353" w:name="_Toc253585323"/>
      <w:bookmarkEnd w:id="353"/>
      <w:bookmarkStart w:id="354" w:name="_Toc253595191"/>
      <w:bookmarkEnd w:id="354"/>
      <w:bookmarkStart w:id="355" w:name="_Toc253600045"/>
      <w:bookmarkEnd w:id="355"/>
      <w:bookmarkStart w:id="356" w:name="_Toc253747187"/>
      <w:bookmarkEnd w:id="356"/>
      <w:bookmarkStart w:id="357" w:name="_Toc253585424"/>
      <w:bookmarkEnd w:id="357"/>
      <w:bookmarkStart w:id="358" w:name="_Toc253595042"/>
      <w:bookmarkEnd w:id="358"/>
      <w:bookmarkStart w:id="359" w:name="_Toc29469582"/>
      <w:r>
        <w:rPr>
          <w:rFonts w:hint="eastAsia" w:ascii="楷体_GB2312" w:hAnsi="楷体_GB2312" w:eastAsia="楷体_GB2312" w:cs="楷体_GB2312"/>
          <w:kern w:val="0"/>
          <w:sz w:val="32"/>
          <w:szCs w:val="32"/>
        </w:rPr>
        <w:t>（一）区域经济社会发展现状</w:t>
      </w:r>
      <w:bookmarkEnd w:id="359"/>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试点区域项目位于六横岛西南侧。地处长江三角洲沿海域，西北距宁波北仑仅</w:t>
      </w:r>
      <w:r>
        <w:rPr>
          <w:rFonts w:hint="default"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公里</w:t>
      </w:r>
      <w:r>
        <w:rPr>
          <w:rFonts w:hint="eastAsia" w:asci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距正在建设的国家保税港区梅山岛仅</w:t>
      </w:r>
      <w:r>
        <w:rPr>
          <w:rFonts w:hint="default" w:ascii="Times New Roman" w:hAnsi="Times New Roman" w:eastAsia="仿宋_GB2312" w:cs="Times New Roman"/>
          <w:kern w:val="0"/>
          <w:sz w:val="32"/>
          <w:szCs w:val="32"/>
        </w:rPr>
        <w:t>4.2</w:t>
      </w:r>
      <w:r>
        <w:rPr>
          <w:rFonts w:hint="eastAsia" w:ascii="Times New Roman" w:hAnsi="Times New Roman" w:eastAsia="仿宋_GB2312" w:cs="Times New Roman"/>
          <w:kern w:val="0"/>
          <w:sz w:val="32"/>
          <w:szCs w:val="32"/>
        </w:rPr>
        <w:t>公里。随着六横</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宁波跨海大桥的建成，届时区域直达宁波市中心只需</w:t>
      </w:r>
      <w:r>
        <w:rPr>
          <w:rFonts w:hint="default"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小时，规划区域的区位优势将更为突出。试点区域位置如图2</w:t>
      </w:r>
      <w:r>
        <w:rPr>
          <w:rFonts w:hint="default"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区域内</w:t>
      </w:r>
      <w:r>
        <w:rPr>
          <w:rFonts w:hint="eastAsia" w:ascii="Times New Roman" w:hAnsi="Times New Roman" w:eastAsia="仿宋_GB2312" w:cs="Times New Roman"/>
          <w:kern w:val="0"/>
          <w:sz w:val="32"/>
          <w:szCs w:val="32"/>
        </w:rPr>
        <w:t>目前</w:t>
      </w:r>
      <w:r>
        <w:rPr>
          <w:rFonts w:hint="default" w:ascii="Times New Roman" w:hAnsi="Times New Roman" w:eastAsia="仿宋_GB2312" w:cs="Times New Roman"/>
          <w:kern w:val="0"/>
          <w:sz w:val="32"/>
          <w:szCs w:val="32"/>
        </w:rPr>
        <w:t>零星分布一些企业用户</w:t>
      </w:r>
      <w:r>
        <w:rPr>
          <w:rFonts w:hint="eastAsia" w:ascii="Times New Roman" w:hAnsi="Times New Roman" w:eastAsia="仿宋_GB2312" w:cs="Times New Roman"/>
          <w:kern w:val="0"/>
          <w:sz w:val="32"/>
          <w:szCs w:val="32"/>
        </w:rPr>
        <w:t>，全部集中在围垦一期。主要用户共五家，分别为普陀区六横滩涂围垦开发有限公司、国电电力浙江舟山海上风电开发有限公司、中交第三航务工程局有限公司宁波分公司、舟山市六横开发建设投资有限公司、舟山市六横开发有限公司。</w:t>
      </w:r>
    </w:p>
    <w:p>
      <w:pPr>
        <w:autoSpaceDE w:val="0"/>
        <w:autoSpaceDN w:val="0"/>
        <w:ind w:firstLine="0" w:firstLineChars="0"/>
        <w:jc w:val="center"/>
        <w:rPr>
          <w:rFonts w:ascii="仿宋_GB2312" w:eastAsia="仿宋_GB2312" w:hAnsiTheme="minorEastAsia"/>
          <w:sz w:val="32"/>
          <w:szCs w:val="32"/>
        </w:rPr>
      </w:pPr>
      <w:r>
        <w:drawing>
          <wp:inline distT="0" distB="0" distL="0" distR="0">
            <wp:extent cx="4107180" cy="343725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21490" cy="3449339"/>
                    </a:xfrm>
                    <a:prstGeom prst="rect">
                      <a:avLst/>
                    </a:prstGeom>
                    <a:noFill/>
                    <a:ln>
                      <a:noFill/>
                    </a:ln>
                    <a:effectLst/>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图2</w:t>
      </w:r>
      <w:r>
        <w:rPr>
          <w:rFonts w:ascii="仿宋_GB2312" w:hAnsi="黑体" w:eastAsia="仿宋_GB2312"/>
          <w:sz w:val="24"/>
          <w:szCs w:val="24"/>
        </w:rPr>
        <w:t>-1</w:t>
      </w:r>
      <w:r>
        <w:rPr>
          <w:rFonts w:hint="eastAsia" w:ascii="仿宋_GB2312" w:hAnsi="黑体" w:eastAsia="仿宋_GB2312"/>
          <w:sz w:val="24"/>
          <w:szCs w:val="24"/>
        </w:rPr>
        <w:t>六横区位图</w:t>
      </w:r>
    </w:p>
    <w:p>
      <w:pPr>
        <w:autoSpaceDE w:val="0"/>
        <w:autoSpaceDN w:val="0"/>
        <w:ind w:firstLine="0" w:firstLineChars="0"/>
        <w:jc w:val="center"/>
        <w:rPr>
          <w:rFonts w:ascii="仿宋_GB2312" w:eastAsia="仿宋_GB2312" w:hAnsiTheme="minorEastAsia"/>
          <w:sz w:val="32"/>
          <w:szCs w:val="32"/>
        </w:rPr>
      </w:pPr>
      <w:r>
        <w:drawing>
          <wp:inline distT="0" distB="0" distL="0" distR="0">
            <wp:extent cx="5274310" cy="31883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3188335"/>
                    </a:xfrm>
                    <a:prstGeom prst="rect">
                      <a:avLst/>
                    </a:prstGeom>
                  </pic:spPr>
                </pic:pic>
              </a:graphicData>
            </a:graphic>
          </wp:inline>
        </w:drawing>
      </w:r>
    </w:p>
    <w:p>
      <w:pPr>
        <w:pStyle w:val="94"/>
        <w:keepLines w:val="0"/>
        <w:numPr>
          <w:ilvl w:val="0"/>
          <w:numId w:val="0"/>
        </w:numPr>
        <w:spacing w:line="240" w:lineRule="auto"/>
        <w:rPr>
          <w:rFonts w:ascii="仿宋_GB2312" w:hAnsi="黑体" w:eastAsia="仿宋_GB2312"/>
          <w:sz w:val="24"/>
          <w:szCs w:val="24"/>
        </w:rPr>
      </w:pPr>
      <w:bookmarkStart w:id="360" w:name="_Toc484985676"/>
      <w:bookmarkStart w:id="361" w:name="_Toc397340142"/>
      <w:bookmarkStart w:id="362" w:name="_Toc397340377"/>
      <w:bookmarkStart w:id="363" w:name="_Toc397340711"/>
      <w:bookmarkStart w:id="364" w:name="_Toc397341717"/>
      <w:bookmarkStart w:id="365" w:name="_Toc450649289"/>
      <w:r>
        <w:rPr>
          <w:rFonts w:hint="eastAsia" w:ascii="仿宋_GB2312" w:hAnsi="黑体" w:eastAsia="仿宋_GB2312"/>
          <w:sz w:val="24"/>
          <w:szCs w:val="24"/>
        </w:rPr>
        <w:t>图2</w:t>
      </w:r>
      <w:r>
        <w:rPr>
          <w:rFonts w:ascii="仿宋_GB2312" w:hAnsi="黑体" w:eastAsia="仿宋_GB2312"/>
          <w:sz w:val="24"/>
          <w:szCs w:val="24"/>
        </w:rPr>
        <w:t>-2</w:t>
      </w:r>
      <w:r>
        <w:rPr>
          <w:rFonts w:hint="eastAsia" w:ascii="仿宋_GB2312" w:hAnsi="黑体" w:eastAsia="仿宋_GB2312"/>
          <w:sz w:val="24"/>
          <w:szCs w:val="24"/>
        </w:rPr>
        <w:t>试点区域区位图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66" w:name="_Toc29469583"/>
      <w:r>
        <w:rPr>
          <w:rFonts w:hint="eastAsia" w:ascii="楷体_GB2312" w:hAnsi="楷体_GB2312" w:eastAsia="楷体_GB2312" w:cs="楷体_GB2312"/>
          <w:kern w:val="0"/>
          <w:sz w:val="32"/>
          <w:szCs w:val="32"/>
        </w:rPr>
        <w:t>（二）区域总体规划布局</w:t>
      </w:r>
      <w:bookmarkEnd w:id="360"/>
      <w:bookmarkEnd w:id="36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w:t>
      </w:r>
      <w:r>
        <w:rPr>
          <w:rFonts w:hint="eastAsia" w:asci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发展定位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根据《舟山六横岛小郭巨片区规划》（2015年）中对小郭巨临港产业园定位为：舟山新区现代化、国际化的战略性新兴临港产业新城、六横岛陆海统筹发展先行区的重要组成部分和区域生态友好的人居生活福地。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近期随着小郭巨临港产业园试点区域内LNG接收站项目的正式签约，招商引资力度的大，区域产业规划也正在调整，根据小郭巨临港产业园的实际情况，调整后片区定位为：清洁能源综合产业园，重点发展LNG产业、氢能源产业、氢能源汽车制造、风电全产业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w:t>
      </w:r>
      <w:r>
        <w:rPr>
          <w:rFonts w:hint="eastAsia" w:asci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总体目标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舟山六横岛小郭巨片区规划》（2015年）对小郭巨临港产业园的总体目标为：以海洋高新产业为龙头、城镇建设为依托，集临港制造、科技研发、技术服务、成果孵化、现代物流、商务配套、商业休闲、生活居住等多功能于一体的多元复合、陆海统筹、生态共融的现代复合型城市综合片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近期随着小郭巨临港产业园试点区域内LNG接收站项目的正式签约，招商引资力度的大，区域产业规划也正在调整，根据小郭巨临港产业园的实际情况，调整后片区总体目标为：以LNG接收站项目为切入口，发展燃气电厂、冷能利用、气加工、LNG罐体制造及LNG相关产业，打造LNG全产业链基地。同时，发展以有机原料和新材料为主体、以高端精细化学品为特色的产业，将小郭巨打造为规模优势突出、技术水平领先、资源循环利用、绿色安全智能、产业生态完善的高质量化工园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w:t>
      </w:r>
      <w:r>
        <w:rPr>
          <w:rFonts w:hint="eastAsia" w:asci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规划布局</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伴随LNG接收站的入驻，试点区域区域产业规划布局也正在调整，但尚未完成，上版规划布局仍具有参照意义。参照上版规划布局如下：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产业规划：“一主、一副、两轴、四片”。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一主:指位于规划区南部的城市主中心，是整个小郭巨片区的城市综合服务中心，也是六横西南部生产力服务中心。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一副:指位于规划区中部的城市副中心，是小郭巨片区的产业配套服务中心。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两轴:分别指的是沿南北向主路的功能发展轴和东西向沿西沙头山—青山湖一带的生态景观轴。功能发展是规划区内联系各个片区的重要纽带和功能发展方向；生态景观轴是展示规划区生态景观的最主要廊道。</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四片:分别为城市生活片、小型临港产业片、大中型临港产业片和高新产业研发片。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开发主体：近期工业园区围绕积峙山展开布局，通过中部高新产业研发区建设和产业园区配套中心的打造，将东侧小型临港产业制造区和西侧大中型临港产业制造区紧密联系起来。城镇建设方面主要在西沙头山周边展开，初步形成一定规模的城镇公共设施配套。</w:t>
      </w:r>
    </w:p>
    <w:p>
      <w:pPr>
        <w:pStyle w:val="476"/>
        <w:ind w:firstLine="0" w:firstLineChars="0"/>
        <w:jc w:val="center"/>
        <w:rPr>
          <w:rFonts w:hAnsiTheme="minorEastAsia"/>
          <w:szCs w:val="32"/>
        </w:rPr>
      </w:pPr>
      <w:r>
        <w:rPr>
          <w:rFonts w:hAnsiTheme="minorEastAsia"/>
          <w:szCs w:val="32"/>
        </w:rPr>
        <w:drawing>
          <wp:inline distT="0" distB="0" distL="0" distR="0">
            <wp:extent cx="4036060" cy="2943225"/>
            <wp:effectExtent l="0" t="0" r="2540" b="9525"/>
            <wp:docPr id="2" name="图片 2" descr="D:\项目\浙江\舟山六横小郭巨\资料\小郭巨资料\小郭巨片区附图\02.规划结构图-概念规划.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项目\浙江\舟山六横小郭巨\资料\小郭巨资料\小郭巨片区附图\02.规划结构图-概念规划.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36060" cy="2943225"/>
                    </a:xfrm>
                    <a:prstGeom prst="rect">
                      <a:avLst/>
                    </a:prstGeom>
                    <a:noFill/>
                    <a:ln>
                      <a:noFill/>
                    </a:ln>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ascii="仿宋_GB2312" w:hAnsi="黑体" w:eastAsia="仿宋_GB2312"/>
          <w:sz w:val="24"/>
          <w:szCs w:val="24"/>
        </w:rPr>
        <w:t>图</w:t>
      </w:r>
      <w:r>
        <w:rPr>
          <w:rFonts w:hint="eastAsia" w:ascii="仿宋_GB2312" w:hAnsi="黑体" w:eastAsia="仿宋_GB2312"/>
          <w:sz w:val="24"/>
          <w:szCs w:val="24"/>
        </w:rPr>
        <w:t>2</w:t>
      </w:r>
      <w:r>
        <w:rPr>
          <w:rFonts w:ascii="仿宋_GB2312" w:hAnsi="黑体" w:eastAsia="仿宋_GB2312"/>
          <w:sz w:val="24"/>
          <w:szCs w:val="24"/>
        </w:rPr>
        <w:t>-3</w:t>
      </w:r>
      <w:r>
        <w:rPr>
          <w:rFonts w:hint="eastAsia" w:ascii="仿宋_GB2312" w:hAnsi="黑体" w:eastAsia="仿宋_GB2312"/>
          <w:sz w:val="24"/>
          <w:szCs w:val="24"/>
        </w:rPr>
        <w:t>小郭巨临港产业园产业规划图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67" w:name="_Toc29469584"/>
      <w:r>
        <w:rPr>
          <w:rFonts w:hint="eastAsia" w:ascii="楷体_GB2312" w:hAnsi="楷体_GB2312" w:eastAsia="楷体_GB2312" w:cs="楷体_GB2312"/>
          <w:kern w:val="0"/>
          <w:sz w:val="32"/>
          <w:szCs w:val="32"/>
        </w:rPr>
        <w:t>（三）区域用地规划</w:t>
      </w:r>
      <w:bookmarkEnd w:id="367"/>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随着LNG接收站的入驻，试点区域部分用地规划有所变动，目前新版用地规划编制尚未完成，参照试点区域上版用地规划如图2-4所示。由图可知，试点区域规划用地以工业为主，特别是二类工业用地居多，主要分布在试点区域围垦一期以及围垦二期西部。试点区域东部以居住、商住用地为主。中部以商业兼工业用地为主。</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rPr>
      </w:pPr>
    </w:p>
    <w:p>
      <w:pPr>
        <w:ind w:firstLine="0" w:firstLineChars="0"/>
        <w:jc w:val="center"/>
        <w:textAlignment w:val="baseline"/>
        <w:rPr>
          <w:rFonts w:ascii="仿宋_GB2312" w:hAnsi="Calibri" w:eastAsia="仿宋_GB2312"/>
          <w:sz w:val="32"/>
        </w:rPr>
      </w:pPr>
      <w:r>
        <w:rPr>
          <w:rFonts w:ascii="仿宋_GB2312" w:hAnsi="Calibri" w:eastAsia="仿宋_GB2312"/>
          <w:sz w:val="32"/>
        </w:rPr>
        <w:drawing>
          <wp:inline distT="0" distB="0" distL="0" distR="0">
            <wp:extent cx="5007610" cy="3937000"/>
            <wp:effectExtent l="0" t="0" r="2540" b="6350"/>
            <wp:docPr id="4" name="图片 4" descr="E:\WXL\Documents\Tencent Files\578962883\Image\C2C\C[V~24FIXBJI_A$($9UYG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WXL\Documents\Tencent Files\578962883\Image\C2C\C[V~24FIXBJI_A$($9UYG2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07610" cy="3937000"/>
                    </a:xfrm>
                    <a:prstGeom prst="rect">
                      <a:avLst/>
                    </a:prstGeom>
                    <a:noFill/>
                    <a:ln>
                      <a:noFill/>
                    </a:ln>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图2</w:t>
      </w:r>
      <w:r>
        <w:rPr>
          <w:rFonts w:ascii="仿宋_GB2312" w:hAnsi="黑体" w:eastAsia="仿宋_GB2312"/>
          <w:sz w:val="24"/>
          <w:szCs w:val="24"/>
        </w:rPr>
        <w:t>-4</w:t>
      </w:r>
      <w:r>
        <w:rPr>
          <w:rFonts w:hint="eastAsia" w:ascii="仿宋_GB2312" w:hAnsi="黑体" w:eastAsia="仿宋_GB2312"/>
          <w:sz w:val="24"/>
          <w:szCs w:val="24"/>
        </w:rPr>
        <w:t>试点区域控规用地规划图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68" w:name="_Toc29469585"/>
      <w:r>
        <w:rPr>
          <w:rFonts w:hint="eastAsia" w:ascii="楷体_GB2312" w:hAnsi="楷体_GB2312" w:eastAsia="楷体_GB2312" w:cs="楷体_GB2312"/>
          <w:kern w:val="0"/>
          <w:sz w:val="32"/>
          <w:szCs w:val="32"/>
        </w:rPr>
        <w:t>（四）已知重点建设项目情况</w:t>
      </w:r>
      <w:bookmarkEnd w:id="36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LNG接收站</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LNG接收站目前有2处意向选址。选址1位于试点区域围垦二期东南角；选址2位于试点区域外青山西侧。LNG接收站项目总接卸能力为1000万吨/年。分两期实施，一期工程码头接卸量600万吨/年，二期工程码头接卸量增加到1000万吨/年。接收站一期工程将于2021年开始逐步建设，到2023年底建成，二期工程将在2028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试点区域内LNG接收站意向选址位置如图2-5所示：</w:t>
      </w:r>
    </w:p>
    <w:p>
      <w:pPr>
        <w:ind w:firstLine="0" w:firstLineChars="0"/>
        <w:jc w:val="center"/>
        <w:rPr>
          <w:highlight w:val="yellow"/>
        </w:rPr>
      </w:pPr>
      <w:r>
        <w:drawing>
          <wp:inline distT="0" distB="0" distL="0" distR="0">
            <wp:extent cx="5274310" cy="34791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3479165"/>
                    </a:xfrm>
                    <a:prstGeom prst="rect">
                      <a:avLst/>
                    </a:prstGeom>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图2</w:t>
      </w:r>
      <w:r>
        <w:rPr>
          <w:rFonts w:ascii="仿宋_GB2312" w:hAnsi="黑体" w:eastAsia="仿宋_GB2312"/>
          <w:sz w:val="24"/>
          <w:szCs w:val="24"/>
        </w:rPr>
        <w:t>-5</w:t>
      </w:r>
      <w:r>
        <w:rPr>
          <w:rFonts w:hint="eastAsia" w:ascii="仿宋_GB2312" w:hAnsi="黑体" w:eastAsia="仿宋_GB2312"/>
          <w:sz w:val="24"/>
          <w:szCs w:val="24"/>
        </w:rPr>
        <w:t xml:space="preserve"> L</w:t>
      </w:r>
      <w:r>
        <w:rPr>
          <w:rFonts w:ascii="仿宋_GB2312" w:hAnsi="黑体" w:eastAsia="仿宋_GB2312"/>
          <w:sz w:val="24"/>
          <w:szCs w:val="24"/>
        </w:rPr>
        <w:t>NG接收站</w:t>
      </w:r>
      <w:r>
        <w:rPr>
          <w:rFonts w:hint="eastAsia" w:ascii="仿宋_GB2312" w:hAnsi="黑体" w:eastAsia="仿宋_GB2312"/>
          <w:sz w:val="24"/>
          <w:szCs w:val="24"/>
        </w:rPr>
        <w:t>选址意向图</w:t>
      </w:r>
    </w:p>
    <w:bookmarkEnd w:id="3"/>
    <w:bookmarkEnd w:id="361"/>
    <w:bookmarkEnd w:id="362"/>
    <w:bookmarkEnd w:id="363"/>
    <w:bookmarkEnd w:id="364"/>
    <w:bookmarkEnd w:id="365"/>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369" w:name="_Toc2946958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三、区域电网发展情况</w:t>
      </w:r>
      <w:bookmarkEnd w:id="369"/>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0" w:name="_Toc29469587"/>
      <w:r>
        <w:rPr>
          <w:rFonts w:hint="eastAsia" w:ascii="楷体_GB2312" w:hAnsi="楷体_GB2312" w:eastAsia="楷体_GB2312" w:cs="楷体_GB2312"/>
          <w:kern w:val="0"/>
          <w:sz w:val="32"/>
          <w:szCs w:val="32"/>
        </w:rPr>
        <w:t>（一）周边区域电网现状和发展规划</w:t>
      </w:r>
      <w:bookmarkEnd w:id="370"/>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电网概况</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试点周边区域内现有220千伏变电站1座，为岑山变（2×240兆伏安）；110千伏变电站2座，为双屿变（2×50兆伏安）和港兴变（2×50兆伏安）。</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220千伏岑山变电站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220千伏岑山变电站于2015年3月投运，共2台主变，容量为2×240兆伏安。2018年变电站最大负载率为24.77%。</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220千伏岑山变电站220千伏出线2回；110千伏侧共有8个间隔，目前已用6个，下送双屿变、港兴变、南沙变和虾峙变。剩余2个，间隔利用率75%。</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110千伏双屿变电站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110千伏双屿变电站于2015年4月投运，有2台主变，总容量为100兆伏安，2018年变电站最大负载率为47.18%。上级电源来自220千伏岑山变，接线方式为双辐射。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110千伏双屿变电站35千伏侧共有6个间隔，目前已用4个，剩余2个，间隔利用率66.67%。10千伏侧共有18个间隔，目前已用16个，剩余2个，间隔利用率88.89%。</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110千伏双屿变电站共有10千伏线路16条，全部为公用线路。其中重载线路一条为龙山B686线；轻载线路4条；单辐射线路3条，分别为蛟头B683线、金润B682线、东鹏B692线。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4</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110千伏港兴变电站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110千伏港兴变电站于2013年12月投运，有2台主变，总容量为100兆伏安，2018年变电站最大负载率为14.35%，负载率较低。上级电源来自220千伏岑山变，接线方式为双辐射。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110千伏港兴变10千伏侧共有20个间隔，目前已用13个，剩余7个，间隔利用率65%。</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110千伏港兴变共有10千伏线路13条，全部为公用线路。轻载线路9条；单辐射线路3条，分别为田岙B364线、梅峙B370线、元岛B373线。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1" w:name="_Toc29469588"/>
      <w:r>
        <w:rPr>
          <w:rFonts w:hint="eastAsia" w:ascii="楷体_GB2312" w:hAnsi="楷体_GB2312" w:eastAsia="楷体_GB2312" w:cs="楷体_GB2312"/>
          <w:kern w:val="0"/>
          <w:sz w:val="32"/>
          <w:szCs w:val="32"/>
        </w:rPr>
        <w:t>（二）区域电网发展现状</w:t>
      </w:r>
      <w:bookmarkEnd w:id="371"/>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目前试点区域项目内最高电压等级为10千伏，由110千伏双屿变出一条10千伏五星B681线供电，共有5回支线线路（其中五星B681线5号支线未带电），其中带电支线分别为：五星B681线新塘支线、五星B681线垦区支线、五星B681线小支支线、五星B681线六横风电支线。总线路长度约5.3公里，专变容量4280千伏安。</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2" w:name="_Toc29469589"/>
      <w:r>
        <w:rPr>
          <w:rFonts w:hint="eastAsia" w:ascii="楷体_GB2312" w:hAnsi="楷体_GB2312" w:eastAsia="楷体_GB2312" w:cs="楷体_GB2312"/>
          <w:kern w:val="0"/>
          <w:sz w:val="32"/>
          <w:szCs w:val="32"/>
        </w:rPr>
        <w:t>（三）区域电源现状和发展规划</w:t>
      </w:r>
      <w:bookmarkEnd w:id="37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现状区域暂无35千伏及以上变电站及电源。目前周边110千伏双屿变10千伏线路五星B681线支线为试点区域供电，能够满足“十三五”该区域供电需求。“十四五”期间LNG接收站建设完成并投入使用，现有线路将不能满足负荷增长需求，需考虑新增负荷的接入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3" w:name="_Toc29469590"/>
      <w:r>
        <w:rPr>
          <w:rFonts w:hint="eastAsia" w:ascii="楷体_GB2312" w:hAnsi="楷体_GB2312" w:eastAsia="楷体_GB2312" w:cs="楷体_GB2312"/>
          <w:kern w:val="0"/>
          <w:sz w:val="32"/>
          <w:szCs w:val="32"/>
        </w:rPr>
        <w:t>（四）存在的主要问题</w:t>
      </w:r>
      <w:bookmarkEnd w:id="373"/>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试点区域目前只有一条10千伏五星B681线支线供电，且支线均为单辐射供电，可靠性较低。五星B681线主干线对侧联络线路为郭围B687线，接近于重载，无法满足“N-1”校验。五星B681线负荷无法得到有效转移，供电可靠性较低。</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试点区域内五星B681线的5条支线中，除5号支线线径为YKLYJ/10-1×240导线以外，其他4条支线线径均为YKLYJ/10-1×70导线，线径较细，负荷承载能力不高，且未来试点区域负荷发展起来后，也易造成线路“卡脖子”，无法有效支撑负荷进一步发展，增量试点改革过渡期间仍需要投资改造部分配电网线路，以暂时满足近期的用电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374" w:name="_Toc29469591"/>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四、区域用电预测</w:t>
      </w:r>
      <w:bookmarkEnd w:id="37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5" w:name="_Toc29469592"/>
      <w:r>
        <w:rPr>
          <w:rFonts w:hint="eastAsia" w:ascii="楷体_GB2312" w:hAnsi="楷体_GB2312" w:eastAsia="楷体_GB2312" w:cs="楷体_GB2312"/>
          <w:kern w:val="0"/>
          <w:sz w:val="32"/>
          <w:szCs w:val="32"/>
        </w:rPr>
        <w:t>（一）区域负荷增长趋势分析、负荷特性分析</w:t>
      </w:r>
      <w:bookmarkEnd w:id="375"/>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目前试点区域尚处于围垦阶段，区域内零星分布一些企业用户，全部集中在围垦一期。主要用户共五家，分别为普陀区六横滩涂围垦开发有限公司、国电电力浙江舟山海上风电开发有限公司、中交第三航务工程局有限公司宁波分公司、舟山市六横开发建设投资有限公司、舟山市六横开发有限公司，2018年试点区域内全社会最大负荷约2兆瓦，年用电量0.07亿千瓦时，主要为施工用电。</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根据区域小郭巨概念规划，试点区域远景定位为一个大的产业园区，居住、商业等只是单纯为产业配套，配套规模和层次都比较低，对城镇的发展没有做出明确的判断和预留。而近期随着LNG接收站项目的正式签约，招商引资力度的加大，区域产业规划也将随之调整，从持续用电性质分类，试点区域主要以日常工作型、连续生产型为主，居住型和商业服务型为辅。</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6" w:name="_Toc29469593"/>
      <w:r>
        <w:rPr>
          <w:rFonts w:hint="eastAsia" w:ascii="楷体_GB2312" w:hAnsi="楷体_GB2312" w:eastAsia="楷体_GB2312" w:cs="楷体_GB2312"/>
          <w:kern w:val="0"/>
          <w:sz w:val="32"/>
          <w:szCs w:val="32"/>
        </w:rPr>
        <w:t>（二）区域用电需求预测</w:t>
      </w:r>
      <w:bookmarkEnd w:id="37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eastAsia" w:asci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负荷预测方法及思路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区域负荷预测一般分为需用系数法、负荷密度法、负荷成熟度法以及趋势外推、年均增长率等方法，方法应用模式如下图4-1所示：</w:t>
      </w:r>
    </w:p>
    <w:p>
      <w:pPr>
        <w:keepNext/>
        <w:snapToGrid w:val="0"/>
        <w:spacing w:line="240" w:lineRule="auto"/>
        <w:ind w:firstLine="0" w:firstLineChars="0"/>
        <w:jc w:val="center"/>
        <w:rPr>
          <w:rFonts w:ascii="仿宋_GB2312" w:hAnsi="Calibri" w:eastAsia="仿宋_GB2312"/>
          <w:sz w:val="32"/>
        </w:rPr>
      </w:pPr>
      <w:r>
        <w:rPr>
          <w:rFonts w:ascii="仿宋_GB2312" w:hAnsi="Calibri" w:eastAsia="仿宋_GB2312"/>
          <w:sz w:val="20"/>
        </w:rPr>
        <w:drawing>
          <wp:inline distT="0" distB="0" distL="0" distR="0">
            <wp:extent cx="4038600" cy="274002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60404" cy="2755274"/>
                    </a:xfrm>
                    <a:prstGeom prst="rect">
                      <a:avLst/>
                    </a:prstGeom>
                    <a:noFill/>
                    <a:ln>
                      <a:noFill/>
                    </a:ln>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图4</w:t>
      </w:r>
      <w:r>
        <w:rPr>
          <w:rFonts w:ascii="仿宋_GB2312" w:hAnsi="黑体" w:eastAsia="仿宋_GB2312"/>
          <w:sz w:val="24"/>
          <w:szCs w:val="24"/>
        </w:rPr>
        <w:t>-1</w:t>
      </w:r>
      <w:r>
        <w:rPr>
          <w:rFonts w:hint="eastAsia" w:ascii="仿宋_GB2312" w:hAnsi="黑体" w:eastAsia="仿宋_GB2312"/>
          <w:sz w:val="24"/>
          <w:szCs w:val="24"/>
        </w:rPr>
        <w:t>区域远期负荷预测方法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虽然负荷预测的方法有多种，但其所需要不同的原始数 据、资料，其适应性同样存在很大的差别，因此针对本规划区而言，应根据规划区的原始资料以及用地规划的具体情况，确定本次负荷预测采用的方法：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目前已修编了《舟山六横岛小郭巨片区规划》（2015年），故本次负荷预测可根据该控规以负荷密度法为主要预测方法，以需用系数法为参考方法，并对试点区域开展现状负荷及目标年负荷的合理性校验。</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（1）近期负荷预测：根据试点区域的实际情况，由于区域产业规划正在调整，近期LNG接收站项目已正式签约，招商引资力度大，所以本次规划近期负荷预测采用自然增长+大用户法。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远景负荷预测：试点区域目前已修编了《舟山六横岛小郭巨片区规划》（2015年），从而得到了试点区域内各地块的用地性质、用地面积等指标。这些是配电网规划十分重要的信息，而负荷密度指标法是建立在这些信息基础上的负荷预测方法。因此，本次规划采用负荷密度指标法对地区进行远景负荷预测，并结合综合考虑大用户报装。</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2.近期负荷预测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（1）地块负荷预测（不包含LNG接收站项目）</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综合考虑现状已有用户负荷发展，基于试点区域地块出让、招商引资预期，预计至2021年试点区域内全社会最大负荷为2兆瓦，全社会用电量为0.07亿千瓦时；到2023年，试点区域内预计全社会最大负荷达到6兆瓦，全社会用电量达到0.27亿千瓦时；到2025年，试点区域内预计全社会最大负荷达到10兆瓦，全社会用电量达到0.43亿千瓦时。</w:t>
      </w:r>
    </w:p>
    <w:p>
      <w:pPr>
        <w:pStyle w:val="86"/>
        <w:keepLines w:val="0"/>
        <w:numPr>
          <w:ilvl w:val="0"/>
          <w:numId w:val="0"/>
        </w:numPr>
        <w:jc w:val="center"/>
        <w:rPr>
          <w:rFonts w:hint="eastAsia" w:ascii="仿宋_GB2312" w:eastAsia="仿宋_GB2312"/>
        </w:rPr>
      </w:pPr>
      <w:r>
        <w:rPr>
          <w:rFonts w:ascii="仿宋_GB2312" w:eastAsia="仿宋_GB2312"/>
        </w:rPr>
        <w:t>表4-1</w:t>
      </w:r>
      <w:r>
        <w:rPr>
          <w:rFonts w:hint="eastAsia" w:ascii="仿宋_GB2312" w:eastAsia="仿宋_GB2312"/>
        </w:rPr>
        <w:t>地试点区域块近期负荷预测结果</w:t>
      </w:r>
    </w:p>
    <w:p>
      <w:pPr>
        <w:pStyle w:val="86"/>
        <w:keepLines w:val="0"/>
        <w:numPr>
          <w:ilvl w:val="0"/>
          <w:numId w:val="0"/>
        </w:numPr>
        <w:jc w:val="right"/>
        <w:rPr>
          <w:rFonts w:ascii="仿宋_GB2312" w:eastAsia="仿宋_GB2312"/>
        </w:rPr>
      </w:pPr>
      <w:r>
        <w:rPr>
          <w:rFonts w:hint="eastAsia" w:ascii="仿宋_GB2312" w:eastAsia="仿宋_GB2312"/>
        </w:rPr>
        <w:t>单位：兆瓦、亿千瓦时</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4"/>
        <w:gridCol w:w="1211"/>
        <w:gridCol w:w="762"/>
        <w:gridCol w:w="761"/>
        <w:gridCol w:w="762"/>
        <w:gridCol w:w="762"/>
        <w:gridCol w:w="762"/>
        <w:gridCol w:w="133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764"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区域</w:t>
            </w:r>
          </w:p>
        </w:tc>
        <w:tc>
          <w:tcPr>
            <w:tcW w:w="1211"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年份</w:t>
            </w:r>
          </w:p>
        </w:tc>
        <w:tc>
          <w:tcPr>
            <w:tcW w:w="762"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2019</w:t>
            </w:r>
          </w:p>
        </w:tc>
        <w:tc>
          <w:tcPr>
            <w:tcW w:w="761"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2020</w:t>
            </w:r>
          </w:p>
        </w:tc>
        <w:tc>
          <w:tcPr>
            <w:tcW w:w="762"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2021</w:t>
            </w:r>
          </w:p>
        </w:tc>
        <w:tc>
          <w:tcPr>
            <w:tcW w:w="762" w:type="dxa"/>
            <w:vAlign w:val="center"/>
          </w:tcPr>
          <w:p>
            <w:pPr>
              <w:pStyle w:val="87"/>
              <w:keepNext w:val="0"/>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023</w:t>
            </w:r>
          </w:p>
        </w:tc>
        <w:tc>
          <w:tcPr>
            <w:tcW w:w="762"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2025</w:t>
            </w:r>
          </w:p>
        </w:tc>
        <w:tc>
          <w:tcPr>
            <w:tcW w:w="1330"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20</w:t>
            </w:r>
            <w:r>
              <w:rPr>
                <w:rFonts w:ascii="仿宋_GB2312" w:hAnsi="仿宋" w:eastAsia="仿宋_GB2312"/>
                <w:sz w:val="21"/>
              </w:rPr>
              <w:t>19</w:t>
            </w:r>
            <w:r>
              <w:rPr>
                <w:rFonts w:hint="eastAsia" w:ascii="仿宋_GB2312" w:hAnsi="仿宋" w:eastAsia="仿宋_GB2312"/>
                <w:sz w:val="21"/>
              </w:rPr>
              <w:t>-202</w:t>
            </w:r>
            <w:r>
              <w:rPr>
                <w:rFonts w:ascii="仿宋_GB2312" w:hAnsi="仿宋" w:eastAsia="仿宋_GB2312"/>
                <w:sz w:val="21"/>
              </w:rPr>
              <w:t>1</w:t>
            </w:r>
            <w:r>
              <w:rPr>
                <w:rFonts w:hint="eastAsia" w:ascii="仿宋_GB2312" w:hAnsi="仿宋" w:eastAsia="仿宋_GB2312"/>
                <w:sz w:val="21"/>
              </w:rPr>
              <w:t>年年均增长率</w:t>
            </w:r>
          </w:p>
        </w:tc>
        <w:tc>
          <w:tcPr>
            <w:tcW w:w="1189" w:type="dxa"/>
            <w:shd w:val="clear" w:color="auto" w:fill="auto"/>
            <w:vAlign w:val="center"/>
          </w:tcPr>
          <w:p>
            <w:pPr>
              <w:pStyle w:val="87"/>
              <w:keepNext w:val="0"/>
              <w:rPr>
                <w:rFonts w:ascii="仿宋_GB2312" w:hAnsi="仿宋" w:eastAsia="仿宋_GB2312"/>
                <w:sz w:val="21"/>
              </w:rPr>
            </w:pPr>
            <w:r>
              <w:rPr>
                <w:rFonts w:hint="eastAsia" w:ascii="仿宋_GB2312" w:hAnsi="仿宋" w:eastAsia="仿宋_GB2312"/>
                <w:sz w:val="21"/>
              </w:rPr>
              <w:t>“十四五”</w:t>
            </w:r>
          </w:p>
          <w:p>
            <w:pPr>
              <w:pStyle w:val="87"/>
              <w:keepNext w:val="0"/>
              <w:rPr>
                <w:rFonts w:ascii="仿宋_GB2312" w:hAnsi="仿宋" w:eastAsia="仿宋_GB2312"/>
                <w:sz w:val="21"/>
              </w:rPr>
            </w:pPr>
            <w:r>
              <w:rPr>
                <w:rFonts w:hint="eastAsia" w:ascii="仿宋_GB2312" w:hAnsi="仿宋" w:eastAsia="仿宋_GB2312"/>
                <w:sz w:val="21"/>
              </w:rPr>
              <w:t>年均增长率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764" w:type="dxa"/>
            <w:vMerge w:val="restart"/>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试点区域地块负荷（不包含L</w:t>
            </w:r>
            <w:r>
              <w:rPr>
                <w:rFonts w:ascii="仿宋_GB2312" w:hAnsi="仿宋" w:eastAsia="仿宋_GB2312"/>
                <w:b w:val="0"/>
                <w:sz w:val="21"/>
              </w:rPr>
              <w:t>NG接收站</w:t>
            </w:r>
            <w:r>
              <w:rPr>
                <w:rFonts w:hint="eastAsia" w:ascii="仿宋_GB2312" w:hAnsi="仿宋" w:eastAsia="仿宋_GB2312"/>
                <w:b w:val="0"/>
                <w:sz w:val="21"/>
              </w:rPr>
              <w:t>）</w:t>
            </w:r>
          </w:p>
        </w:tc>
        <w:tc>
          <w:tcPr>
            <w:tcW w:w="1211"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全社会</w:t>
            </w:r>
          </w:p>
          <w:p>
            <w:pPr>
              <w:pStyle w:val="87"/>
              <w:keepNext w:val="0"/>
              <w:rPr>
                <w:rFonts w:ascii="仿宋_GB2312" w:hAnsi="仿宋" w:eastAsia="仿宋_GB2312"/>
                <w:b w:val="0"/>
                <w:sz w:val="21"/>
              </w:rPr>
            </w:pPr>
            <w:r>
              <w:rPr>
                <w:rFonts w:hint="eastAsia" w:ascii="仿宋_GB2312" w:hAnsi="仿宋" w:eastAsia="仿宋_GB2312"/>
                <w:b w:val="0"/>
                <w:sz w:val="21"/>
              </w:rPr>
              <w:t>最大负荷</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2</w:t>
            </w:r>
          </w:p>
        </w:tc>
        <w:tc>
          <w:tcPr>
            <w:tcW w:w="761"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2</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2</w:t>
            </w:r>
          </w:p>
        </w:tc>
        <w:tc>
          <w:tcPr>
            <w:tcW w:w="762"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6</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10</w:t>
            </w:r>
          </w:p>
        </w:tc>
        <w:tc>
          <w:tcPr>
            <w:tcW w:w="1330"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189"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47" w:hRule="atLeast"/>
          <w:jc w:val="center"/>
        </w:trPr>
        <w:tc>
          <w:tcPr>
            <w:tcW w:w="764" w:type="dxa"/>
            <w:vMerge w:val="continue"/>
            <w:shd w:val="clear" w:color="auto" w:fill="auto"/>
            <w:vAlign w:val="center"/>
          </w:tcPr>
          <w:p>
            <w:pPr>
              <w:pStyle w:val="87"/>
              <w:keepNext w:val="0"/>
              <w:rPr>
                <w:rFonts w:ascii="仿宋_GB2312" w:hAnsi="仿宋" w:eastAsia="仿宋_GB2312"/>
                <w:b w:val="0"/>
                <w:sz w:val="21"/>
              </w:rPr>
            </w:pPr>
          </w:p>
        </w:tc>
        <w:tc>
          <w:tcPr>
            <w:tcW w:w="1211"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年均增长率</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1"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2"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762"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330"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1189"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48.61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96" w:hRule="atLeast"/>
          <w:jc w:val="center"/>
        </w:trPr>
        <w:tc>
          <w:tcPr>
            <w:tcW w:w="764" w:type="dxa"/>
            <w:vMerge w:val="continue"/>
            <w:shd w:val="clear" w:color="auto" w:fill="auto"/>
            <w:vAlign w:val="center"/>
          </w:tcPr>
          <w:p>
            <w:pPr>
              <w:pStyle w:val="87"/>
              <w:keepNext w:val="0"/>
              <w:rPr>
                <w:rFonts w:ascii="仿宋_GB2312" w:hAnsi="仿宋" w:eastAsia="仿宋_GB2312"/>
                <w:b w:val="0"/>
                <w:sz w:val="21"/>
              </w:rPr>
            </w:pPr>
          </w:p>
        </w:tc>
        <w:tc>
          <w:tcPr>
            <w:tcW w:w="1211"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全社会</w:t>
            </w:r>
          </w:p>
          <w:p>
            <w:pPr>
              <w:pStyle w:val="87"/>
              <w:keepNext w:val="0"/>
              <w:rPr>
                <w:rFonts w:ascii="仿宋_GB2312" w:hAnsi="仿宋" w:eastAsia="仿宋_GB2312"/>
                <w:b w:val="0"/>
                <w:sz w:val="21"/>
              </w:rPr>
            </w:pPr>
            <w:r>
              <w:rPr>
                <w:rFonts w:hint="eastAsia" w:ascii="仿宋_GB2312" w:hAnsi="仿宋" w:eastAsia="仿宋_GB2312"/>
                <w:b w:val="0"/>
                <w:sz w:val="21"/>
              </w:rPr>
              <w:t>用电量</w:t>
            </w:r>
          </w:p>
        </w:tc>
        <w:tc>
          <w:tcPr>
            <w:tcW w:w="762"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0.07</w:t>
            </w:r>
          </w:p>
        </w:tc>
        <w:tc>
          <w:tcPr>
            <w:tcW w:w="761"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0</w:t>
            </w:r>
            <w:r>
              <w:rPr>
                <w:rFonts w:ascii="仿宋_GB2312" w:hAnsi="仿宋" w:eastAsia="仿宋_GB2312"/>
                <w:b w:val="0"/>
                <w:sz w:val="21"/>
              </w:rPr>
              <w:t>.07</w:t>
            </w:r>
          </w:p>
        </w:tc>
        <w:tc>
          <w:tcPr>
            <w:tcW w:w="762"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0.07</w:t>
            </w:r>
          </w:p>
        </w:tc>
        <w:tc>
          <w:tcPr>
            <w:tcW w:w="762"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0</w:t>
            </w:r>
            <w:r>
              <w:rPr>
                <w:rFonts w:ascii="仿宋_GB2312" w:hAnsi="仿宋" w:eastAsia="仿宋_GB2312"/>
                <w:b w:val="0"/>
                <w:sz w:val="21"/>
              </w:rPr>
              <w:t>.27</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0.43</w:t>
            </w:r>
          </w:p>
        </w:tc>
        <w:tc>
          <w:tcPr>
            <w:tcW w:w="1330"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189"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764" w:type="dxa"/>
            <w:vMerge w:val="continue"/>
            <w:shd w:val="clear" w:color="auto" w:fill="auto"/>
            <w:vAlign w:val="center"/>
          </w:tcPr>
          <w:p>
            <w:pPr>
              <w:pStyle w:val="87"/>
              <w:keepNext w:val="0"/>
              <w:rPr>
                <w:rFonts w:ascii="仿宋_GB2312" w:hAnsi="仿宋" w:eastAsia="仿宋_GB2312"/>
                <w:b w:val="0"/>
                <w:sz w:val="21"/>
              </w:rPr>
            </w:pPr>
          </w:p>
        </w:tc>
        <w:tc>
          <w:tcPr>
            <w:tcW w:w="1211"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年均增长率</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1"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2"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762"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762" w:type="dxa"/>
            <w:shd w:val="clear" w:color="auto" w:fill="auto"/>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330"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0</w:t>
            </w:r>
          </w:p>
        </w:tc>
        <w:tc>
          <w:tcPr>
            <w:tcW w:w="1189" w:type="dxa"/>
            <w:shd w:val="clear" w:color="auto" w:fill="auto"/>
            <w:vAlign w:val="center"/>
          </w:tcPr>
          <w:p>
            <w:pPr>
              <w:pStyle w:val="87"/>
              <w:keepNext w:val="0"/>
              <w:rPr>
                <w:rFonts w:ascii="仿宋_GB2312" w:hAnsi="仿宋" w:eastAsia="仿宋_GB2312"/>
                <w:b w:val="0"/>
                <w:sz w:val="21"/>
              </w:rPr>
            </w:pPr>
            <w:r>
              <w:rPr>
                <w:rFonts w:ascii="仿宋_GB2312" w:hAnsi="仿宋" w:eastAsia="仿宋_GB2312"/>
                <w:b w:val="0"/>
                <w:sz w:val="21"/>
              </w:rPr>
              <w:t>56.33</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（2）大用户预测（LNG接收站项目）</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考虑项目建设周期与围垦二期吹填时间，预计2020年底完成围垦区域吹填，LNG接收站一期工程将于2021年开始逐步建设，到2023年底建成；二期工程将在2028年建成。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160千瓦以上电机采用中压6千伏配电，160千瓦以下电机采用低压0.38千伏配电；工艺装置负荷为一级负荷，行政区大部分负荷为三级负荷，部分重要工艺、仪表及消防负荷为一级负荷，所有负荷采用单母线分段方式，放射式供电。其中LNG罐内泵、火炬分液罐电加热器、码头脱揽钩等负荷为一级负荷中特别重要负荷，需柴油发电机组供电。接收站二期负荷达到29兆瓦（包含一期负荷）。</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LNG接收站：LNG接收站一期工程将于2021年开始逐步建设，到2023年底建成。考虑2021年和2022年期间施工用电，至2021年LNG接收站施工用电负荷约为0.05兆瓦；至2022年LNG接收站施工用电负荷约为0.08兆瓦；至2023年负荷约为2兆瓦；至2025年负荷约为16兆瓦。LNG接收站电量数据参照舟山市其它LNG接收站计算得出。</w:t>
      </w:r>
    </w:p>
    <w:p>
      <w:pPr>
        <w:pStyle w:val="86"/>
        <w:keepLines w:val="0"/>
        <w:numPr>
          <w:ilvl w:val="0"/>
          <w:numId w:val="0"/>
        </w:numPr>
        <w:jc w:val="center"/>
        <w:rPr>
          <w:rFonts w:ascii="仿宋_GB2312" w:eastAsia="仿宋_GB2312"/>
        </w:rPr>
      </w:pPr>
      <w:r>
        <w:rPr>
          <w:rFonts w:ascii="仿宋_GB2312" w:eastAsia="仿宋_GB2312"/>
        </w:rPr>
        <w:t xml:space="preserve">表4-2 </w:t>
      </w:r>
      <w:r>
        <w:rPr>
          <w:rFonts w:hint="eastAsia" w:ascii="仿宋_GB2312" w:eastAsia="仿宋_GB2312"/>
        </w:rPr>
        <w:t>L</w:t>
      </w:r>
      <w:r>
        <w:rPr>
          <w:rFonts w:ascii="仿宋_GB2312" w:eastAsia="仿宋_GB2312"/>
        </w:rPr>
        <w:t>NG接收站近期负荷及电量数据</w:t>
      </w:r>
    </w:p>
    <w:p>
      <w:pPr>
        <w:pStyle w:val="86"/>
        <w:keepLines w:val="0"/>
        <w:numPr>
          <w:ilvl w:val="0"/>
          <w:numId w:val="0"/>
        </w:numPr>
        <w:jc w:val="right"/>
      </w:pPr>
      <w:r>
        <w:rPr>
          <w:rFonts w:hint="eastAsia" w:ascii="仿宋_GB2312" w:eastAsia="仿宋_GB2312"/>
        </w:rPr>
        <w:t>单位：兆瓦、万千瓦时</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0"/>
        <w:gridCol w:w="920"/>
        <w:gridCol w:w="991"/>
        <w:gridCol w:w="878"/>
        <w:gridCol w:w="877"/>
        <w:gridCol w:w="850"/>
        <w:gridCol w:w="850"/>
        <w:gridCol w:w="85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1130"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区域</w:t>
            </w:r>
          </w:p>
        </w:tc>
        <w:tc>
          <w:tcPr>
            <w:tcW w:w="920"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年份</w:t>
            </w:r>
          </w:p>
        </w:tc>
        <w:tc>
          <w:tcPr>
            <w:tcW w:w="991"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2019</w:t>
            </w:r>
          </w:p>
        </w:tc>
        <w:tc>
          <w:tcPr>
            <w:tcW w:w="878" w:type="dxa"/>
            <w:vAlign w:val="center"/>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020</w:t>
            </w:r>
          </w:p>
        </w:tc>
        <w:tc>
          <w:tcPr>
            <w:tcW w:w="877"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202</w:t>
            </w:r>
            <w:r>
              <w:rPr>
                <w:rFonts w:ascii="仿宋_GB2312" w:hAnsi="仿宋" w:eastAsia="仿宋_GB2312"/>
                <w:sz w:val="21"/>
              </w:rPr>
              <w:t>1</w:t>
            </w:r>
          </w:p>
        </w:tc>
        <w:tc>
          <w:tcPr>
            <w:tcW w:w="850" w:type="dxa"/>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022</w:t>
            </w:r>
          </w:p>
        </w:tc>
        <w:tc>
          <w:tcPr>
            <w:tcW w:w="850" w:type="dxa"/>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023</w:t>
            </w:r>
          </w:p>
        </w:tc>
        <w:tc>
          <w:tcPr>
            <w:tcW w:w="850"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202</w:t>
            </w:r>
            <w:r>
              <w:rPr>
                <w:rFonts w:ascii="仿宋_GB2312" w:hAnsi="仿宋" w:eastAsia="仿宋_GB2312"/>
                <w:sz w:val="21"/>
              </w:rPr>
              <w:t>4</w:t>
            </w:r>
          </w:p>
        </w:tc>
        <w:tc>
          <w:tcPr>
            <w:tcW w:w="957"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130" w:type="dxa"/>
            <w:vMerge w:val="restart"/>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L</w:t>
            </w:r>
            <w:r>
              <w:rPr>
                <w:rFonts w:ascii="仿宋_GB2312" w:hAnsi="仿宋" w:eastAsia="仿宋_GB2312"/>
                <w:b w:val="0"/>
                <w:sz w:val="21"/>
              </w:rPr>
              <w:t>NG接收站</w:t>
            </w:r>
          </w:p>
        </w:tc>
        <w:tc>
          <w:tcPr>
            <w:tcW w:w="92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全社会</w:t>
            </w:r>
          </w:p>
          <w:p>
            <w:pPr>
              <w:pStyle w:val="87"/>
              <w:rPr>
                <w:rFonts w:ascii="仿宋_GB2312" w:hAnsi="仿宋" w:eastAsia="仿宋_GB2312"/>
                <w:b w:val="0"/>
                <w:sz w:val="21"/>
              </w:rPr>
            </w:pPr>
            <w:r>
              <w:rPr>
                <w:rFonts w:hint="eastAsia" w:ascii="仿宋_GB2312" w:hAnsi="仿宋" w:eastAsia="仿宋_GB2312"/>
                <w:b w:val="0"/>
                <w:sz w:val="21"/>
              </w:rPr>
              <w:t>最大负荷</w:t>
            </w:r>
          </w:p>
        </w:tc>
        <w:tc>
          <w:tcPr>
            <w:tcW w:w="991"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0</w:t>
            </w:r>
          </w:p>
        </w:tc>
        <w:tc>
          <w:tcPr>
            <w:tcW w:w="878" w:type="dxa"/>
            <w:vAlign w:val="center"/>
          </w:tcPr>
          <w:p>
            <w:pPr>
              <w:pStyle w:val="87"/>
              <w:rPr>
                <w:rFonts w:ascii="仿宋_GB2312" w:hAnsi="仿宋" w:eastAsia="仿宋_GB2312"/>
                <w:b w:val="0"/>
                <w:sz w:val="21"/>
              </w:rPr>
            </w:pPr>
            <w:r>
              <w:rPr>
                <w:rFonts w:hint="eastAsia" w:ascii="仿宋_GB2312" w:hAnsi="仿宋" w:eastAsia="仿宋_GB2312"/>
                <w:b w:val="0"/>
                <w:sz w:val="21"/>
              </w:rPr>
              <w:t>0</w:t>
            </w:r>
          </w:p>
        </w:tc>
        <w:tc>
          <w:tcPr>
            <w:tcW w:w="877"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0.05</w:t>
            </w:r>
          </w:p>
        </w:tc>
        <w:tc>
          <w:tcPr>
            <w:tcW w:w="850" w:type="dxa"/>
            <w:vAlign w:val="center"/>
          </w:tcPr>
          <w:p>
            <w:pPr>
              <w:pStyle w:val="87"/>
              <w:rPr>
                <w:rFonts w:ascii="仿宋_GB2312" w:hAnsi="仿宋" w:eastAsia="仿宋_GB2312"/>
                <w:b w:val="0"/>
                <w:sz w:val="21"/>
              </w:rPr>
            </w:pPr>
            <w:r>
              <w:rPr>
                <w:rFonts w:ascii="仿宋_GB2312" w:hAnsi="仿宋" w:eastAsia="仿宋_GB2312"/>
                <w:b w:val="0"/>
                <w:sz w:val="21"/>
              </w:rPr>
              <w:t>0.08</w:t>
            </w:r>
          </w:p>
        </w:tc>
        <w:tc>
          <w:tcPr>
            <w:tcW w:w="850" w:type="dxa"/>
            <w:vAlign w:val="center"/>
          </w:tcPr>
          <w:p>
            <w:pPr>
              <w:pStyle w:val="87"/>
              <w:rPr>
                <w:rFonts w:ascii="仿宋_GB2312" w:hAnsi="仿宋" w:eastAsia="仿宋_GB2312"/>
                <w:b w:val="0"/>
                <w:sz w:val="21"/>
              </w:rPr>
            </w:pPr>
            <w:r>
              <w:rPr>
                <w:rFonts w:ascii="仿宋_GB2312" w:hAnsi="仿宋" w:eastAsia="仿宋_GB2312"/>
                <w:b w:val="0"/>
                <w:sz w:val="21"/>
              </w:rPr>
              <w:t>2</w:t>
            </w:r>
          </w:p>
        </w:tc>
        <w:tc>
          <w:tcPr>
            <w:tcW w:w="850"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8</w:t>
            </w:r>
          </w:p>
        </w:tc>
        <w:tc>
          <w:tcPr>
            <w:tcW w:w="957"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130" w:type="dxa"/>
            <w:vMerge w:val="continue"/>
            <w:shd w:val="clear" w:color="auto" w:fill="auto"/>
            <w:vAlign w:val="center"/>
          </w:tcPr>
          <w:p>
            <w:pPr>
              <w:pStyle w:val="87"/>
              <w:rPr>
                <w:rFonts w:ascii="仿宋_GB2312" w:hAnsi="仿宋" w:eastAsia="仿宋_GB2312"/>
                <w:b w:val="0"/>
                <w:sz w:val="21"/>
              </w:rPr>
            </w:pPr>
          </w:p>
        </w:tc>
        <w:tc>
          <w:tcPr>
            <w:tcW w:w="92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全社会</w:t>
            </w:r>
          </w:p>
          <w:p>
            <w:pPr>
              <w:pStyle w:val="87"/>
              <w:rPr>
                <w:rFonts w:ascii="仿宋_GB2312" w:hAnsi="仿宋" w:eastAsia="仿宋_GB2312"/>
                <w:b w:val="0"/>
                <w:sz w:val="21"/>
              </w:rPr>
            </w:pPr>
            <w:r>
              <w:rPr>
                <w:rFonts w:hint="eastAsia" w:ascii="仿宋_GB2312" w:hAnsi="仿宋" w:eastAsia="仿宋_GB2312"/>
                <w:b w:val="0"/>
                <w:sz w:val="21"/>
              </w:rPr>
              <w:t>用电量</w:t>
            </w:r>
          </w:p>
        </w:tc>
        <w:tc>
          <w:tcPr>
            <w:tcW w:w="991"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0</w:t>
            </w:r>
          </w:p>
        </w:tc>
        <w:tc>
          <w:tcPr>
            <w:tcW w:w="878" w:type="dxa"/>
            <w:vAlign w:val="center"/>
          </w:tcPr>
          <w:p>
            <w:pPr>
              <w:pStyle w:val="87"/>
              <w:rPr>
                <w:rFonts w:ascii="仿宋_GB2312" w:hAnsi="仿宋" w:eastAsia="仿宋_GB2312"/>
                <w:b w:val="0"/>
                <w:sz w:val="21"/>
              </w:rPr>
            </w:pPr>
            <w:r>
              <w:rPr>
                <w:rFonts w:hint="eastAsia" w:ascii="仿宋_GB2312" w:hAnsi="仿宋" w:eastAsia="仿宋_GB2312"/>
                <w:b w:val="0"/>
                <w:sz w:val="21"/>
              </w:rPr>
              <w:t>0</w:t>
            </w:r>
          </w:p>
        </w:tc>
        <w:tc>
          <w:tcPr>
            <w:tcW w:w="877"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17.5</w:t>
            </w:r>
          </w:p>
        </w:tc>
        <w:tc>
          <w:tcPr>
            <w:tcW w:w="850" w:type="dxa"/>
            <w:vAlign w:val="center"/>
          </w:tcPr>
          <w:p>
            <w:pPr>
              <w:pStyle w:val="87"/>
              <w:rPr>
                <w:rFonts w:ascii="仿宋_GB2312" w:hAnsi="仿宋" w:eastAsia="仿宋_GB2312"/>
                <w:b w:val="0"/>
                <w:sz w:val="21"/>
              </w:rPr>
            </w:pPr>
            <w:r>
              <w:rPr>
                <w:rFonts w:ascii="仿宋_GB2312" w:hAnsi="仿宋" w:eastAsia="仿宋_GB2312"/>
                <w:b w:val="0"/>
                <w:sz w:val="21"/>
              </w:rPr>
              <w:t>28</w:t>
            </w:r>
          </w:p>
        </w:tc>
        <w:tc>
          <w:tcPr>
            <w:tcW w:w="850" w:type="dxa"/>
            <w:vAlign w:val="center"/>
          </w:tcPr>
          <w:p>
            <w:pPr>
              <w:pStyle w:val="87"/>
              <w:rPr>
                <w:rFonts w:ascii="仿宋_GB2312" w:hAnsi="仿宋" w:eastAsia="仿宋_GB2312"/>
                <w:b w:val="0"/>
                <w:sz w:val="21"/>
              </w:rPr>
            </w:pPr>
            <w:r>
              <w:rPr>
                <w:rFonts w:ascii="仿宋_GB2312" w:hAnsi="仿宋" w:eastAsia="仿宋_GB2312"/>
                <w:b w:val="0"/>
                <w:sz w:val="21"/>
              </w:rPr>
              <w:t>700</w:t>
            </w:r>
          </w:p>
        </w:tc>
        <w:tc>
          <w:tcPr>
            <w:tcW w:w="850"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2800</w:t>
            </w:r>
          </w:p>
        </w:tc>
        <w:tc>
          <w:tcPr>
            <w:tcW w:w="957"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5600</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3.负荷预测汇总及电量预测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对上述试点区域负荷及电量预测结果进行汇总。得到试点区域2019年至2025年负荷及电量预测情况如下表所示：</w:t>
      </w:r>
    </w:p>
    <w:p>
      <w:pPr>
        <w:pStyle w:val="86"/>
        <w:keepLines w:val="0"/>
        <w:numPr>
          <w:ilvl w:val="0"/>
          <w:numId w:val="0"/>
        </w:numPr>
        <w:jc w:val="center"/>
        <w:rPr>
          <w:rFonts w:ascii="仿宋_GB2312" w:eastAsia="仿宋_GB2312"/>
        </w:rPr>
      </w:pPr>
      <w:r>
        <w:rPr>
          <w:rFonts w:hint="eastAsia" w:ascii="仿宋_GB2312" w:eastAsia="仿宋_GB2312"/>
        </w:rPr>
        <w:t>表</w:t>
      </w:r>
      <w:r>
        <w:rPr>
          <w:rFonts w:ascii="仿宋_GB2312" w:eastAsia="仿宋_GB2312"/>
        </w:rPr>
        <w:t>4-</w:t>
      </w:r>
      <w:r>
        <w:rPr>
          <w:rFonts w:hint="eastAsia" w:ascii="仿宋_GB2312" w:eastAsia="仿宋_GB2312"/>
          <w:lang w:val="en-US" w:eastAsia="zh-CN"/>
        </w:rPr>
        <w:t>3</w:t>
      </w:r>
      <w:r>
        <w:rPr>
          <w:rFonts w:hint="eastAsia" w:ascii="仿宋_GB2312" w:eastAsia="仿宋_GB2312"/>
        </w:rPr>
        <w:t>试点区域</w:t>
      </w:r>
      <w:r>
        <w:rPr>
          <w:rFonts w:ascii="仿宋_GB2312" w:eastAsia="仿宋_GB2312"/>
        </w:rPr>
        <w:t>电力需求预测结果</w:t>
      </w:r>
    </w:p>
    <w:p>
      <w:pPr>
        <w:pStyle w:val="86"/>
        <w:keepLines w:val="0"/>
        <w:numPr>
          <w:ilvl w:val="0"/>
          <w:numId w:val="0"/>
        </w:numPr>
        <w:jc w:val="right"/>
        <w:rPr>
          <w:rFonts w:ascii="仿宋_GB2312" w:eastAsia="仿宋_GB2312"/>
        </w:rPr>
      </w:pPr>
      <w:r>
        <w:rPr>
          <w:rFonts w:ascii="仿宋_GB2312" w:eastAsia="仿宋_GB2312"/>
        </w:rPr>
        <w:t>单位：</w:t>
      </w:r>
      <w:r>
        <w:rPr>
          <w:rFonts w:hint="eastAsia" w:ascii="仿宋_GB2312" w:eastAsia="仿宋_GB2312"/>
        </w:rPr>
        <w:t>兆</w:t>
      </w:r>
      <w:r>
        <w:rPr>
          <w:rFonts w:ascii="仿宋_GB2312" w:eastAsia="仿宋_GB2312"/>
        </w:rPr>
        <w:t>瓦、亿千瓦时</w:t>
      </w:r>
    </w:p>
    <w:tbl>
      <w:tblPr>
        <w:tblStyle w:val="42"/>
        <w:tblW w:w="7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850"/>
        <w:gridCol w:w="709"/>
        <w:gridCol w:w="852"/>
        <w:gridCol w:w="850"/>
        <w:gridCol w:w="991"/>
        <w:gridCol w:w="1134"/>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846" w:type="dxa"/>
            <w:vMerge w:val="restart"/>
            <w:vAlign w:val="center"/>
          </w:tcPr>
          <w:p>
            <w:pPr>
              <w:pStyle w:val="87"/>
              <w:rPr>
                <w:rFonts w:ascii="仿宋_GB2312" w:hAnsi="仿宋" w:eastAsia="仿宋_GB2312"/>
                <w:sz w:val="21"/>
              </w:rPr>
            </w:pPr>
            <w:r>
              <w:rPr>
                <w:rFonts w:ascii="仿宋_GB2312" w:hAnsi="仿宋" w:eastAsia="仿宋_GB2312"/>
                <w:sz w:val="21"/>
              </w:rPr>
              <w:t>年份</w:t>
            </w:r>
          </w:p>
        </w:tc>
        <w:tc>
          <w:tcPr>
            <w:tcW w:w="850" w:type="dxa"/>
            <w:vMerge w:val="restart"/>
            <w:vAlign w:val="center"/>
          </w:tcPr>
          <w:p>
            <w:pPr>
              <w:pStyle w:val="87"/>
              <w:rPr>
                <w:rFonts w:ascii="仿宋_GB2312" w:hAnsi="仿宋" w:eastAsia="仿宋_GB2312"/>
                <w:sz w:val="21"/>
              </w:rPr>
            </w:pPr>
            <w:r>
              <w:rPr>
                <w:rFonts w:ascii="仿宋_GB2312" w:hAnsi="仿宋" w:eastAsia="仿宋_GB2312"/>
                <w:sz w:val="21"/>
              </w:rPr>
              <w:t>2019</w:t>
            </w:r>
          </w:p>
        </w:tc>
        <w:tc>
          <w:tcPr>
            <w:tcW w:w="709" w:type="dxa"/>
            <w:vMerge w:val="restart"/>
            <w:vAlign w:val="center"/>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020</w:t>
            </w:r>
          </w:p>
        </w:tc>
        <w:tc>
          <w:tcPr>
            <w:tcW w:w="852" w:type="dxa"/>
            <w:vMerge w:val="restart"/>
            <w:vAlign w:val="center"/>
          </w:tcPr>
          <w:p>
            <w:pPr>
              <w:pStyle w:val="87"/>
              <w:rPr>
                <w:rFonts w:ascii="仿宋_GB2312" w:hAnsi="仿宋" w:eastAsia="仿宋_GB2312"/>
                <w:sz w:val="21"/>
              </w:rPr>
            </w:pPr>
            <w:r>
              <w:rPr>
                <w:rFonts w:ascii="仿宋_GB2312" w:hAnsi="仿宋" w:eastAsia="仿宋_GB2312"/>
                <w:sz w:val="21"/>
              </w:rPr>
              <w:t>2021</w:t>
            </w:r>
          </w:p>
        </w:tc>
        <w:tc>
          <w:tcPr>
            <w:tcW w:w="850" w:type="dxa"/>
            <w:vMerge w:val="restart"/>
            <w:vAlign w:val="center"/>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023</w:t>
            </w:r>
          </w:p>
        </w:tc>
        <w:tc>
          <w:tcPr>
            <w:tcW w:w="991" w:type="dxa"/>
            <w:vMerge w:val="restart"/>
            <w:vAlign w:val="center"/>
          </w:tcPr>
          <w:p>
            <w:pPr>
              <w:pStyle w:val="87"/>
              <w:rPr>
                <w:rFonts w:ascii="仿宋_GB2312" w:hAnsi="仿宋" w:eastAsia="仿宋_GB2312"/>
                <w:sz w:val="21"/>
              </w:rPr>
            </w:pPr>
            <w:r>
              <w:rPr>
                <w:rFonts w:ascii="仿宋_GB2312" w:hAnsi="仿宋" w:eastAsia="仿宋_GB2312"/>
                <w:sz w:val="21"/>
              </w:rPr>
              <w:t>2025</w:t>
            </w:r>
          </w:p>
        </w:tc>
        <w:tc>
          <w:tcPr>
            <w:tcW w:w="2212" w:type="dxa"/>
            <w:gridSpan w:val="2"/>
            <w:vAlign w:val="center"/>
          </w:tcPr>
          <w:p>
            <w:pPr>
              <w:pStyle w:val="87"/>
              <w:rPr>
                <w:rFonts w:ascii="仿宋_GB2312" w:hAnsi="仿宋" w:eastAsia="仿宋_GB2312"/>
                <w:sz w:val="21"/>
              </w:rPr>
            </w:pPr>
            <w:r>
              <w:rPr>
                <w:rFonts w:ascii="仿宋_GB2312" w:hAnsi="仿宋" w:eastAsia="仿宋_GB2312"/>
                <w:sz w:val="21"/>
              </w:rPr>
              <w:t>年均增长（%）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846" w:type="dxa"/>
            <w:vMerge w:val="continue"/>
            <w:vAlign w:val="center"/>
          </w:tcPr>
          <w:p>
            <w:pPr>
              <w:pStyle w:val="87"/>
              <w:rPr>
                <w:rFonts w:ascii="仿宋_GB2312" w:hAnsi="仿宋" w:eastAsia="仿宋_GB2312"/>
                <w:sz w:val="21"/>
              </w:rPr>
            </w:pPr>
          </w:p>
        </w:tc>
        <w:tc>
          <w:tcPr>
            <w:tcW w:w="850" w:type="dxa"/>
            <w:vMerge w:val="continue"/>
            <w:vAlign w:val="center"/>
          </w:tcPr>
          <w:p>
            <w:pPr>
              <w:pStyle w:val="87"/>
              <w:rPr>
                <w:rFonts w:ascii="仿宋_GB2312" w:hAnsi="仿宋" w:eastAsia="仿宋_GB2312"/>
                <w:sz w:val="21"/>
              </w:rPr>
            </w:pPr>
          </w:p>
        </w:tc>
        <w:tc>
          <w:tcPr>
            <w:tcW w:w="709" w:type="dxa"/>
            <w:vMerge w:val="continue"/>
            <w:vAlign w:val="center"/>
          </w:tcPr>
          <w:p>
            <w:pPr>
              <w:pStyle w:val="87"/>
              <w:rPr>
                <w:rFonts w:ascii="仿宋_GB2312" w:hAnsi="仿宋" w:eastAsia="仿宋_GB2312"/>
                <w:sz w:val="21"/>
              </w:rPr>
            </w:pPr>
          </w:p>
        </w:tc>
        <w:tc>
          <w:tcPr>
            <w:tcW w:w="852" w:type="dxa"/>
            <w:vMerge w:val="continue"/>
            <w:vAlign w:val="center"/>
          </w:tcPr>
          <w:p>
            <w:pPr>
              <w:pStyle w:val="87"/>
              <w:rPr>
                <w:rFonts w:ascii="仿宋_GB2312" w:hAnsi="仿宋" w:eastAsia="仿宋_GB2312"/>
                <w:sz w:val="21"/>
              </w:rPr>
            </w:pPr>
          </w:p>
        </w:tc>
        <w:tc>
          <w:tcPr>
            <w:tcW w:w="850" w:type="dxa"/>
            <w:vMerge w:val="continue"/>
            <w:vAlign w:val="center"/>
          </w:tcPr>
          <w:p>
            <w:pPr>
              <w:pStyle w:val="87"/>
              <w:rPr>
                <w:rFonts w:ascii="仿宋_GB2312" w:hAnsi="仿宋" w:eastAsia="仿宋_GB2312"/>
                <w:sz w:val="21"/>
              </w:rPr>
            </w:pPr>
          </w:p>
        </w:tc>
        <w:tc>
          <w:tcPr>
            <w:tcW w:w="991" w:type="dxa"/>
            <w:vMerge w:val="continue"/>
            <w:vAlign w:val="center"/>
          </w:tcPr>
          <w:p>
            <w:pPr>
              <w:pStyle w:val="87"/>
              <w:rPr>
                <w:rFonts w:ascii="仿宋_GB2312" w:hAnsi="仿宋" w:eastAsia="仿宋_GB2312"/>
                <w:sz w:val="21"/>
              </w:rPr>
            </w:pPr>
          </w:p>
        </w:tc>
        <w:tc>
          <w:tcPr>
            <w:tcW w:w="1134" w:type="dxa"/>
            <w:vAlign w:val="center"/>
          </w:tcPr>
          <w:p>
            <w:pPr>
              <w:pStyle w:val="87"/>
              <w:rPr>
                <w:rFonts w:ascii="仿宋_GB2312" w:hAnsi="仿宋" w:eastAsia="仿宋_GB2312"/>
                <w:sz w:val="21"/>
              </w:rPr>
            </w:pPr>
            <w:r>
              <w:rPr>
                <w:rFonts w:ascii="仿宋_GB2312" w:hAnsi="仿宋" w:eastAsia="仿宋_GB2312"/>
                <w:sz w:val="21"/>
              </w:rPr>
              <w:t>十三五</w:t>
            </w:r>
          </w:p>
        </w:tc>
        <w:tc>
          <w:tcPr>
            <w:tcW w:w="1078" w:type="dxa"/>
            <w:vAlign w:val="center"/>
          </w:tcPr>
          <w:p>
            <w:pPr>
              <w:pStyle w:val="87"/>
              <w:rPr>
                <w:rFonts w:ascii="仿宋_GB2312" w:hAnsi="仿宋" w:eastAsia="仿宋_GB2312"/>
                <w:sz w:val="21"/>
              </w:rPr>
            </w:pPr>
            <w:r>
              <w:rPr>
                <w:rFonts w:ascii="仿宋_GB2312" w:hAnsi="仿宋" w:eastAsia="仿宋_GB2312"/>
                <w:sz w:val="21"/>
              </w:rPr>
              <w:t>十四五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46" w:type="dxa"/>
            <w:tcBorders>
              <w:bottom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负荷</w:t>
            </w:r>
          </w:p>
        </w:tc>
        <w:tc>
          <w:tcPr>
            <w:tcW w:w="850" w:type="dxa"/>
            <w:tcBorders>
              <w:bottom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2</w:t>
            </w:r>
          </w:p>
        </w:tc>
        <w:tc>
          <w:tcPr>
            <w:tcW w:w="709" w:type="dxa"/>
            <w:tcBorders>
              <w:bottom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2</w:t>
            </w:r>
          </w:p>
        </w:tc>
        <w:tc>
          <w:tcPr>
            <w:tcW w:w="852" w:type="dxa"/>
            <w:tcBorders>
              <w:bottom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.05</w:t>
            </w:r>
          </w:p>
        </w:tc>
        <w:tc>
          <w:tcPr>
            <w:tcW w:w="850" w:type="dxa"/>
            <w:tcBorders>
              <w:bottom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8</w:t>
            </w:r>
          </w:p>
        </w:tc>
        <w:tc>
          <w:tcPr>
            <w:tcW w:w="991" w:type="dxa"/>
            <w:tcBorders>
              <w:bottom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26</w:t>
            </w:r>
          </w:p>
        </w:tc>
        <w:tc>
          <w:tcPr>
            <w:tcW w:w="1134" w:type="dxa"/>
            <w:tcBorders>
              <w:bottom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0</w:t>
            </w:r>
          </w:p>
        </w:tc>
        <w:tc>
          <w:tcPr>
            <w:tcW w:w="1078" w:type="dxa"/>
            <w:tcBorders>
              <w:bottom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88.71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电量</w:t>
            </w:r>
          </w:p>
        </w:tc>
        <w:tc>
          <w:tcPr>
            <w:tcW w:w="850"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0.07</w:t>
            </w:r>
          </w:p>
        </w:tc>
        <w:tc>
          <w:tcPr>
            <w:tcW w:w="709"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0</w:t>
            </w:r>
            <w:r>
              <w:rPr>
                <w:rFonts w:ascii="仿宋_GB2312" w:hAnsi="仿宋" w:eastAsia="仿宋_GB2312"/>
                <w:b w:val="0"/>
                <w:sz w:val="21"/>
              </w:rPr>
              <w:t>.07</w:t>
            </w:r>
          </w:p>
        </w:tc>
        <w:tc>
          <w:tcPr>
            <w:tcW w:w="852"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0.07</w:t>
            </w:r>
            <w:r>
              <w:rPr>
                <w:rFonts w:ascii="仿宋_GB2312" w:hAnsi="仿宋" w:eastAsia="仿宋_GB2312"/>
                <w:b w:val="0"/>
                <w:sz w:val="21"/>
              </w:rPr>
              <w:t>2</w:t>
            </w:r>
          </w:p>
        </w:tc>
        <w:tc>
          <w:tcPr>
            <w:tcW w:w="850"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0.34</w:t>
            </w:r>
          </w:p>
        </w:tc>
        <w:tc>
          <w:tcPr>
            <w:tcW w:w="991"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0.99</w:t>
            </w:r>
          </w:p>
        </w:tc>
        <w:tc>
          <w:tcPr>
            <w:tcW w:w="1134"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hint="eastAsia" w:ascii="仿宋_GB2312" w:hAnsi="仿宋" w:eastAsia="仿宋_GB2312"/>
                <w:b w:val="0"/>
                <w:sz w:val="21"/>
              </w:rPr>
              <w:t>0</w:t>
            </w:r>
          </w:p>
        </w:tc>
        <w:tc>
          <w:tcPr>
            <w:tcW w:w="1078" w:type="dxa"/>
            <w:tcBorders>
              <w:top w:val="single" w:color="auto" w:sz="4" w:space="0"/>
              <w:left w:val="single" w:color="auto" w:sz="4" w:space="0"/>
              <w:bottom w:val="single" w:color="auto" w:sz="4" w:space="0"/>
              <w:right w:val="single" w:color="auto" w:sz="4" w:space="0"/>
            </w:tcBorders>
            <w:vAlign w:val="center"/>
          </w:tcPr>
          <w:p>
            <w:pPr>
              <w:pStyle w:val="87"/>
              <w:rPr>
                <w:rFonts w:ascii="仿宋_GB2312" w:hAnsi="仿宋" w:eastAsia="仿宋_GB2312"/>
                <w:b w:val="0"/>
                <w:sz w:val="21"/>
              </w:rPr>
            </w:pPr>
            <w:r>
              <w:rPr>
                <w:rFonts w:ascii="仿宋_GB2312" w:hAnsi="仿宋" w:eastAsia="仿宋_GB2312"/>
                <w:b w:val="0"/>
                <w:sz w:val="21"/>
              </w:rPr>
              <w:t>92.1</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至2020年，预测负荷约为2兆瓦，年用电量0.07亿千瓦时；至2025年，预测负荷约为26兆瓦，年用电量0.99亿万千瓦时。</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在节能环保的当下，国家大力提倡LNG冷能利用。LNG单独用作发电，发电效率远远不如煤电和核电。因此，需依靠高效的三联供系统提高天然气的整体利用效率。电冷热三联供系统是遵循“温度对口，梯级利用”原理，这种能量利用方式将不同温位的能量用于最合适的用户，能极大的提高能源的利用率。同时，三联供系统的利用可有效降低污染物的排放、促进环境可持续发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目前中国海洋石油有限公司利用LNG冷能建成的空分产品液化工厂，通过利用LNG气化过程中释放的冷能降低液态空分产品过程中的电力成本，实现用电量减少30%～50%左右，节水70%，大大降低了公司的生产成本。</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试点区域LNG接收站总接卸量为1000万吨/年。年用电量预计为10150万千瓦时。如果冷能能够得到充分利用，用电量预计将减少3045万千瓦时～5025万千瓦时。余能得到充分利用，有效节约公司成本。</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7" w:name="_Toc29469594"/>
      <w:r>
        <w:rPr>
          <w:rFonts w:hint="eastAsia" w:ascii="楷体_GB2312" w:hAnsi="楷体_GB2312" w:eastAsia="楷体_GB2312" w:cs="楷体_GB2312"/>
          <w:kern w:val="0"/>
          <w:sz w:val="32"/>
          <w:szCs w:val="32"/>
        </w:rPr>
        <w:t>（三）周边区域电力电量需求预测</w:t>
      </w:r>
      <w:bookmarkEnd w:id="377"/>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由于试点区域内现状无35千伏及以上变电站，现状区内的供电均来自区外，试点区域周边为六横区域的台门片区和峧头片区。试点区域周边远景将考虑新建一座220千伏横南变；新建4座110千伏变电站，分别为：横北变、夏家变、双塘变、杜庄变。满足试点区域周边供电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78" w:name="_Toc29469595"/>
      <w:r>
        <w:rPr>
          <w:rFonts w:hint="eastAsia" w:ascii="楷体_GB2312" w:hAnsi="楷体_GB2312" w:eastAsia="楷体_GB2312" w:cs="楷体_GB2312"/>
          <w:kern w:val="0"/>
          <w:sz w:val="32"/>
          <w:szCs w:val="32"/>
        </w:rPr>
        <w:t>（四）区域电源（含分布式电源）增长预测</w:t>
      </w:r>
      <w:bookmarkEnd w:id="37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试点区域现状无分布式电源，通过对试点区域围垦进度、入驻用户、产业类型的分析，对区域内分布式电源接入的容量进行预测。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根据试点区域面积及用户建筑物屋顶可建设光伏发电的实际情况，按照适合光伏安装的屋顶面积占建设面积15%、光伏版型按多晶8平方/千瓦计算，预计试点区域内远景屋顶光伏可装机容量最大可达到219兆瓦，按照10%的装机规模考虑，预计2035年装机容量为21.9兆瓦。</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379" w:name="_Toc29469596"/>
      <w:r>
        <w:rPr>
          <w:rFonts w:hint="eastAsia" w:ascii="Times New Roman" w:hAnsi="Times New Roman" w:eastAsia="黑体" w:cs="Times New Roman"/>
          <w:sz w:val="32"/>
          <w:szCs w:val="32"/>
          <w:lang w:val="en-US" w:eastAsia="zh-CN"/>
        </w:rPr>
        <w:t>五、总体要求</w:t>
      </w:r>
      <w:bookmarkEnd w:id="379"/>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80" w:name="_Toc29469597"/>
      <w:r>
        <w:rPr>
          <w:rFonts w:hint="eastAsia" w:ascii="楷体_GB2312" w:hAnsi="楷体_GB2312" w:eastAsia="楷体_GB2312" w:cs="楷体_GB2312"/>
          <w:kern w:val="0"/>
          <w:sz w:val="32"/>
          <w:szCs w:val="32"/>
        </w:rPr>
        <w:t>（一）指导思想</w:t>
      </w:r>
      <w:bookmarkEnd w:id="380"/>
    </w:p>
    <w:p>
      <w:pPr>
        <w:pStyle w:val="481"/>
        <w:keepNext w:val="0"/>
        <w:keepLines w:val="0"/>
        <w:pageBreakBefore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eastAsia="仿宋_GB2312" w:cs="Times New Roman"/>
          <w:color w:val="auto"/>
          <w:sz w:val="32"/>
          <w:szCs w:val="32"/>
        </w:rPr>
      </w:pPr>
      <w:bookmarkStart w:id="381" w:name="_Toc29469598"/>
      <w:r>
        <w:rPr>
          <w:rFonts w:hint="default" w:ascii="Times New Roman" w:hAnsi="Times New Roman" w:eastAsia="仿宋_GB2312" w:cs="Times New Roman"/>
          <w:color w:val="auto"/>
          <w:sz w:val="32"/>
          <w:szCs w:val="32"/>
        </w:rPr>
        <w:t>落实《中共中央国务院关于进一步深化电力体制改革的若干意见》(中发〔2015〕9号)，鼓励社会资本有序投资运营增量配电网，以区域发展规划为基础，以满足客户需求为导向，远近结合、适度超前，促进配电网建设发展，提高配电网运营效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切实</w:t>
      </w:r>
      <w:r>
        <w:rPr>
          <w:rFonts w:hint="default" w:ascii="Times New Roman" w:hAnsi="Times New Roman" w:eastAsia="仿宋_GB2312" w:cs="Times New Roman"/>
          <w:color w:val="auto"/>
          <w:sz w:val="32"/>
          <w:szCs w:val="32"/>
        </w:rPr>
        <w:t>履行安全可靠供电、保底供电和社会普遍服务等义务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保证项目建设质量和运行安全符合电网建设、运行、维护等国家和行业标准，确保电力供应安全可靠。</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w:t>
      </w:r>
      <w:bookmarkEnd w:id="381"/>
      <w:bookmarkStart w:id="382" w:name="_Toc29469599"/>
      <w:r>
        <w:rPr>
          <w:rFonts w:hint="eastAsia" w:ascii="楷体_GB2312" w:hAnsi="楷体_GB2312" w:eastAsia="楷体_GB2312" w:cs="楷体_GB2312"/>
          <w:kern w:val="0"/>
          <w:sz w:val="32"/>
          <w:szCs w:val="32"/>
        </w:rPr>
        <w:t>发展目标</w:t>
      </w:r>
      <w:bookmarkEnd w:id="382"/>
    </w:p>
    <w:p>
      <w:pPr>
        <w:pStyle w:val="481"/>
        <w:keepNext w:val="0"/>
        <w:keepLines w:val="0"/>
        <w:pageBreakBefore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根据试点区域负荷预测结果，参考</w:t>
      </w:r>
      <w:bookmarkStart w:id="383" w:name="_Hlk27038252"/>
      <w:r>
        <w:rPr>
          <w:rFonts w:hint="default" w:ascii="Times New Roman" w:hAnsi="Times New Roman" w:eastAsia="仿宋_GB2312" w:cs="Times New Roman"/>
          <w:color w:val="auto"/>
          <w:sz w:val="32"/>
          <w:szCs w:val="32"/>
        </w:rPr>
        <w:t>《配电网规划设计技术导则》（DL/T 5729-2016）</w:t>
      </w:r>
      <w:bookmarkEnd w:id="383"/>
      <w:r>
        <w:rPr>
          <w:rFonts w:hint="default" w:ascii="Times New Roman" w:hAnsi="Times New Roman" w:eastAsia="仿宋_GB2312" w:cs="Times New Roman"/>
          <w:color w:val="auto"/>
          <w:sz w:val="32"/>
          <w:szCs w:val="32"/>
        </w:rPr>
        <w:t>及试点区域发展定位，试点区域定位为B类供电区。</w:t>
      </w:r>
      <w:r>
        <w:rPr>
          <w:rFonts w:hint="default" w:ascii="Times New Roman" w:hAnsi="Times New Roman" w:eastAsia="仿宋_GB2312" w:cs="Times New Roman"/>
          <w:sz w:val="32"/>
          <w:szCs w:val="32"/>
        </w:rPr>
        <w:t>结合本地区的电网建设及社会经济发展的实际，</w:t>
      </w:r>
      <w:r>
        <w:rPr>
          <w:rFonts w:hint="eastAsia" w:ascii="Times New Roman" w:hAnsi="Times New Roman" w:eastAsia="仿宋_GB2312" w:cs="Times New Roman"/>
          <w:sz w:val="32"/>
          <w:szCs w:val="32"/>
          <w:lang w:val="en-US" w:eastAsia="zh-CN"/>
        </w:rPr>
        <w:t>增量配电网</w:t>
      </w:r>
      <w:r>
        <w:rPr>
          <w:rFonts w:hint="default" w:ascii="Times New Roman" w:hAnsi="Times New Roman" w:eastAsia="仿宋_GB2312" w:cs="Times New Roman"/>
          <w:sz w:val="32"/>
          <w:szCs w:val="32"/>
        </w:rPr>
        <w:t>规划目标如下：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w:t>
      </w:r>
      <w:r>
        <w:rPr>
          <w:rFonts w:hint="eastAsia" w:asci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供电可靠率：试点区域供电可靠率＞99.965%，户均年停电时间不高于3小时。</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w:t>
      </w:r>
      <w:r>
        <w:rPr>
          <w:rFonts w:hint="eastAsia" w:asci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电压合格率：试点区域综合电压合格率达到99.95%。</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color w:val="auto"/>
          <w:kern w:val="2"/>
          <w:sz w:val="32"/>
          <w:szCs w:val="32"/>
          <w:lang w:val="en-US" w:eastAsia="zh-CN" w:bidi="ar-SA"/>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384" w:name="_Toc29469600"/>
      <w:r>
        <w:rPr>
          <w:rFonts w:hint="eastAsia" w:ascii="Times New Roman" w:hAnsi="Times New Roman" w:eastAsia="黑体" w:cs="Times New Roman"/>
          <w:sz w:val="32"/>
          <w:szCs w:val="32"/>
          <w:lang w:val="en-US" w:eastAsia="zh-CN"/>
        </w:rPr>
        <w:t>六、区域网架建设规划</w:t>
      </w:r>
      <w:bookmarkEnd w:id="38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85" w:name="_Toc29469601"/>
      <w:r>
        <w:rPr>
          <w:rFonts w:hint="eastAsia" w:ascii="楷体_GB2312" w:hAnsi="楷体_GB2312" w:eastAsia="楷体_GB2312" w:cs="楷体_GB2312"/>
          <w:kern w:val="0"/>
          <w:sz w:val="32"/>
          <w:szCs w:val="32"/>
        </w:rPr>
        <w:t>（一）规划技术原则</w:t>
      </w:r>
      <w:bookmarkEnd w:id="385"/>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386" w:name="_Toc253744207"/>
      <w:bookmarkStart w:id="387" w:name="_Toc306766321"/>
      <w:bookmarkStart w:id="388" w:name="_Toc306780113"/>
      <w:bookmarkStart w:id="389" w:name="_Toc307054077"/>
      <w:bookmarkStart w:id="390" w:name="_Toc306956262"/>
      <w:bookmarkStart w:id="391" w:name="_Toc352610586"/>
      <w:bookmarkStart w:id="392" w:name="_Toc253594798"/>
      <w:bookmarkStart w:id="393" w:name="_Toc387618981"/>
      <w:bookmarkStart w:id="394" w:name="_Toc253585228"/>
      <w:bookmarkStart w:id="395" w:name="_Toc352071885"/>
      <w:bookmarkStart w:id="396" w:name="_Toc219977917"/>
      <w:r>
        <w:rPr>
          <w:rFonts w:hint="eastAsia" w:ascii="Times New Roman" w:eastAsia="仿宋_GB2312" w:cs="Times New Roman"/>
          <w:kern w:val="0"/>
          <w:sz w:val="32"/>
          <w:szCs w:val="32"/>
          <w:lang w:val="en-US" w:eastAsia="zh-CN"/>
        </w:rPr>
        <w:t>1.总体原则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（1）容载比</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容载比是配电网规划的重要宏观性指标，合理的容载比与网架结构相结合，可确保故障时负荷的有序转移，保障供电可靠性，满足负荷增长需求。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考虑规划区发展的特点，负荷增长快速期可取较高容载比，通过加强和改善网络结构，在满足用电需求、可靠性要求的前提下逐步降低容载比，提高电网的经济效益。</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根据规划区域的经济增长和社会发展的不同阶段，对应的配电网负荷增长速度可分为较慢、中等、较快三种情况，相应电压等级配电网的容载比如表6-1所示，总体宜控制在1.8～2.2范围之间。</w:t>
      </w:r>
    </w:p>
    <w:p>
      <w:pPr>
        <w:pStyle w:val="86"/>
        <w:keepLines w:val="0"/>
        <w:numPr>
          <w:ilvl w:val="0"/>
          <w:numId w:val="0"/>
        </w:numPr>
        <w:jc w:val="center"/>
        <w:rPr>
          <w:rFonts w:ascii="仿宋_GB2312" w:eastAsia="仿宋_GB2312"/>
        </w:rPr>
      </w:pPr>
      <w:r>
        <w:rPr>
          <w:rFonts w:ascii="仿宋_GB2312" w:eastAsia="仿宋_GB2312"/>
        </w:rPr>
        <w:t>表6-1  110</w:t>
      </w:r>
      <w:r>
        <w:rPr>
          <w:rFonts w:hint="eastAsia" w:ascii="仿宋_GB2312" w:eastAsia="仿宋_GB2312"/>
        </w:rPr>
        <w:t>千伏</w:t>
      </w:r>
      <w:r>
        <w:rPr>
          <w:rFonts w:ascii="仿宋_GB2312" w:eastAsia="仿宋_GB2312"/>
        </w:rPr>
        <w:t>电网容载比选择范围</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5"/>
        <w:gridCol w:w="1553"/>
        <w:gridCol w:w="2385"/>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405"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负荷增长情况</w:t>
            </w:r>
          </w:p>
        </w:tc>
        <w:tc>
          <w:tcPr>
            <w:tcW w:w="155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较慢增长</w:t>
            </w:r>
          </w:p>
        </w:tc>
        <w:tc>
          <w:tcPr>
            <w:tcW w:w="2385"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中等增长</w:t>
            </w:r>
          </w:p>
        </w:tc>
        <w:tc>
          <w:tcPr>
            <w:tcW w:w="1960"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较快增长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405"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年负荷平均增长率KP</w:t>
            </w:r>
          </w:p>
        </w:tc>
        <w:tc>
          <w:tcPr>
            <w:tcW w:w="155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KP≤7%</w:t>
            </w:r>
          </w:p>
        </w:tc>
        <w:tc>
          <w:tcPr>
            <w:tcW w:w="2385"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7%＜KP≤12%</w:t>
            </w:r>
          </w:p>
        </w:tc>
        <w:tc>
          <w:tcPr>
            <w:tcW w:w="1960"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KP＞12%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405"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110</w:t>
            </w:r>
            <w:r>
              <w:rPr>
                <w:rFonts w:hint="eastAsia" w:ascii="仿宋_GB2312" w:eastAsia="仿宋_GB2312"/>
                <w:kern w:val="0"/>
                <w:sz w:val="21"/>
                <w:szCs w:val="21"/>
              </w:rPr>
              <w:t>千伏</w:t>
            </w:r>
            <w:r>
              <w:rPr>
                <w:rFonts w:ascii="仿宋_GB2312" w:eastAsia="仿宋_GB2312"/>
                <w:kern w:val="0"/>
                <w:sz w:val="21"/>
                <w:szCs w:val="21"/>
              </w:rPr>
              <w:t>容载比(建议值)</w:t>
            </w:r>
          </w:p>
        </w:tc>
        <w:tc>
          <w:tcPr>
            <w:tcW w:w="155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1.8～2.0</w:t>
            </w:r>
          </w:p>
        </w:tc>
        <w:tc>
          <w:tcPr>
            <w:tcW w:w="2385"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1.9～2.1</w:t>
            </w:r>
          </w:p>
        </w:tc>
        <w:tc>
          <w:tcPr>
            <w:tcW w:w="1960"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2.0～2.2</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（2）电网结构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合理的电网结构是满足供电可靠性、提高运行灵活性、降低网络损耗的基础。高压、中压和低压配电网三个层级应相互匹配、强简有序、相互支援，以实现配电网技术经济的整体最优。规划区的配电网结构应满足以下基本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1）正常运行时，各变电站应有相互独立的供电区域，供电区不交叉、不重叠，故障或检修时，变电站之间应有一定比例的负荷转供能力。</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2）在同一供电区域内，变电站中压出线长度及所带负荷宜均衡，应有合理的分段和联络；故障或检修时，中压线路应具有转供非停运段负荷的能力。</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3）接入一定容量的分布式电源时，应合理选择接入点，控制短路电流及电压水平。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4）高可靠性的配电网结构应具备网络重构能力，便于实现故障自动隔离。</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2.110千伏电网规划技术导则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（1）电网结构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规划区110千伏电网目标电网结构推荐表如表6-2所示。</w:t>
      </w:r>
    </w:p>
    <w:p>
      <w:pPr>
        <w:pStyle w:val="86"/>
        <w:keepLines w:val="0"/>
        <w:numPr>
          <w:ilvl w:val="0"/>
          <w:numId w:val="0"/>
        </w:numPr>
        <w:jc w:val="center"/>
        <w:rPr>
          <w:rFonts w:ascii="仿宋_GB2312" w:eastAsia="仿宋_GB2312"/>
        </w:rPr>
      </w:pPr>
      <w:r>
        <w:rPr>
          <w:rFonts w:ascii="仿宋_GB2312" w:eastAsia="仿宋_GB2312"/>
        </w:rPr>
        <w:t>表6-2  规划区110</w:t>
      </w:r>
      <w:r>
        <w:rPr>
          <w:rFonts w:hint="eastAsia" w:ascii="仿宋_GB2312" w:eastAsia="仿宋_GB2312"/>
        </w:rPr>
        <w:t>千伏</w:t>
      </w:r>
      <w:r>
        <w:rPr>
          <w:rFonts w:ascii="仿宋_GB2312" w:eastAsia="仿宋_GB2312"/>
        </w:rPr>
        <w:t>电网目标电网结构推荐表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1"/>
        <w:gridCol w:w="1083"/>
        <w:gridCol w:w="1079"/>
        <w:gridCol w:w="1084"/>
        <w:gridCol w:w="1083"/>
        <w:gridCol w:w="1083"/>
        <w:gridCol w:w="918"/>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051" w:type="dxa"/>
            <w:vMerge w:val="restart"/>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电压等级</w:t>
            </w:r>
          </w:p>
        </w:tc>
        <w:tc>
          <w:tcPr>
            <w:tcW w:w="3246" w:type="dxa"/>
            <w:gridSpan w:val="3"/>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链式</w:t>
            </w:r>
          </w:p>
        </w:tc>
        <w:tc>
          <w:tcPr>
            <w:tcW w:w="2166" w:type="dxa"/>
            <w:gridSpan w:val="2"/>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环网</w:t>
            </w:r>
          </w:p>
        </w:tc>
        <w:tc>
          <w:tcPr>
            <w:tcW w:w="1840" w:type="dxa"/>
            <w:gridSpan w:val="2"/>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051" w:type="dxa"/>
            <w:vMerge w:val="continue"/>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p>
        </w:tc>
        <w:tc>
          <w:tcPr>
            <w:tcW w:w="108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三链</w:t>
            </w:r>
          </w:p>
        </w:tc>
        <w:tc>
          <w:tcPr>
            <w:tcW w:w="1079"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双链</w:t>
            </w:r>
          </w:p>
        </w:tc>
        <w:tc>
          <w:tcPr>
            <w:tcW w:w="1084"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单链</w:t>
            </w:r>
          </w:p>
        </w:tc>
        <w:tc>
          <w:tcPr>
            <w:tcW w:w="108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双环网</w:t>
            </w:r>
          </w:p>
        </w:tc>
        <w:tc>
          <w:tcPr>
            <w:tcW w:w="108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单环网</w:t>
            </w:r>
          </w:p>
        </w:tc>
        <w:tc>
          <w:tcPr>
            <w:tcW w:w="918"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双辐射</w:t>
            </w:r>
          </w:p>
        </w:tc>
        <w:tc>
          <w:tcPr>
            <w:tcW w:w="922"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单辐射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05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110</w:t>
            </w:r>
            <w:r>
              <w:rPr>
                <w:rFonts w:hint="eastAsia" w:ascii="仿宋_GB2312" w:eastAsia="仿宋_GB2312"/>
                <w:kern w:val="0"/>
                <w:sz w:val="21"/>
                <w:szCs w:val="21"/>
              </w:rPr>
              <w:t>千伏</w:t>
            </w:r>
          </w:p>
        </w:tc>
        <w:tc>
          <w:tcPr>
            <w:tcW w:w="108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w:t>
            </w:r>
          </w:p>
        </w:tc>
        <w:tc>
          <w:tcPr>
            <w:tcW w:w="1079"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w:t>
            </w:r>
          </w:p>
        </w:tc>
        <w:tc>
          <w:tcPr>
            <w:tcW w:w="1084"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w:t>
            </w:r>
          </w:p>
        </w:tc>
        <w:tc>
          <w:tcPr>
            <w:tcW w:w="108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w:t>
            </w:r>
          </w:p>
        </w:tc>
        <w:tc>
          <w:tcPr>
            <w:tcW w:w="108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p>
        </w:tc>
        <w:tc>
          <w:tcPr>
            <w:tcW w:w="918"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w:t>
            </w:r>
          </w:p>
        </w:tc>
        <w:tc>
          <w:tcPr>
            <w:tcW w:w="922"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规划区110千伏变电站宜采用双侧电源供电，条件不具备或电网发展的过渡阶段，也可同杆架设双电源供电，但应加强中压配电网的联络。考虑规划区电网实际情况，规划区110千伏电网推荐采用双辐射结构。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bookmarkEnd w:id="386"/>
    <w:bookmarkEnd w:id="387"/>
    <w:bookmarkEnd w:id="388"/>
    <w:bookmarkEnd w:id="389"/>
    <w:bookmarkEnd w:id="390"/>
    <w:bookmarkEnd w:id="391"/>
    <w:bookmarkEnd w:id="392"/>
    <w:bookmarkEnd w:id="393"/>
    <w:bookmarkEnd w:id="394"/>
    <w:bookmarkEnd w:id="395"/>
    <w:bookmarkEnd w:id="396"/>
    <w:p>
      <w:pPr>
        <w:ind w:firstLine="480"/>
        <w:jc w:val="center"/>
      </w:pPr>
      <w:r>
        <w:drawing>
          <wp:inline distT="0" distB="0" distL="0" distR="0">
            <wp:extent cx="2827655" cy="160274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2835145" cy="1606990"/>
                    </a:xfrm>
                    <a:prstGeom prst="rect">
                      <a:avLst/>
                    </a:prstGeom>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图6-</w:t>
      </w:r>
      <w:r>
        <w:rPr>
          <w:rFonts w:ascii="仿宋_GB2312" w:hAnsi="黑体" w:eastAsia="仿宋_GB2312"/>
          <w:sz w:val="24"/>
          <w:szCs w:val="24"/>
        </w:rPr>
        <w:t>1</w:t>
      </w:r>
      <w:r>
        <w:rPr>
          <w:rFonts w:hint="eastAsia" w:ascii="仿宋_GB2312" w:hAnsi="黑体" w:eastAsia="仿宋_GB2312"/>
          <w:sz w:val="24"/>
          <w:szCs w:val="24"/>
        </w:rPr>
        <w:t>双辐射结构示意图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应综合考虑负荷密度、空间资源条件，以及上下级电网的协调和整体经济性等因素，确定变电站的供电范围以及主变压器的容量序列。同一规划区域中，相同电压等级的主变压器单台容量规格不宜超过3种，同一变电站的主变压器宜统一规格。</w:t>
      </w:r>
    </w:p>
    <w:p>
      <w:pPr>
        <w:pStyle w:val="86"/>
        <w:keepLines w:val="0"/>
        <w:numPr>
          <w:ilvl w:val="0"/>
          <w:numId w:val="0"/>
        </w:numPr>
        <w:jc w:val="center"/>
        <w:rPr>
          <w:rFonts w:ascii="仿宋_GB2312" w:eastAsia="仿宋_GB2312"/>
        </w:rPr>
      </w:pPr>
      <w:r>
        <w:rPr>
          <w:rFonts w:ascii="仿宋_GB2312" w:eastAsia="仿宋_GB2312"/>
        </w:rPr>
        <w:t>表6-3  规划区变电站最终容量配置推荐表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7"/>
        <w:gridCol w:w="2077"/>
        <w:gridCol w:w="2077"/>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077"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电压等级</w:t>
            </w:r>
          </w:p>
        </w:tc>
        <w:tc>
          <w:tcPr>
            <w:tcW w:w="2077" w:type="dxa"/>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供电区域类型</w:t>
            </w:r>
          </w:p>
        </w:tc>
        <w:tc>
          <w:tcPr>
            <w:tcW w:w="2077"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台数(台)</w:t>
            </w:r>
          </w:p>
        </w:tc>
        <w:tc>
          <w:tcPr>
            <w:tcW w:w="2072"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单台容量(MVA)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077"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110</w:t>
            </w:r>
            <w:r>
              <w:rPr>
                <w:rFonts w:hint="eastAsia" w:ascii="仿宋_GB2312" w:eastAsia="仿宋_GB2312"/>
                <w:kern w:val="0"/>
                <w:sz w:val="21"/>
                <w:szCs w:val="21"/>
              </w:rPr>
              <w:t>千伏</w:t>
            </w:r>
          </w:p>
        </w:tc>
        <w:tc>
          <w:tcPr>
            <w:tcW w:w="2077" w:type="dxa"/>
          </w:tcPr>
          <w:p>
            <w:pPr>
              <w:widowControl/>
              <w:adjustRightInd/>
              <w:spacing w:line="240" w:lineRule="auto"/>
              <w:ind w:firstLine="0" w:firstLineChars="0"/>
              <w:jc w:val="center"/>
              <w:rPr>
                <w:rFonts w:ascii="仿宋_GB2312" w:eastAsia="仿宋_GB2312"/>
                <w:kern w:val="0"/>
                <w:sz w:val="21"/>
                <w:szCs w:val="21"/>
              </w:rPr>
            </w:pPr>
            <w:r>
              <w:rPr>
                <w:rFonts w:hint="eastAsia" w:ascii="仿宋_GB2312" w:eastAsia="仿宋_GB2312"/>
                <w:kern w:val="0"/>
                <w:sz w:val="21"/>
                <w:szCs w:val="21"/>
              </w:rPr>
              <w:t>B类</w:t>
            </w:r>
          </w:p>
        </w:tc>
        <w:tc>
          <w:tcPr>
            <w:tcW w:w="2077"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2～3</w:t>
            </w:r>
          </w:p>
        </w:tc>
        <w:tc>
          <w:tcPr>
            <w:tcW w:w="2072"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63、50、40</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2）应根据负荷的空间分布及其发展阶段，合理安排供电区域内变电站建设时序。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变电站内主变台数最终规模不宜超过4台。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变电站的布置应因地制宜、紧凑合理，尽可能节约用地。原则上，规划区可采用全户内或半户外站，根据情况可考虑采用紧凑型变电站，如有必要也可考虑与其它建设物混合建设，或建设半地下、地下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4）应明确变电站供电范围，随着负荷的增长和新变电站站址的确定，应及时调整相关变电站的供电范围。</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5）变压器宜采用有载调压方式。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6）变压器并列运行时其参数应满足相关技术要求。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1）110千伏线路导线截面的选取应符合下述要求：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A.线路导线截面宜综合饱和负荷状况、线路全寿命周期选定。</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B.线路导线截面应与电网结构、变压器容量和台数相匹配。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C.线路导线截面应按照安全电流裕度选取，并以经济载荷范围校核。</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2）110千伏架空线路截面不宜小于240平方毫米。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3）110千伏线路导线截面选取宜适当留有裕度，以避免频繁更换导线。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4）110千伏架空线路导线宜采用钢芯铝绞线，沿海及有腐蚀性地区可选用防腐型导线。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5）110千伏电缆线路宜选用交联聚乙烯绝缘铜芯电缆，载流量应与架空线路相匹配。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3.中压电网规划技术原则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（1）电网结构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规划区中压配电网目标电网结构推荐表如表6-4所示。</w:t>
      </w:r>
    </w:p>
    <w:p>
      <w:pPr>
        <w:pStyle w:val="86"/>
        <w:keepLines w:val="0"/>
        <w:numPr>
          <w:ilvl w:val="0"/>
          <w:numId w:val="0"/>
        </w:numPr>
        <w:jc w:val="center"/>
        <w:rPr>
          <w:rFonts w:ascii="仿宋_GB2312" w:eastAsia="仿宋_GB2312"/>
        </w:rPr>
      </w:pPr>
      <w:r>
        <w:rPr>
          <w:rFonts w:ascii="仿宋_GB2312" w:eastAsia="仿宋_GB2312"/>
        </w:rPr>
        <w:t>表6-4  中压配电网目标电网结构推荐表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1"/>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架空网</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电缆网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多分段适度联络</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hint="eastAsia" w:ascii="仿宋_GB2312" w:eastAsia="仿宋_GB2312"/>
                <w:kern w:val="0"/>
                <w:sz w:val="21"/>
                <w:szCs w:val="21"/>
              </w:rPr>
              <w:t>双</w:t>
            </w:r>
            <w:r>
              <w:rPr>
                <w:rFonts w:ascii="仿宋_GB2312" w:eastAsia="仿宋_GB2312"/>
                <w:kern w:val="0"/>
                <w:sz w:val="21"/>
                <w:szCs w:val="21"/>
              </w:rPr>
              <w:t>环式</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中压配电网应根据变电站位置、负荷密度和运行管理的需要，分成若干个相对独立的供电区。分区应有大致明确的供电范围，正常运行时一般不交叉、不重叠，分区的供电范围应随新增加的变电站及负荷的增长而进行调整。</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2）对于供电可靠性要求较高的区域，还应加强中压主干线路之间的联络，在分区之间构建负荷转移通道。</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3）中压架空线路主干线应根据线路长度和负荷分布情况进行分段(一般不超过5段)，并装设分段开关，重要分支线路首端亦可安装分段开关。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4）中压电缆线路一般可采用环网结构，环网单元通过环进环出方式接入主干网。</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5）双射式、对射式可作为辐射状向单环式、双环式过渡的电网结构，适用于配电网的发展初期及过渡期。</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6）应根据城乡规划和电网规划，预留目标网架的廊道，以满足配电网发展的需要。</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规划区中压架空线路推荐典型接线模式如下图6-2所示：</w:t>
      </w:r>
    </w:p>
    <w:p>
      <w:pPr>
        <w:keepNext/>
        <w:snapToGrid w:val="0"/>
        <w:spacing w:line="240" w:lineRule="auto"/>
        <w:ind w:firstLine="0" w:firstLineChars="0"/>
        <w:jc w:val="center"/>
      </w:pPr>
      <w:r>
        <w:rPr>
          <w:sz w:val="20"/>
        </w:rPr>
        <w:drawing>
          <wp:inline distT="0" distB="0" distL="0" distR="0">
            <wp:extent cx="5274945" cy="198120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945" cy="1981200"/>
                    </a:xfrm>
                    <a:prstGeom prst="rect">
                      <a:avLst/>
                    </a:prstGeom>
                    <a:noFill/>
                    <a:ln>
                      <a:noFill/>
                    </a:ln>
                  </pic:spPr>
                </pic:pic>
              </a:graphicData>
            </a:graphic>
          </wp:inline>
        </w:drawing>
      </w:r>
    </w:p>
    <w:p>
      <w:pPr>
        <w:pStyle w:val="94"/>
        <w:keepLines w:val="0"/>
        <w:numPr>
          <w:ilvl w:val="0"/>
          <w:numId w:val="0"/>
        </w:numPr>
        <w:spacing w:line="240" w:lineRule="auto"/>
        <w:rPr>
          <w:rFonts w:ascii="仿宋_GB2312" w:hAnsi="黑体" w:eastAsia="仿宋_GB2312"/>
          <w:sz w:val="24"/>
          <w:szCs w:val="24"/>
        </w:rPr>
      </w:pPr>
      <w:r>
        <w:rPr>
          <w:rFonts w:hint="eastAsia" w:ascii="仿宋_GB2312" w:hAnsi="黑体" w:eastAsia="仿宋_GB2312"/>
          <w:sz w:val="24"/>
          <w:szCs w:val="24"/>
        </w:rPr>
        <w:t>图6-</w:t>
      </w:r>
      <w:r>
        <w:rPr>
          <w:rFonts w:ascii="仿宋_GB2312" w:hAnsi="黑体" w:eastAsia="仿宋_GB2312"/>
          <w:sz w:val="24"/>
          <w:szCs w:val="24"/>
        </w:rPr>
        <w:t>2</w:t>
      </w:r>
      <w:r>
        <w:rPr>
          <w:rFonts w:hint="eastAsia" w:ascii="仿宋_GB2312" w:hAnsi="黑体" w:eastAsia="仿宋_GB2312"/>
          <w:sz w:val="24"/>
          <w:szCs w:val="24"/>
        </w:rPr>
        <w:t>多分段适度联络接线模式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中压配电网应有较强的适应性，主干线截面宜综合饱和负荷状况、线路全寿命周期一次选定。导线截面选择应系列化，同一规划区的主干线导线截面不宜超过3种，主变容量与中压出线间隔及中压线路导线截面的配合一般可参考表6-5选择。</w:t>
      </w:r>
    </w:p>
    <w:p>
      <w:pPr>
        <w:pStyle w:val="86"/>
        <w:keepLines w:val="0"/>
        <w:numPr>
          <w:ilvl w:val="0"/>
          <w:numId w:val="0"/>
        </w:numPr>
        <w:jc w:val="center"/>
        <w:rPr>
          <w:rFonts w:ascii="仿宋_GB2312" w:eastAsia="仿宋_GB2312"/>
        </w:rPr>
      </w:pPr>
      <w:r>
        <w:rPr>
          <w:rFonts w:ascii="仿宋_GB2312" w:eastAsia="仿宋_GB2312"/>
        </w:rPr>
        <w:t>表6-5  主变容量与中压出线间隔及中压线路导线截面配合推荐表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6"/>
        <w:gridCol w:w="1179"/>
        <w:gridCol w:w="1443"/>
        <w:gridCol w:w="1443"/>
        <w:gridCol w:w="144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356" w:type="dxa"/>
            <w:vMerge w:val="restart"/>
            <w:shd w:val="clear" w:color="auto" w:fill="auto"/>
            <w:vAlign w:val="center"/>
          </w:tcPr>
          <w:p>
            <w:pPr>
              <w:keepNext/>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110</w:t>
            </w:r>
            <w:r>
              <w:rPr>
                <w:rFonts w:hint="eastAsia" w:ascii="仿宋_GB2312" w:eastAsia="仿宋_GB2312"/>
                <w:b/>
                <w:kern w:val="0"/>
                <w:sz w:val="21"/>
                <w:szCs w:val="21"/>
              </w:rPr>
              <w:t>千伏</w:t>
            </w:r>
            <w:r>
              <w:rPr>
                <w:rFonts w:ascii="仿宋_GB2312" w:eastAsia="仿宋_GB2312"/>
                <w:b/>
                <w:kern w:val="0"/>
                <w:sz w:val="21"/>
                <w:szCs w:val="21"/>
              </w:rPr>
              <w:t>主变容量(MVA)</w:t>
            </w:r>
          </w:p>
        </w:tc>
        <w:tc>
          <w:tcPr>
            <w:tcW w:w="1179" w:type="dxa"/>
            <w:vMerge w:val="restart"/>
            <w:shd w:val="clear" w:color="auto" w:fill="auto"/>
            <w:vAlign w:val="center"/>
          </w:tcPr>
          <w:p>
            <w:pPr>
              <w:keepNext/>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中压馈线数</w:t>
            </w:r>
          </w:p>
        </w:tc>
        <w:tc>
          <w:tcPr>
            <w:tcW w:w="2886" w:type="dxa"/>
            <w:gridSpan w:val="2"/>
            <w:shd w:val="clear" w:color="auto" w:fill="auto"/>
            <w:vAlign w:val="center"/>
          </w:tcPr>
          <w:p>
            <w:pPr>
              <w:keepNext/>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中压主干线截面(mm2)</w:t>
            </w:r>
          </w:p>
        </w:tc>
        <w:tc>
          <w:tcPr>
            <w:tcW w:w="2882" w:type="dxa"/>
            <w:gridSpan w:val="2"/>
            <w:shd w:val="clear" w:color="auto" w:fill="auto"/>
            <w:vAlign w:val="center"/>
          </w:tcPr>
          <w:p>
            <w:pPr>
              <w:keepNext/>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中压分支线截面(mm2)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356" w:type="dxa"/>
            <w:vMerge w:val="continue"/>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p>
        </w:tc>
        <w:tc>
          <w:tcPr>
            <w:tcW w:w="1179" w:type="dxa"/>
            <w:vMerge w:val="continue"/>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p>
        </w:tc>
        <w:tc>
          <w:tcPr>
            <w:tcW w:w="144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架空</w:t>
            </w:r>
          </w:p>
        </w:tc>
        <w:tc>
          <w:tcPr>
            <w:tcW w:w="144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电缆</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架空</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356"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80</w:t>
            </w:r>
            <w:r>
              <w:rPr>
                <w:rFonts w:hint="eastAsia" w:ascii="仿宋_GB2312" w:eastAsia="仿宋_GB2312"/>
                <w:kern w:val="0"/>
                <w:sz w:val="21"/>
                <w:szCs w:val="21"/>
              </w:rPr>
              <w:t>、</w:t>
            </w:r>
            <w:r>
              <w:rPr>
                <w:rFonts w:ascii="仿宋_GB2312" w:eastAsia="仿宋_GB2312"/>
                <w:kern w:val="0"/>
                <w:sz w:val="21"/>
                <w:szCs w:val="21"/>
              </w:rPr>
              <w:t>63</w:t>
            </w:r>
          </w:p>
        </w:tc>
        <w:tc>
          <w:tcPr>
            <w:tcW w:w="1179"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12及以上</w:t>
            </w:r>
          </w:p>
        </w:tc>
        <w:tc>
          <w:tcPr>
            <w:tcW w:w="144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240、185</w:t>
            </w:r>
          </w:p>
        </w:tc>
        <w:tc>
          <w:tcPr>
            <w:tcW w:w="144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400、300</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150、120</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240、185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1356"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50、40</w:t>
            </w:r>
          </w:p>
        </w:tc>
        <w:tc>
          <w:tcPr>
            <w:tcW w:w="1179"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8～12</w:t>
            </w:r>
          </w:p>
        </w:tc>
        <w:tc>
          <w:tcPr>
            <w:tcW w:w="144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240、185、150</w:t>
            </w:r>
          </w:p>
        </w:tc>
        <w:tc>
          <w:tcPr>
            <w:tcW w:w="144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400、300、240</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150、120、95</w:t>
            </w:r>
          </w:p>
        </w:tc>
        <w:tc>
          <w:tcPr>
            <w:tcW w:w="1441"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240、185、150</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2）中压线路供电半径应满足末端电压质量的要求。原则上规划区供电半径不宜超过3公里。</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3.配电设备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1）柱上变压器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柱上变压器应按“小容量、密布点、短半径”的原则配置，应尽量靠近负荷中心，根据需要也可采用单相变压器。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配电变压器容量应根据负荷需要选取，规划区配电变压器容量选取一般应参照表6-6。</w:t>
      </w:r>
    </w:p>
    <w:p>
      <w:pPr>
        <w:pStyle w:val="86"/>
        <w:keepLines w:val="0"/>
        <w:numPr>
          <w:ilvl w:val="0"/>
          <w:numId w:val="0"/>
        </w:numPr>
        <w:jc w:val="center"/>
        <w:rPr>
          <w:rFonts w:ascii="仿宋_GB2312" w:eastAsia="仿宋_GB2312"/>
        </w:rPr>
      </w:pPr>
      <w:r>
        <w:rPr>
          <w:rFonts w:ascii="仿宋_GB2312" w:eastAsia="仿宋_GB2312"/>
        </w:rPr>
        <w:t>表6-6  中压柱上变压器容量推荐表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3"/>
        <w:gridCol w:w="4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3" w:type="dxa"/>
            <w:shd w:val="clear" w:color="auto" w:fill="auto"/>
            <w:vAlign w:val="center"/>
          </w:tcPr>
          <w:p>
            <w:pPr>
              <w:widowControl/>
              <w:snapToGrid w:val="0"/>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三相柱上变压器容量(kVA)</w:t>
            </w:r>
          </w:p>
        </w:tc>
        <w:tc>
          <w:tcPr>
            <w:tcW w:w="4150" w:type="dxa"/>
            <w:shd w:val="clear" w:color="auto" w:fill="auto"/>
            <w:vAlign w:val="center"/>
          </w:tcPr>
          <w:p>
            <w:pPr>
              <w:widowControl/>
              <w:snapToGrid w:val="0"/>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单相柱上变压器容量(kVA)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3" w:type="dxa"/>
            <w:shd w:val="clear" w:color="auto" w:fill="auto"/>
            <w:vAlign w:val="center"/>
          </w:tcPr>
          <w:p>
            <w:pPr>
              <w:widowControl/>
              <w:snapToGrid w:val="0"/>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≤400</w:t>
            </w:r>
          </w:p>
        </w:tc>
        <w:tc>
          <w:tcPr>
            <w:tcW w:w="4150" w:type="dxa"/>
            <w:shd w:val="clear" w:color="auto" w:fill="auto"/>
            <w:vAlign w:val="center"/>
          </w:tcPr>
          <w:p>
            <w:pPr>
              <w:widowControl/>
              <w:snapToGrid w:val="0"/>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≤100</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2）配电室</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A.配电室宜独立建设。受条件所限必须进楼时，可设置在地下一层，但不应设置在最底层。其配电变压器宜选用干式，并采取屏蔽、减振、防潮措施。</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B.变压器接线组别宜采用D，yn11，单台容量不宜超过1000千伏安，220/380伏侧为单母线分段接线。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3）箱式变电站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箱式变电站仅限用于配电室建设改造困难的情况，如架空线路入地改造地区、配电室无法扩容改造的场所，以及施工用电、临时用电等，其单台变压器容量一般不宜超过500千伏安。</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4）柱上开关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A.线路分段、联络开关宜选择负荷开关。长线路后段(超出变电站过流保护范围)、较大分支线路首端及用户分界点处可选择断路器。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B.开关的遮断容量应与上级10千伏母线相协调。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C.规划实施配电自动化的地区，开关性能及自动化原理应一致，并预留自动化接口。</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5）开关站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A.开关站宜建于负荷中心区，宜配置双电源，分别取自不同变电站或同一座变电站的不同母线。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B.开关站接线宜简化，可采用两路电源进线、6～12路出线，单母线分段接线，出线断路器带保护。开关站应按配电自动化要求设计并留有发展余地。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6）环网单元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A.环网单元宜采用两路电源进线、4路出线，必要时可增加出线。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B.进线及环出线宜采用负荷开关，配出线根据电网情况及负荷性质可采用负荷开关或断路器。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7）线路调压器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在缺少电源站点的地区，当中压架空线路过长，电压质量不能满足要求时，可在线路适当位置加装线路调压装置。</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4.0.38千伏电网规划技术原则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（1）基本要求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0.38千伏配电网应实行分区供电的原则，台区不得跨越铁路、通航河道、县级及以上公路，不宜跨越其他河流和城乡主干道路。220/380伏配电网应结构简单、安全可靠，一般采用辐射式结构。设备选用宜标准化、序列化。</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1）220/380伏配电网应有较强的适应性，主干线截面应按远景规划一次选定。导线截面选择应系列化，同一规划区内主干线导线截面不宜超过3种。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规划区220/380伏主干线路导线截面可参考表6-7选择。</w:t>
      </w:r>
    </w:p>
    <w:p>
      <w:pPr>
        <w:pStyle w:val="86"/>
        <w:keepLines w:val="0"/>
        <w:numPr>
          <w:ilvl w:val="0"/>
          <w:numId w:val="0"/>
        </w:numPr>
        <w:jc w:val="center"/>
        <w:rPr>
          <w:rFonts w:ascii="仿宋_GB2312" w:eastAsia="仿宋_GB2312"/>
        </w:rPr>
      </w:pPr>
      <w:r>
        <w:rPr>
          <w:rFonts w:ascii="仿宋_GB2312" w:eastAsia="仿宋_GB2312"/>
        </w:rPr>
        <w:t>表6-7</w:t>
      </w:r>
      <w:r>
        <w:rPr>
          <w:rFonts w:ascii="仿宋_GB2312" w:eastAsia="仿宋_GB2312"/>
        </w:rPr>
        <w:tab/>
      </w:r>
      <w:r>
        <w:rPr>
          <w:rFonts w:ascii="仿宋_GB2312" w:eastAsia="仿宋_GB2312"/>
        </w:rPr>
        <w:t>线路导线截面推荐表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3"/>
        <w:gridCol w:w="4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3"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线路形式</w:t>
            </w:r>
          </w:p>
        </w:tc>
        <w:tc>
          <w:tcPr>
            <w:tcW w:w="4150" w:type="dxa"/>
            <w:shd w:val="clear" w:color="auto" w:fill="auto"/>
            <w:vAlign w:val="center"/>
          </w:tcPr>
          <w:p>
            <w:pPr>
              <w:widowControl/>
              <w:adjustRightInd/>
              <w:spacing w:line="240" w:lineRule="auto"/>
              <w:ind w:firstLine="0" w:firstLineChars="0"/>
              <w:jc w:val="center"/>
              <w:rPr>
                <w:rFonts w:ascii="仿宋_GB2312" w:eastAsia="仿宋_GB2312"/>
                <w:b/>
                <w:kern w:val="0"/>
                <w:sz w:val="21"/>
                <w:szCs w:val="21"/>
              </w:rPr>
            </w:pPr>
            <w:r>
              <w:rPr>
                <w:rFonts w:ascii="仿宋_GB2312" w:eastAsia="仿宋_GB2312"/>
                <w:b/>
                <w:kern w:val="0"/>
                <w:sz w:val="21"/>
                <w:szCs w:val="21"/>
              </w:rPr>
              <w:t>主干线(mm2)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电缆线路</w:t>
            </w:r>
          </w:p>
        </w:tc>
        <w:tc>
          <w:tcPr>
            <w:tcW w:w="4150"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3"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架空线路</w:t>
            </w:r>
          </w:p>
        </w:tc>
        <w:tc>
          <w:tcPr>
            <w:tcW w:w="4150" w:type="dxa"/>
            <w:shd w:val="clear" w:color="auto" w:fill="auto"/>
            <w:vAlign w:val="center"/>
          </w:tcPr>
          <w:p>
            <w:pPr>
              <w:widowControl/>
              <w:adjustRightInd/>
              <w:spacing w:line="240" w:lineRule="auto"/>
              <w:ind w:firstLine="0" w:firstLineChars="0"/>
              <w:jc w:val="center"/>
              <w:rPr>
                <w:rFonts w:ascii="仿宋_GB2312" w:eastAsia="仿宋_GB2312"/>
                <w:kern w:val="0"/>
                <w:sz w:val="21"/>
                <w:szCs w:val="21"/>
              </w:rPr>
            </w:pPr>
            <w:r>
              <w:rPr>
                <w:rFonts w:ascii="仿宋_GB2312" w:eastAsia="仿宋_GB2312"/>
                <w:kern w:val="0"/>
                <w:sz w:val="21"/>
                <w:szCs w:val="21"/>
              </w:rPr>
              <w:t>≥120</w:t>
            </w:r>
          </w:p>
        </w:tc>
      </w:tr>
    </w:tbl>
    <w:p>
      <w:pPr>
        <w:ind w:firstLine="480"/>
        <w:rPr>
          <w:rFonts w:ascii="仿宋_GB2312" w:hAnsi="Calibri" w:eastAsia="仿宋_GB2312"/>
        </w:rPr>
      </w:pPr>
      <w:r>
        <w:rPr>
          <w:rFonts w:ascii="仿宋_GB2312" w:hAnsi="Calibri" w:eastAsia="仿宋_GB2312"/>
        </w:rPr>
        <w:t>注1：表中推荐的架空线路为铝芯，电缆线路为铜芯。</w:t>
      </w:r>
    </w:p>
    <w:p>
      <w:pPr>
        <w:ind w:firstLine="480"/>
        <w:rPr>
          <w:rFonts w:ascii="仿宋_GB2312" w:hAnsi="Calibri" w:eastAsia="仿宋_GB2312"/>
        </w:rPr>
      </w:pPr>
      <w:r>
        <w:rPr>
          <w:rFonts w:ascii="仿宋_GB2312" w:hAnsi="Calibri" w:eastAsia="仿宋_GB2312"/>
        </w:rPr>
        <w:t>注2：规划区宜采用绝缘导线。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2）220/380伏电缆可采用排管、沟槽、直埋等敷设方式。穿越道路时，应采用抗压力保护管。</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3）220/380伏线路应有明确的供电范围，供电半径应满足末端电压质量的要求。原则上规划区不宜超过400米。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5.电源及用户接入原则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（1）电源接入原则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1）配电网应满足国家鼓励发展的各类电源及新能源微电网的接入要求，逐步形成能源互联、能源综合利用的体系。</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2）接入110～35千伏电网的常规电源，宜采用专线方式并网。</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3）分布式电源接入应符合现行行业标准《分布式电源接入配电网技术规定》NB/T32015的相关规定。</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4）在分布式电源接入前，应对接入的配电线路载流量、变压器容量进行校核，并对接入的母线、线路、开关等进行短路电流和热稳定校核，如有必要也可进行动稳定校核。</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5）接入单条线路的电源总容量不应超过线路的允许容量；接入本级配电网的电源总容量不应超过上一级变压器的额定容量以及上一级线路的允许容量。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6）分布式电源并网点应安装易操作、可闭锁、具有明显开断点、带接地功能、可开断故障电流的开断设备。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7）在满足上述技术要求的条件下，电源并网电压等级可按表6-8的规定确定。</w:t>
      </w:r>
    </w:p>
    <w:p>
      <w:pPr>
        <w:pStyle w:val="86"/>
        <w:keepLines w:val="0"/>
        <w:numPr>
          <w:ilvl w:val="0"/>
          <w:numId w:val="0"/>
        </w:numPr>
        <w:jc w:val="center"/>
        <w:rPr>
          <w:rFonts w:ascii="仿宋_GB2312" w:eastAsia="仿宋_GB2312"/>
        </w:rPr>
      </w:pPr>
      <w:r>
        <w:rPr>
          <w:rFonts w:ascii="仿宋_GB2312" w:eastAsia="仿宋_GB2312"/>
        </w:rPr>
        <w:t>表6-8</w:t>
      </w:r>
      <w:r>
        <w:rPr>
          <w:rFonts w:ascii="仿宋_GB2312" w:eastAsia="仿宋_GB2312"/>
        </w:rPr>
        <w:tab/>
      </w:r>
      <w:r>
        <w:rPr>
          <w:rFonts w:ascii="仿宋_GB2312" w:eastAsia="仿宋_GB2312"/>
        </w:rPr>
        <w:t>电源并网电压等级参考表</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1"/>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4151" w:type="dxa"/>
            <w:shd w:val="clear" w:color="auto" w:fill="auto"/>
            <w:vAlign w:val="center"/>
          </w:tcPr>
          <w:p>
            <w:pPr>
              <w:keepNext/>
              <w:widowControl/>
              <w:adjustRightInd/>
              <w:spacing w:line="240" w:lineRule="auto"/>
              <w:ind w:firstLine="0" w:firstLineChars="0"/>
              <w:jc w:val="center"/>
              <w:rPr>
                <w:rFonts w:ascii="仿宋_GB2312" w:eastAsia="仿宋_GB2312"/>
                <w:b/>
                <w:kern w:val="0"/>
              </w:rPr>
            </w:pPr>
            <w:r>
              <w:rPr>
                <w:rFonts w:ascii="仿宋_GB2312" w:eastAsia="仿宋_GB2312"/>
                <w:b/>
                <w:kern w:val="0"/>
              </w:rPr>
              <w:t>电源总容量范围</w:t>
            </w:r>
          </w:p>
        </w:tc>
        <w:tc>
          <w:tcPr>
            <w:tcW w:w="4152" w:type="dxa"/>
            <w:shd w:val="clear" w:color="auto" w:fill="auto"/>
            <w:vAlign w:val="center"/>
          </w:tcPr>
          <w:p>
            <w:pPr>
              <w:keepNext/>
              <w:widowControl/>
              <w:adjustRightInd/>
              <w:spacing w:line="240" w:lineRule="auto"/>
              <w:ind w:firstLine="0" w:firstLineChars="0"/>
              <w:jc w:val="center"/>
              <w:rPr>
                <w:rFonts w:ascii="仿宋_GB2312" w:eastAsia="仿宋_GB2312"/>
                <w:b/>
                <w:kern w:val="0"/>
              </w:rPr>
            </w:pPr>
            <w:r>
              <w:rPr>
                <w:rFonts w:ascii="仿宋_GB2312" w:eastAsia="仿宋_GB2312"/>
                <w:b/>
                <w:kern w:val="0"/>
              </w:rPr>
              <w:t>并网电压等级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8kW及以下</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8kW～400kW</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400kW～6MW</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10kV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151"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6MW～50MW</w:t>
            </w:r>
          </w:p>
        </w:tc>
        <w:tc>
          <w:tcPr>
            <w:tcW w:w="4152" w:type="dxa"/>
            <w:shd w:val="clear" w:color="auto" w:fill="auto"/>
            <w:vAlign w:val="center"/>
          </w:tcPr>
          <w:p>
            <w:pPr>
              <w:widowControl/>
              <w:adjustRightInd/>
              <w:spacing w:line="240" w:lineRule="auto"/>
              <w:ind w:firstLine="0" w:firstLineChars="0"/>
              <w:jc w:val="center"/>
              <w:rPr>
                <w:rFonts w:ascii="仿宋_GB2312" w:eastAsia="仿宋_GB2312"/>
                <w:kern w:val="0"/>
              </w:rPr>
            </w:pPr>
            <w:r>
              <w:rPr>
                <w:rFonts w:ascii="仿宋_GB2312" w:eastAsia="仿宋_GB2312"/>
                <w:kern w:val="0"/>
              </w:rPr>
              <w:t>20kV、35kV、66kV、110kV</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（2）用户接入原则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用户接入应符合电网规划，不应影响电网的安全运行及电能质量。用户的供电电压等级应根据当地电网条件、最大用电负荷、用户报装容量，经过技术经济比较后确定。供电半径较长、负荷较大的用户，当电压质量不满足要求时，应采用高一级电压供电。应合理控制专线数量，统筹安排廊道资源，以提高城市空间资源和电网资源的利用效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bookmarkStart w:id="397" w:name="_Toc29469602"/>
      <w:r>
        <w:rPr>
          <w:rFonts w:hint="eastAsia" w:ascii="楷体_GB2312" w:hAnsi="楷体_GB2312" w:eastAsia="楷体_GB2312" w:cs="楷体_GB2312"/>
          <w:kern w:val="0"/>
          <w:sz w:val="32"/>
          <w:szCs w:val="32"/>
        </w:rPr>
        <w:t>（二）布点规划</w:t>
      </w:r>
      <w:bookmarkEnd w:id="397"/>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“十三五”期间试点区域内负荷增长较为缓慢，现有线路能够满足其供电需求。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十四五”期间，随着试点区域内围垦二期的吹填完成，LNG接收站以及其周边配套建成后，负荷需求较大，而周边区域110千伏双屿变与港兴变仅能够满足其周边区域的负荷增长，剩余资源不能满足试点区域的负荷发展需求。因此规划“十四五”期间需在试点区域内新增一座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至2025年，试点区域负荷将达到26兆瓦，并且区域处于快速发展阶段，因此容载比应控制在2.0~2.2。从负荷需求来看，试点区域内需1台50兆伏安容量的变电站即可，但考虑到LNG接收站中包含部分一级负荷，供电可靠性要求较高，需保证上级电源需来自不同主变，因此规划在试点区域围垦二期外青山附近建设一座110千伏围垦变，新建主变2台，LNG接收站可分别从围垦变不同主变侧接入，以保证在单台主变故障或检修时为LNG接收站提供不间断电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110千伏围垦变容量2×50兆伏安，变比110/35/10，预留围垦变第三台主变位置。110千伏电源进线2回（JL/G1A-300/25架空线路2×7公里），上级电源来自220千伏岑山变。</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至远景年，区域内LNG接收站全部投产，新增负荷较大，且区域内依托LNG接收站形成新的产业链结构，周边负荷也随着有较大增长，根据远景年地块开发建设进度、负荷实际增长情况以及供电可靠性要求，考虑上围垦变第三台50兆伏安主变，并新建110千伏跃进变（变比110/35/10，容量2×50兆伏安）。</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另外，2021年试点区域内LNG接收站项目开工建设，2023年底前建成。为保障LNG接收站项目用电需求，LNG接收站选址1由110千伏围垦变新出两回35千伏电源线（电缆线2×1.5公里）至35千伏用户变电站；LNG接收站选址2由110千伏围垦变新出两回35千伏电源进线（电缆线2×0.66公里）至35千伏用户变电站。</w:t>
      </w:r>
      <w:bookmarkStart w:id="398" w:name="_Toc29469603"/>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（三）建设方案和投资</w:t>
      </w:r>
      <w:bookmarkEnd w:id="39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1.总体规划思路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本次规划立足现状配电网，以目标网架为引领，兼顾供电可靠性与投资精准性，按照规划的指导思想和基本原则，确立规划思路如下：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边界清晰、独立供电。试点区域除必要的电源进线及纯联络线路外，其内部配电网应逐步与外部电网分离，与外部电网无交叉供电，便于增量试点业务开展，最终实现区域内部负荷由增量配电网独立供电。</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目标引领，逐年过渡。先依据试点区域饱和负荷水平、用户空间分布、供电可靠性需求，按照“接线标准、供区清晰、路径最优”的要求，构建适应试点区域发展的远景目标网架。然后以目标网架为引领，依据用户接入、负荷发展等需求，结合变电站投产，逐年制定过渡方案，有序推进增量配电网建设，避免重复建设和投资浪费。</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2.远景目标网架</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考虑到小郭巨临港产业园定位、供电可靠性需求等，远景目标网架按照架空网建设。本次试点区域新建10千伏架空线路导线采用240平方毫米绝缘导线，出线电缆采用300平方毫米铜芯电缆，接线方式采用架空线多分段单联络。远景年试点区域总负荷将达到112.9兆瓦，其中LNG接收站总负荷为29兆瓦。至远景年，需从围垦变和跃进变架设20回架空线为试点区域供电。同时区外10千伏五星681线和杜庄368线作为与区内的对侧联络线路，正常运行时与区内线路互为备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3.逐年过渡方案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“十三五”期间，试点区域内未规划建设110千伏、35千伏变电站和线路。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十四五”期间试点区域内拟投资建设110千伏项目1项，35千伏项目1项（由用户出资），10千伏项目4项。区域内总计新建10千伏架空线路4回，长度15.7公里，总投资589.1万元。新建FTU智能开关8台，新建远传型故障指示器8台，新建光缆长度15.47公里，配电自动化工程和通信部分共投资136.96万元。总计投资6276.27万元。具体如表6-9所示：</w:t>
      </w:r>
    </w:p>
    <w:p>
      <w:pPr>
        <w:pStyle w:val="86"/>
        <w:keepLines w:val="0"/>
        <w:numPr>
          <w:ilvl w:val="0"/>
          <w:numId w:val="0"/>
        </w:numPr>
        <w:jc w:val="center"/>
        <w:rPr>
          <w:rFonts w:ascii="仿宋_GB2312" w:eastAsia="仿宋_GB2312"/>
        </w:rPr>
      </w:pPr>
      <w:r>
        <w:rPr>
          <w:rFonts w:hint="eastAsia" w:ascii="仿宋_GB2312" w:eastAsia="仿宋_GB2312"/>
        </w:rPr>
        <w:t>表6-</w:t>
      </w:r>
      <w:r>
        <w:rPr>
          <w:rFonts w:ascii="仿宋_GB2312" w:eastAsia="仿宋_GB2312"/>
        </w:rPr>
        <w:t>9</w:t>
      </w:r>
      <w:r>
        <w:rPr>
          <w:rFonts w:hint="eastAsia" w:ascii="仿宋_GB2312" w:eastAsia="仿宋_GB2312"/>
        </w:rPr>
        <w:t>试点区域项目建设明细表</w:t>
      </w:r>
    </w:p>
    <w:tbl>
      <w:tblPr>
        <w:tblStyle w:val="42"/>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2115"/>
        <w:gridCol w:w="3695"/>
        <w:gridCol w:w="98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序号</w:t>
            </w:r>
          </w:p>
        </w:tc>
        <w:tc>
          <w:tcPr>
            <w:tcW w:w="211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项目名称</w:t>
            </w:r>
          </w:p>
        </w:tc>
        <w:tc>
          <w:tcPr>
            <w:tcW w:w="369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工程规模</w:t>
            </w:r>
          </w:p>
        </w:tc>
        <w:tc>
          <w:tcPr>
            <w:tcW w:w="986"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投产年份</w:t>
            </w:r>
          </w:p>
        </w:tc>
        <w:tc>
          <w:tcPr>
            <w:tcW w:w="1088"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项目投资</w:t>
            </w:r>
          </w:p>
          <w:p>
            <w:pPr>
              <w:pStyle w:val="87"/>
              <w:keepNext w:val="0"/>
              <w:rPr>
                <w:rFonts w:ascii="仿宋_GB2312" w:hAnsi="仿宋" w:eastAsia="仿宋_GB2312"/>
                <w:sz w:val="21"/>
              </w:rPr>
            </w:pPr>
            <w:r>
              <w:rPr>
                <w:rFonts w:hint="eastAsia" w:ascii="仿宋_GB2312" w:hAnsi="仿宋" w:eastAsia="仿宋_GB2312"/>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211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369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986"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1088"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1</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五星B</w:t>
            </w:r>
            <w:r>
              <w:rPr>
                <w:rFonts w:ascii="仿宋_GB2312" w:hAnsi="仿宋" w:eastAsia="仿宋_GB2312"/>
                <w:b w:val="0"/>
                <w:sz w:val="21"/>
              </w:rPr>
              <w:t>681线小支支线导线更换工程</w:t>
            </w:r>
          </w:p>
        </w:tc>
        <w:tc>
          <w:tcPr>
            <w:tcW w:w="3695" w:type="dxa"/>
            <w:vAlign w:val="center"/>
          </w:tcPr>
          <w:p>
            <w:pPr>
              <w:pStyle w:val="87"/>
              <w:keepNext w:val="0"/>
              <w:jc w:val="left"/>
              <w:rPr>
                <w:rFonts w:ascii="仿宋_GB2312" w:hAnsi="仿宋" w:eastAsia="仿宋_GB2312"/>
                <w:b w:val="0"/>
                <w:sz w:val="21"/>
              </w:rPr>
            </w:pPr>
            <w:r>
              <w:rPr>
                <w:rFonts w:ascii="仿宋_GB2312" w:hAnsi="仿宋" w:eastAsia="仿宋_GB2312"/>
                <w:b w:val="0"/>
                <w:sz w:val="21"/>
              </w:rPr>
              <w:t>更换</w:t>
            </w:r>
            <w:r>
              <w:rPr>
                <w:rFonts w:hint="eastAsia" w:ascii="仿宋_GB2312" w:hAnsi="仿宋" w:eastAsia="仿宋_GB2312"/>
                <w:b w:val="0"/>
                <w:sz w:val="21"/>
              </w:rPr>
              <w:t>Y</w:t>
            </w:r>
            <w:r>
              <w:rPr>
                <w:rFonts w:ascii="仿宋_GB2312" w:hAnsi="仿宋" w:eastAsia="仿宋_GB2312"/>
                <w:b w:val="0"/>
                <w:sz w:val="21"/>
              </w:rPr>
              <w:t>KLYJ/10-1×240导线</w:t>
            </w:r>
            <w:r>
              <w:rPr>
                <w:rFonts w:hint="eastAsia" w:ascii="仿宋_GB2312" w:hAnsi="仿宋" w:eastAsia="仿宋_GB2312"/>
                <w:b w:val="0"/>
                <w:sz w:val="21"/>
              </w:rPr>
              <w:t>（长度</w:t>
            </w:r>
            <w:r>
              <w:rPr>
                <w:rFonts w:ascii="仿宋_GB2312" w:hAnsi="仿宋" w:eastAsia="仿宋_GB2312"/>
                <w:b w:val="0"/>
                <w:sz w:val="21"/>
              </w:rPr>
              <w:t>2.9km</w:t>
            </w:r>
            <w:r>
              <w:rPr>
                <w:rFonts w:hint="eastAsia" w:ascii="仿宋_GB2312" w:hAnsi="仿宋" w:eastAsia="仿宋_GB2312"/>
                <w:b w:val="0"/>
                <w:sz w:val="21"/>
              </w:rPr>
              <w:t>）</w:t>
            </w:r>
          </w:p>
        </w:tc>
        <w:tc>
          <w:tcPr>
            <w:tcW w:w="986" w:type="dxa"/>
            <w:vAlign w:val="center"/>
          </w:tcPr>
          <w:p>
            <w:pPr>
              <w:pStyle w:val="87"/>
              <w:keepNext w:val="0"/>
              <w:rPr>
                <w:rFonts w:ascii="仿宋_GB2312" w:hAnsi="仿宋" w:eastAsia="仿宋_GB2312"/>
                <w:b w:val="0"/>
                <w:sz w:val="21"/>
              </w:rPr>
            </w:pPr>
            <w:r>
              <w:rPr>
                <w:rFonts w:ascii="仿宋_GB2312" w:hAnsi="仿宋" w:eastAsia="仿宋_GB2312"/>
                <w:b w:val="0"/>
                <w:sz w:val="21"/>
              </w:rPr>
              <w:t>2021</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2</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110千伏围垦变输</w:t>
            </w:r>
          </w:p>
          <w:p>
            <w:pPr>
              <w:pStyle w:val="87"/>
              <w:keepNext w:val="0"/>
              <w:rPr>
                <w:rFonts w:ascii="仿宋_GB2312" w:hAnsi="仿宋" w:eastAsia="仿宋_GB2312"/>
                <w:b w:val="0"/>
                <w:sz w:val="21"/>
              </w:rPr>
            </w:pPr>
            <w:r>
              <w:rPr>
                <w:rFonts w:hint="eastAsia" w:ascii="仿宋_GB2312" w:hAnsi="仿宋" w:eastAsia="仿宋_GB2312"/>
                <w:b w:val="0"/>
                <w:sz w:val="21"/>
              </w:rPr>
              <w:t>变电工程</w:t>
            </w:r>
          </w:p>
        </w:tc>
        <w:tc>
          <w:tcPr>
            <w:tcW w:w="3695" w:type="dxa"/>
            <w:vAlign w:val="center"/>
          </w:tcPr>
          <w:p>
            <w:pPr>
              <w:pStyle w:val="87"/>
              <w:keepNext w:val="0"/>
              <w:jc w:val="left"/>
              <w:rPr>
                <w:rFonts w:ascii="仿宋_GB2312" w:hAnsi="仿宋" w:eastAsia="仿宋_GB2312"/>
                <w:b w:val="0"/>
                <w:sz w:val="21"/>
              </w:rPr>
            </w:pPr>
            <w:r>
              <w:rPr>
                <w:rFonts w:hint="eastAsia" w:ascii="仿宋_GB2312" w:hAnsi="仿宋" w:eastAsia="仿宋_GB2312"/>
                <w:b w:val="0"/>
                <w:sz w:val="21"/>
              </w:rPr>
              <w:t>新增</w:t>
            </w:r>
            <w:r>
              <w:rPr>
                <w:rFonts w:ascii="仿宋_GB2312" w:hAnsi="仿宋" w:eastAsia="仿宋_GB2312"/>
                <w:b w:val="0"/>
                <w:sz w:val="21"/>
              </w:rPr>
              <w:t>2台</w:t>
            </w:r>
            <w:r>
              <w:rPr>
                <w:rFonts w:hint="eastAsia" w:ascii="仿宋_GB2312" w:hAnsi="仿宋" w:eastAsia="仿宋_GB2312"/>
                <w:b w:val="0"/>
                <w:sz w:val="21"/>
              </w:rPr>
              <w:t>主变，容量</w:t>
            </w:r>
            <w:r>
              <w:rPr>
                <w:rFonts w:ascii="仿宋_GB2312" w:hAnsi="仿宋" w:eastAsia="仿宋_GB2312"/>
                <w:b w:val="0"/>
                <w:sz w:val="21"/>
              </w:rPr>
              <w:t>2</w:t>
            </w:r>
            <w:r>
              <w:rPr>
                <w:rFonts w:hint="eastAsia" w:ascii="仿宋_GB2312" w:hAnsi="仿宋" w:eastAsia="仿宋_GB2312"/>
                <w:b w:val="0"/>
                <w:sz w:val="21"/>
              </w:rPr>
              <w:t>×</w:t>
            </w:r>
            <w:r>
              <w:rPr>
                <w:rFonts w:ascii="仿宋_GB2312" w:hAnsi="仿宋" w:eastAsia="仿宋_GB2312"/>
                <w:b w:val="0"/>
                <w:sz w:val="21"/>
              </w:rPr>
              <w:t>50MVA</w:t>
            </w:r>
            <w:r>
              <w:rPr>
                <w:rFonts w:hint="eastAsia" w:ascii="仿宋_GB2312" w:hAnsi="仿宋" w:eastAsia="仿宋_GB2312"/>
                <w:b w:val="0"/>
                <w:sz w:val="21"/>
              </w:rPr>
              <w:t xml:space="preserve"> ，110千伏电源进线2回（JL/G1A-300/25架空线路2×7公里）</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3</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3</w:t>
            </w:r>
            <w:r>
              <w:rPr>
                <w:rFonts w:ascii="仿宋_GB2312" w:hAnsi="仿宋" w:eastAsia="仿宋_GB2312"/>
                <w:b w:val="0"/>
                <w:sz w:val="21"/>
              </w:rPr>
              <w:t>5</w:t>
            </w:r>
            <w:r>
              <w:rPr>
                <w:rFonts w:hint="eastAsia" w:ascii="仿宋_GB2312" w:hAnsi="仿宋" w:eastAsia="仿宋_GB2312"/>
                <w:b w:val="0"/>
                <w:sz w:val="21"/>
              </w:rPr>
              <w:t>千伏</w:t>
            </w:r>
            <w:r>
              <w:rPr>
                <w:rFonts w:ascii="仿宋_GB2312" w:hAnsi="仿宋" w:eastAsia="仿宋_GB2312"/>
                <w:b w:val="0"/>
                <w:sz w:val="21"/>
              </w:rPr>
              <w:t>用户变</w:t>
            </w:r>
          </w:p>
          <w:p>
            <w:pPr>
              <w:pStyle w:val="87"/>
              <w:keepNext w:val="0"/>
              <w:rPr>
                <w:rFonts w:ascii="仿宋_GB2312" w:hAnsi="仿宋" w:eastAsia="仿宋_GB2312"/>
                <w:b w:val="0"/>
                <w:sz w:val="21"/>
              </w:rPr>
            </w:pPr>
            <w:r>
              <w:rPr>
                <w:rFonts w:hint="eastAsia" w:ascii="仿宋_GB2312" w:hAnsi="仿宋" w:eastAsia="仿宋_GB2312"/>
                <w:b w:val="0"/>
                <w:sz w:val="21"/>
              </w:rPr>
              <w:t>接入工程</w:t>
            </w:r>
          </w:p>
        </w:tc>
        <w:tc>
          <w:tcPr>
            <w:tcW w:w="3695" w:type="dxa"/>
            <w:vAlign w:val="center"/>
          </w:tcPr>
          <w:p>
            <w:pPr>
              <w:pStyle w:val="87"/>
              <w:keepNext w:val="0"/>
              <w:jc w:val="left"/>
              <w:rPr>
                <w:rFonts w:ascii="仿宋_GB2312" w:hAnsi="仿宋" w:eastAsia="仿宋_GB2312"/>
                <w:b w:val="0"/>
                <w:sz w:val="21"/>
              </w:rPr>
            </w:pPr>
            <w:r>
              <w:rPr>
                <w:rFonts w:hint="eastAsia" w:ascii="仿宋_GB2312" w:hAnsi="仿宋" w:eastAsia="仿宋_GB2312"/>
                <w:b w:val="0"/>
                <w:sz w:val="21"/>
              </w:rPr>
              <w:t>两回3</w:t>
            </w:r>
            <w:r>
              <w:rPr>
                <w:rFonts w:ascii="仿宋_GB2312" w:hAnsi="仿宋" w:eastAsia="仿宋_GB2312"/>
                <w:b w:val="0"/>
                <w:sz w:val="21"/>
              </w:rPr>
              <w:t>5</w:t>
            </w:r>
            <w:r>
              <w:rPr>
                <w:rFonts w:hint="eastAsia" w:ascii="仿宋_GB2312" w:hAnsi="仿宋" w:eastAsia="仿宋_GB2312"/>
                <w:b w:val="0"/>
                <w:sz w:val="21"/>
              </w:rPr>
              <w:t>千伏电源进线（电缆线2×1.5公里）及用户变电站</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用户出资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4</w:t>
            </w:r>
          </w:p>
        </w:tc>
        <w:tc>
          <w:tcPr>
            <w:tcW w:w="2115" w:type="dxa"/>
            <w:vAlign w:val="center"/>
          </w:tcPr>
          <w:p>
            <w:pPr>
              <w:pStyle w:val="87"/>
              <w:keepNext w:val="0"/>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1线</w:t>
            </w:r>
          </w:p>
          <w:p>
            <w:pPr>
              <w:pStyle w:val="87"/>
              <w:keepNext w:val="0"/>
              <w:rPr>
                <w:rFonts w:ascii="仿宋_GB2312" w:hAnsi="仿宋" w:eastAsia="仿宋_GB2312"/>
                <w:b w:val="0"/>
                <w:sz w:val="21"/>
              </w:rPr>
            </w:pPr>
            <w:r>
              <w:rPr>
                <w:rFonts w:ascii="仿宋_GB2312" w:hAnsi="仿宋" w:eastAsia="仿宋_GB2312"/>
                <w:b w:val="0"/>
                <w:sz w:val="21"/>
              </w:rPr>
              <w:t>新建</w:t>
            </w:r>
            <w:r>
              <w:rPr>
                <w:rFonts w:hint="eastAsia" w:ascii="仿宋_GB2312" w:hAnsi="仿宋" w:eastAsia="仿宋_GB2312"/>
                <w:b w:val="0"/>
                <w:sz w:val="21"/>
              </w:rPr>
              <w:t>工程</w:t>
            </w:r>
          </w:p>
        </w:tc>
        <w:tc>
          <w:tcPr>
            <w:tcW w:w="3695" w:type="dxa"/>
            <w:vAlign w:val="center"/>
          </w:tcPr>
          <w:p>
            <w:pPr>
              <w:pStyle w:val="87"/>
              <w:keepNext w:val="0"/>
              <w:jc w:val="left"/>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（2</w:t>
            </w:r>
            <w:r>
              <w:rPr>
                <w:rFonts w:ascii="仿宋_GB2312" w:hAnsi="仿宋" w:eastAsia="仿宋_GB2312"/>
                <w:b w:val="0"/>
                <w:sz w:val="21"/>
              </w:rPr>
              <w:t>.8km</w:t>
            </w:r>
            <w:r>
              <w:rPr>
                <w:rFonts w:hint="eastAsia" w:ascii="仿宋_GB2312" w:hAnsi="仿宋" w:eastAsia="仿宋_GB2312"/>
                <w:b w:val="0"/>
                <w:sz w:val="21"/>
              </w:rPr>
              <w:t>）。新上2台分段开关，1台联络开关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5</w:t>
            </w:r>
          </w:p>
        </w:tc>
        <w:tc>
          <w:tcPr>
            <w:tcW w:w="2115" w:type="dxa"/>
            <w:vAlign w:val="center"/>
          </w:tcPr>
          <w:p>
            <w:pPr>
              <w:pStyle w:val="87"/>
              <w:keepNext w:val="0"/>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2</w:t>
            </w:r>
            <w:r>
              <w:rPr>
                <w:rFonts w:hint="eastAsia" w:ascii="仿宋_GB2312" w:hAnsi="仿宋" w:eastAsia="仿宋_GB2312"/>
                <w:b w:val="0"/>
                <w:sz w:val="21"/>
              </w:rPr>
              <w:t>、0</w:t>
            </w:r>
            <w:r>
              <w:rPr>
                <w:rFonts w:ascii="仿宋_GB2312" w:hAnsi="仿宋" w:eastAsia="仿宋_GB2312"/>
                <w:b w:val="0"/>
                <w:sz w:val="21"/>
              </w:rPr>
              <w:t>3线</w:t>
            </w:r>
            <w:r>
              <w:rPr>
                <w:rFonts w:hint="eastAsia" w:ascii="仿宋_GB2312" w:hAnsi="仿宋" w:eastAsia="仿宋_GB2312"/>
                <w:b w:val="0"/>
                <w:sz w:val="21"/>
              </w:rPr>
              <w:t>、</w:t>
            </w:r>
            <w:r>
              <w:rPr>
                <w:rFonts w:ascii="仿宋_GB2312" w:hAnsi="仿宋" w:eastAsia="仿宋_GB2312"/>
                <w:b w:val="0"/>
                <w:sz w:val="21"/>
              </w:rPr>
              <w:t>新建</w:t>
            </w:r>
            <w:r>
              <w:rPr>
                <w:rFonts w:hint="eastAsia" w:ascii="仿宋_GB2312" w:hAnsi="仿宋" w:eastAsia="仿宋_GB2312"/>
                <w:b w:val="0"/>
                <w:sz w:val="21"/>
              </w:rPr>
              <w:t>工程</w:t>
            </w:r>
          </w:p>
        </w:tc>
        <w:tc>
          <w:tcPr>
            <w:tcW w:w="3695" w:type="dxa"/>
          </w:tcPr>
          <w:p>
            <w:pPr>
              <w:pStyle w:val="87"/>
              <w:keepNext w:val="0"/>
              <w:jc w:val="left"/>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4.35km</w:t>
            </w:r>
            <w:r>
              <w:rPr>
                <w:rFonts w:hint="eastAsia" w:ascii="仿宋_GB2312" w:hAnsi="仿宋" w:eastAsia="仿宋_GB2312"/>
                <w:b w:val="0"/>
                <w:sz w:val="21"/>
              </w:rPr>
              <w:t>），新上2台分段开关，1台联络开关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67.25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6</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新建</w:t>
            </w: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6线</w:t>
            </w:r>
            <w:r>
              <w:rPr>
                <w:rFonts w:hint="eastAsia" w:ascii="仿宋_GB2312" w:hAnsi="仿宋" w:eastAsia="仿宋_GB2312"/>
                <w:b w:val="0"/>
                <w:sz w:val="21"/>
              </w:rPr>
              <w:t>与</w:t>
            </w:r>
            <w:r>
              <w:rPr>
                <w:rFonts w:ascii="仿宋_GB2312" w:hAnsi="仿宋" w:eastAsia="仿宋_GB2312"/>
                <w:b w:val="0"/>
                <w:sz w:val="21"/>
              </w:rPr>
              <w:t>围垦</w:t>
            </w:r>
            <w:r>
              <w:rPr>
                <w:rFonts w:hint="eastAsia" w:ascii="仿宋_GB2312" w:hAnsi="仿宋" w:eastAsia="仿宋_GB2312"/>
                <w:b w:val="0"/>
                <w:sz w:val="21"/>
              </w:rPr>
              <w:t>0</w:t>
            </w:r>
            <w:r>
              <w:rPr>
                <w:rFonts w:ascii="仿宋_GB2312" w:hAnsi="仿宋" w:eastAsia="仿宋_GB2312"/>
                <w:b w:val="0"/>
                <w:sz w:val="21"/>
              </w:rPr>
              <w:t>1线联络</w:t>
            </w:r>
            <w:r>
              <w:rPr>
                <w:rFonts w:hint="eastAsia" w:ascii="仿宋_GB2312" w:hAnsi="仿宋" w:eastAsia="仿宋_GB2312"/>
                <w:b w:val="0"/>
                <w:sz w:val="21"/>
              </w:rPr>
              <w:t>工程</w:t>
            </w:r>
          </w:p>
        </w:tc>
        <w:tc>
          <w:tcPr>
            <w:tcW w:w="3695" w:type="dxa"/>
          </w:tcPr>
          <w:p>
            <w:pPr>
              <w:pStyle w:val="87"/>
              <w:keepNext w:val="0"/>
              <w:jc w:val="left"/>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5.65km</w:t>
            </w:r>
            <w:r>
              <w:rPr>
                <w:rFonts w:hint="eastAsia" w:ascii="仿宋_GB2312" w:hAnsi="仿宋" w:eastAsia="仿宋_GB2312"/>
                <w:b w:val="0"/>
                <w:sz w:val="21"/>
              </w:rPr>
              <w:t>），新上</w:t>
            </w:r>
            <w:r>
              <w:rPr>
                <w:rFonts w:ascii="仿宋_GB2312" w:hAnsi="仿宋" w:eastAsia="仿宋_GB2312"/>
                <w:b w:val="0"/>
                <w:sz w:val="21"/>
              </w:rPr>
              <w:t>1</w:t>
            </w:r>
            <w:r>
              <w:rPr>
                <w:rFonts w:hint="eastAsia" w:ascii="仿宋_GB2312" w:hAnsi="仿宋" w:eastAsia="仿宋_GB2312"/>
                <w:b w:val="0"/>
                <w:sz w:val="21"/>
              </w:rPr>
              <w:t>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207.75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7</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试点区域配电自动化</w:t>
            </w:r>
          </w:p>
          <w:p>
            <w:pPr>
              <w:pStyle w:val="87"/>
              <w:keepNext w:val="0"/>
              <w:rPr>
                <w:rFonts w:ascii="仿宋_GB2312" w:hAnsi="仿宋" w:eastAsia="仿宋_GB2312"/>
                <w:b w:val="0"/>
                <w:sz w:val="21"/>
              </w:rPr>
            </w:pPr>
            <w:r>
              <w:rPr>
                <w:rFonts w:hint="eastAsia" w:ascii="仿宋_GB2312" w:hAnsi="仿宋" w:eastAsia="仿宋_GB2312"/>
                <w:b w:val="0"/>
                <w:sz w:val="21"/>
              </w:rPr>
              <w:t>建设工程</w:t>
            </w:r>
          </w:p>
        </w:tc>
        <w:tc>
          <w:tcPr>
            <w:tcW w:w="3695" w:type="dxa"/>
            <w:vAlign w:val="center"/>
          </w:tcPr>
          <w:p>
            <w:pPr>
              <w:pStyle w:val="87"/>
              <w:keepNext w:val="0"/>
              <w:jc w:val="left"/>
              <w:rPr>
                <w:rFonts w:ascii="仿宋_GB2312" w:hAnsi="仿宋" w:eastAsia="仿宋_GB2312"/>
                <w:b w:val="0"/>
                <w:sz w:val="21"/>
              </w:rPr>
            </w:pPr>
            <w:r>
              <w:rPr>
                <w:rFonts w:hint="eastAsia" w:ascii="仿宋_GB2312" w:hAnsi="仿宋" w:eastAsia="仿宋_GB2312"/>
                <w:b w:val="0"/>
                <w:sz w:val="21"/>
              </w:rPr>
              <w:t>新增8台智能FTU终端</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r>
              <w:rPr>
                <w:rFonts w:hint="eastAsia" w:ascii="仿宋_GB2312" w:hAnsi="仿宋" w:eastAsia="仿宋_GB2312"/>
                <w:b w:val="0"/>
                <w:sz w:val="21"/>
              </w:rPr>
              <w:t>-</w:t>
            </w:r>
            <w:r>
              <w:rPr>
                <w:rFonts w:ascii="仿宋_GB2312" w:hAnsi="仿宋" w:eastAsia="仿宋_GB2312"/>
                <w:b w:val="0"/>
                <w:sz w:val="21"/>
              </w:rPr>
              <w:t>2025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8</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试点区域通信部分</w:t>
            </w:r>
          </w:p>
          <w:p>
            <w:pPr>
              <w:pStyle w:val="87"/>
              <w:keepNext w:val="0"/>
              <w:rPr>
                <w:rFonts w:ascii="仿宋_GB2312" w:hAnsi="仿宋" w:eastAsia="仿宋_GB2312"/>
                <w:b w:val="0"/>
                <w:sz w:val="21"/>
              </w:rPr>
            </w:pPr>
            <w:r>
              <w:rPr>
                <w:rFonts w:hint="eastAsia" w:ascii="仿宋_GB2312" w:hAnsi="仿宋" w:eastAsia="仿宋_GB2312"/>
                <w:b w:val="0"/>
                <w:sz w:val="21"/>
              </w:rPr>
              <w:t>建设工程</w:t>
            </w:r>
          </w:p>
        </w:tc>
        <w:tc>
          <w:tcPr>
            <w:tcW w:w="3695" w:type="dxa"/>
            <w:vAlign w:val="center"/>
          </w:tcPr>
          <w:p>
            <w:pPr>
              <w:pStyle w:val="87"/>
              <w:keepNext w:val="0"/>
              <w:jc w:val="left"/>
              <w:rPr>
                <w:rFonts w:ascii="仿宋_GB2312" w:hAnsi="仿宋" w:eastAsia="仿宋_GB2312"/>
                <w:b w:val="0"/>
                <w:sz w:val="21"/>
              </w:rPr>
            </w:pPr>
            <w:r>
              <w:rPr>
                <w:rFonts w:hint="eastAsia" w:ascii="仿宋_GB2312" w:hAnsi="仿宋" w:eastAsia="仿宋_GB2312"/>
                <w:b w:val="0"/>
                <w:sz w:val="21"/>
              </w:rPr>
              <w:t>通信光缆采用24芯光缆，新建光缆长度</w:t>
            </w:r>
            <w:r>
              <w:rPr>
                <w:rFonts w:ascii="仿宋_GB2312" w:hAnsi="仿宋" w:eastAsia="仿宋_GB2312"/>
                <w:b w:val="0"/>
                <w:sz w:val="21"/>
              </w:rPr>
              <w:t>15.47</w:t>
            </w:r>
            <w:r>
              <w:rPr>
                <w:rFonts w:hint="eastAsia" w:ascii="仿宋_GB2312" w:hAnsi="仿宋" w:eastAsia="仿宋_GB2312"/>
                <w:b w:val="0"/>
                <w:sz w:val="21"/>
              </w:rPr>
              <w:t>公里</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r>
              <w:rPr>
                <w:rFonts w:hint="eastAsia" w:ascii="仿宋_GB2312" w:hAnsi="仿宋" w:eastAsia="仿宋_GB2312"/>
                <w:b w:val="0"/>
                <w:sz w:val="21"/>
              </w:rPr>
              <w:t>-</w:t>
            </w:r>
            <w:r>
              <w:rPr>
                <w:rFonts w:ascii="仿宋_GB2312" w:hAnsi="仿宋" w:eastAsia="仿宋_GB2312"/>
                <w:b w:val="0"/>
                <w:sz w:val="21"/>
              </w:rPr>
              <w:t>2025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95.97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547" w:type="dxa"/>
            <w:gridSpan w:val="2"/>
            <w:vAlign w:val="center"/>
          </w:tcPr>
          <w:p>
            <w:pPr>
              <w:pStyle w:val="87"/>
              <w:keepNext w:val="0"/>
              <w:rPr>
                <w:rFonts w:ascii="仿宋_GB2312" w:hAnsi="仿宋" w:eastAsia="仿宋_GB2312"/>
                <w:b w:val="0"/>
                <w:sz w:val="21"/>
              </w:rPr>
            </w:pPr>
            <w:r>
              <w:rPr>
                <w:rFonts w:hint="eastAsia" w:ascii="仿宋_GB2312" w:hAnsi="仿宋" w:eastAsia="仿宋_GB2312"/>
                <w:b w:val="0"/>
                <w:sz w:val="21"/>
              </w:rPr>
              <w:t>合计</w:t>
            </w:r>
          </w:p>
        </w:tc>
        <w:tc>
          <w:tcPr>
            <w:tcW w:w="3695" w:type="dxa"/>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6276.27</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工程可研估算的项目划分、费用构成及取费标准执行国家能源局2009年发布的《20kV及以下配电网工程建设预算编制与计算标准》。工程取费标准按Ⅰ类地区考虑。项目详细描述如下：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（1）五星B681线小支支线导线更换工程。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目前小郭巨围垦一期内负荷由五星B681线小郭巨支线提供电源。其中五星B681线小支支线导线为YKLYJ/10-1×70导线。导线较细且为支线，围垦变投运后，该段支线将转接至围垦变上，使试点区域与周边区域供电边界清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建设方案：将五星B681线小支支线YKLYJ/10-1×70导线更换成YKLYJ/10-1×240导线（长度2.9km）。</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实施年份：建议2021年建成。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（2）110千伏围垦变输变电工程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十四五”期间，LNG接收站项目开工建设，预计2023年底前建成。同时，随着试点区域配套产业引进。至2025年，试点区域负荷将达到26兆瓦（LNG接收站项目负荷16兆瓦），现有线路难以满足负荷需求，且LNG接收站项目采用35千伏电压等级供电。需要建设上级电源点110千伏公用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建设方案：在试点区域围垦二期青山附近建设110千伏围垦变一座，容量2×50兆伏安，变比110/35/10。110千伏电源进线2回（JL/G1A-300/25架空线路2×7公里），来自220千伏岑山变。</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实施年份：建议2022年建设，2023年投产。</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（3）35千伏用户变接入工程。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建设必要性：2021年LNG接收站项目开工建设，2023年底前建成，LNG接收站总负荷共29兆瓦。为保障LNG接收站项目用电需求，需要建设用户线路及用户变电站，均由用户出资。</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建设方案：选址1由110千伏围垦变新出两回35千伏电源进线（电缆线2×1.5公里）至35千伏用户变电站；选址2由110千伏围垦变新出两回35千伏电源进线（电缆线2×0.66公里）至35千伏用户变电站。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实施年份：2023年投产。</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（4）10千伏围垦01新建工程。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建设必要性：目前小郭巨围垦一期内负荷由五星B681线小郭巨支线提供电源。供电半径过长，电压质量和供电可靠性不能满足供电需求。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围垦变新建围垦01线（YKLYJ/10-1×240）导线（2.8km）与五星B681线小支支线构建联络。同时切改五星B681线小支支线和六横风电支线负荷，共切改专变容量2650千伏安。新上2台分段开关，在五星B681线小支支线1#新上一台联络开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实施年份：建议2023年建成。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（5）10千伏围垦02、03线新建工程。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建设必要性：伴随围垦二期生活片区吹填完成，该片区域出现负荷，目前该片区域无供电线路。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建设方案：围垦变新建围垦02线（YKLYJ/10-1×240）导线（2.3km）与新建围垦03线（YKLYJ/10-1×240）导线（2.05km）构建联络。新上联络开关1台，分段开关2台。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实施年份：建议2023年建成。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（6）新建10千伏围垦06线与围垦01线联络工程。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建设必要性：伴随围垦二期生活片区吹填完成，该片区域出现负荷，目前该片区域无供电线路。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建设方案：围垦变新建围垦06线（YKLYJ/10-1×240）导线（5.58km）,并转接五星B681线垦区支线和新塘支线负荷，共切改专变容量2650千伏安。围垦01线新建（YKLYJ/10-1×240）导线（0.7km）与围垦06线构建联络。新上联络开关1台，分段开关1台。</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实施年份：建议2025年建成。</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4.工程量统计及投资估算</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2019～2025年，试点区域新建110千伏变电站1座，主变2台，容量为2×50兆伏安；新建110千伏架空线路14公里；新建10千伏线路4回，架空长度15.7公里，柱上开关8台；配电自动化建设新增智能FTU终端8台，新建光缆长度15.47公里。总投资136.96万元。综合考虑110千伏、10千伏各级电网建设、配电自动化建设。配电网总投资约6276.27万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110千伏项目共建设1项，2023年新建围垦变，投运2台主变，共计投资5550万元。</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86"/>
        <w:keepLines w:val="0"/>
        <w:numPr>
          <w:ilvl w:val="0"/>
          <w:numId w:val="0"/>
        </w:numPr>
        <w:jc w:val="center"/>
        <w:rPr>
          <w:rFonts w:hint="eastAsia" w:ascii="仿宋_GB2312" w:eastAsia="仿宋_GB2312"/>
        </w:rPr>
      </w:pPr>
      <w:r>
        <w:rPr>
          <w:rFonts w:hint="eastAsia" w:ascii="仿宋_GB2312" w:eastAsia="仿宋_GB2312"/>
        </w:rPr>
        <w:t>表6</w:t>
      </w:r>
      <w:r>
        <w:rPr>
          <w:rFonts w:ascii="仿宋_GB2312" w:eastAsia="仿宋_GB2312"/>
        </w:rPr>
        <w:t xml:space="preserve">-10  </w:t>
      </w:r>
      <w:r>
        <w:rPr>
          <w:rFonts w:hint="eastAsia" w:ascii="仿宋_GB2312" w:eastAsia="仿宋_GB2312"/>
        </w:rPr>
        <w:t>1</w:t>
      </w:r>
      <w:r>
        <w:rPr>
          <w:rFonts w:ascii="仿宋_GB2312" w:eastAsia="仿宋_GB2312"/>
        </w:rPr>
        <w:t>10</w:t>
      </w:r>
      <w:r>
        <w:rPr>
          <w:rFonts w:hint="eastAsia" w:ascii="仿宋_GB2312" w:eastAsia="仿宋_GB2312"/>
        </w:rPr>
        <w:t>千伏</w:t>
      </w:r>
      <w:r>
        <w:rPr>
          <w:rFonts w:ascii="仿宋_GB2312" w:eastAsia="仿宋_GB2312"/>
        </w:rPr>
        <w:t>项目建设情况统计表</w:t>
      </w:r>
      <w:r>
        <w:rPr>
          <w:rFonts w:hint="eastAsia" w:ascii="仿宋_GB2312" w:eastAsia="仿宋_GB2312"/>
        </w:rPr>
        <w:t>结果</w:t>
      </w:r>
    </w:p>
    <w:p>
      <w:pPr>
        <w:pStyle w:val="86"/>
        <w:keepLines w:val="0"/>
        <w:numPr>
          <w:ilvl w:val="0"/>
          <w:numId w:val="0"/>
        </w:numPr>
        <w:jc w:val="right"/>
      </w:pPr>
      <w:r>
        <w:rPr>
          <w:rFonts w:hint="eastAsia" w:ascii="仿宋_GB2312" w:eastAsia="仿宋_GB2312"/>
        </w:rPr>
        <w:t>单位：千米、兆伏安、万元</w:t>
      </w:r>
    </w:p>
    <w:tbl>
      <w:tblPr>
        <w:tblStyle w:val="4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6"/>
        <w:gridCol w:w="1405"/>
        <w:gridCol w:w="1085"/>
        <w:gridCol w:w="1500"/>
        <w:gridCol w:w="1326"/>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1696" w:type="dxa"/>
            <w:shd w:val="clear" w:color="auto" w:fill="auto"/>
            <w:vAlign w:val="center"/>
          </w:tcPr>
          <w:p>
            <w:pPr>
              <w:pStyle w:val="87"/>
              <w:rPr>
                <w:rFonts w:ascii="仿宋_GB2312" w:hAnsi="仿宋" w:eastAsia="仿宋_GB2312"/>
                <w:sz w:val="21"/>
              </w:rPr>
            </w:pPr>
            <w:r>
              <w:rPr>
                <w:rFonts w:ascii="仿宋_GB2312" w:hAnsi="仿宋" w:eastAsia="仿宋_GB2312"/>
                <w:sz w:val="21"/>
              </w:rPr>
              <w:t>项目名称</w:t>
            </w:r>
          </w:p>
        </w:tc>
        <w:tc>
          <w:tcPr>
            <w:tcW w:w="1405" w:type="dxa"/>
            <w:shd w:val="clear" w:color="auto" w:fill="auto"/>
            <w:vAlign w:val="center"/>
          </w:tcPr>
          <w:p>
            <w:pPr>
              <w:pStyle w:val="87"/>
              <w:rPr>
                <w:rFonts w:ascii="仿宋_GB2312" w:hAnsi="仿宋" w:eastAsia="仿宋_GB2312"/>
                <w:sz w:val="21"/>
              </w:rPr>
            </w:pPr>
            <w:r>
              <w:rPr>
                <w:rFonts w:ascii="仿宋_GB2312" w:hAnsi="仿宋" w:eastAsia="仿宋_GB2312"/>
                <w:sz w:val="21"/>
              </w:rPr>
              <w:t>架空线</w:t>
            </w:r>
            <w:r>
              <w:rPr>
                <w:rFonts w:hint="eastAsia" w:ascii="仿宋_GB2312" w:hAnsi="仿宋" w:eastAsia="仿宋_GB2312"/>
                <w:sz w:val="21"/>
              </w:rPr>
              <w:t>（k</w:t>
            </w:r>
            <w:r>
              <w:rPr>
                <w:rFonts w:ascii="仿宋_GB2312" w:hAnsi="仿宋" w:eastAsia="仿宋_GB2312"/>
                <w:sz w:val="21"/>
              </w:rPr>
              <w:t>m</w:t>
            </w:r>
            <w:r>
              <w:rPr>
                <w:rFonts w:hint="eastAsia" w:ascii="仿宋_GB2312" w:hAnsi="仿宋" w:eastAsia="仿宋_GB2312"/>
                <w:sz w:val="21"/>
              </w:rPr>
              <w:t>）</w:t>
            </w:r>
          </w:p>
        </w:tc>
        <w:tc>
          <w:tcPr>
            <w:tcW w:w="1085" w:type="dxa"/>
            <w:shd w:val="clear" w:color="auto" w:fill="auto"/>
            <w:vAlign w:val="center"/>
          </w:tcPr>
          <w:p>
            <w:pPr>
              <w:pStyle w:val="87"/>
              <w:rPr>
                <w:rFonts w:ascii="仿宋_GB2312" w:hAnsi="仿宋" w:eastAsia="仿宋_GB2312"/>
                <w:sz w:val="21"/>
              </w:rPr>
            </w:pPr>
            <w:r>
              <w:rPr>
                <w:rFonts w:ascii="仿宋_GB2312" w:hAnsi="仿宋" w:eastAsia="仿宋_GB2312"/>
                <w:sz w:val="21"/>
              </w:rPr>
              <w:t>电缆线</w:t>
            </w:r>
            <w:r>
              <w:rPr>
                <w:rFonts w:hint="eastAsia" w:ascii="仿宋_GB2312" w:hAnsi="仿宋" w:eastAsia="仿宋_GB2312"/>
                <w:sz w:val="21"/>
              </w:rPr>
              <w:t>（k</w:t>
            </w:r>
            <w:r>
              <w:rPr>
                <w:rFonts w:ascii="仿宋_GB2312" w:hAnsi="仿宋" w:eastAsia="仿宋_GB2312"/>
                <w:sz w:val="21"/>
              </w:rPr>
              <w:t>m</w:t>
            </w:r>
            <w:r>
              <w:rPr>
                <w:rFonts w:hint="eastAsia" w:ascii="仿宋_GB2312" w:hAnsi="仿宋" w:eastAsia="仿宋_GB2312"/>
                <w:sz w:val="21"/>
              </w:rPr>
              <w:t>）</w:t>
            </w:r>
          </w:p>
        </w:tc>
        <w:tc>
          <w:tcPr>
            <w:tcW w:w="1500" w:type="dxa"/>
            <w:shd w:val="clear" w:color="auto" w:fill="auto"/>
            <w:vAlign w:val="center"/>
          </w:tcPr>
          <w:p>
            <w:pPr>
              <w:pStyle w:val="87"/>
              <w:rPr>
                <w:rFonts w:ascii="仿宋_GB2312" w:hAnsi="仿宋" w:eastAsia="仿宋_GB2312"/>
                <w:sz w:val="21"/>
              </w:rPr>
            </w:pPr>
            <w:r>
              <w:rPr>
                <w:rFonts w:ascii="仿宋_GB2312" w:hAnsi="仿宋" w:eastAsia="仿宋_GB2312"/>
                <w:sz w:val="21"/>
              </w:rPr>
              <w:t>容量配置</w:t>
            </w:r>
            <w:r>
              <w:rPr>
                <w:rFonts w:hint="eastAsia" w:ascii="仿宋_GB2312" w:hAnsi="仿宋" w:eastAsia="仿宋_GB2312"/>
                <w:sz w:val="21"/>
              </w:rPr>
              <w:t>(</w:t>
            </w:r>
            <w:r>
              <w:rPr>
                <w:rFonts w:ascii="仿宋_GB2312" w:hAnsi="仿宋" w:eastAsia="仿宋_GB2312"/>
                <w:sz w:val="21"/>
              </w:rPr>
              <w:t>MVA)</w:t>
            </w:r>
          </w:p>
        </w:tc>
        <w:tc>
          <w:tcPr>
            <w:tcW w:w="1326" w:type="dxa"/>
            <w:shd w:val="clear" w:color="auto" w:fill="auto"/>
            <w:vAlign w:val="center"/>
          </w:tcPr>
          <w:p>
            <w:pPr>
              <w:pStyle w:val="87"/>
              <w:rPr>
                <w:rFonts w:ascii="仿宋_GB2312" w:hAnsi="仿宋" w:eastAsia="仿宋_GB2312"/>
                <w:sz w:val="21"/>
              </w:rPr>
            </w:pPr>
            <w:r>
              <w:rPr>
                <w:rFonts w:ascii="仿宋_GB2312" w:hAnsi="仿宋" w:eastAsia="仿宋_GB2312"/>
                <w:sz w:val="21"/>
              </w:rPr>
              <w:t>投资</w:t>
            </w:r>
            <w:r>
              <w:rPr>
                <w:rFonts w:hint="eastAsia" w:ascii="仿宋_GB2312" w:hAnsi="仿宋" w:eastAsia="仿宋_GB2312"/>
                <w:sz w:val="21"/>
              </w:rPr>
              <w:t>（万元）</w:t>
            </w:r>
          </w:p>
        </w:tc>
        <w:tc>
          <w:tcPr>
            <w:tcW w:w="1284" w:type="dxa"/>
            <w:shd w:val="clear" w:color="auto" w:fill="auto"/>
            <w:vAlign w:val="center"/>
          </w:tcPr>
          <w:p>
            <w:pPr>
              <w:pStyle w:val="87"/>
              <w:rPr>
                <w:rFonts w:ascii="仿宋_GB2312" w:hAnsi="仿宋" w:eastAsia="仿宋_GB2312"/>
                <w:sz w:val="21"/>
              </w:rPr>
            </w:pPr>
            <w:r>
              <w:rPr>
                <w:rFonts w:ascii="仿宋_GB2312" w:hAnsi="仿宋" w:eastAsia="仿宋_GB2312"/>
                <w:sz w:val="21"/>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696"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110千伏围垦变输变电工程</w:t>
            </w:r>
          </w:p>
        </w:tc>
        <w:tc>
          <w:tcPr>
            <w:tcW w:w="1405"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4</w:t>
            </w:r>
          </w:p>
        </w:tc>
        <w:tc>
          <w:tcPr>
            <w:tcW w:w="1085"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w:t>
            </w:r>
          </w:p>
        </w:tc>
        <w:tc>
          <w:tcPr>
            <w:tcW w:w="1500"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126</w:t>
            </w:r>
          </w:p>
        </w:tc>
        <w:tc>
          <w:tcPr>
            <w:tcW w:w="1326"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5550</w:t>
            </w:r>
          </w:p>
        </w:tc>
        <w:tc>
          <w:tcPr>
            <w:tcW w:w="128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r>
    </w:tbl>
    <w:p>
      <w:pPr>
        <w:ind w:firstLine="640"/>
        <w:rPr>
          <w:rFonts w:hint="eastAsia" w:ascii="Times New Roman" w:hAnsi="Times New Roman" w:eastAsia="仿宋_GB2312" w:cs="Times New Roman"/>
          <w:kern w:val="0"/>
          <w:sz w:val="32"/>
          <w:szCs w:val="32"/>
          <w:lang w:val="en-US" w:eastAsia="zh-CN" w:bidi="ar-SA"/>
        </w:rPr>
      </w:pPr>
    </w:p>
    <w:p>
      <w:pPr>
        <w:ind w:firstLine="640"/>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35千伏LNG接收站大用户项目均由用户出资。</w:t>
      </w:r>
    </w:p>
    <w:p>
      <w:pPr>
        <w:pStyle w:val="86"/>
        <w:keepLines w:val="0"/>
        <w:numPr>
          <w:ilvl w:val="0"/>
          <w:numId w:val="0"/>
        </w:numPr>
        <w:jc w:val="center"/>
        <w:rPr>
          <w:rFonts w:hint="eastAsia" w:ascii="仿宋_GB2312" w:eastAsia="仿宋_GB2312"/>
        </w:rPr>
      </w:pPr>
      <w:r>
        <w:rPr>
          <w:rFonts w:hint="eastAsia" w:ascii="仿宋_GB2312" w:eastAsia="仿宋_GB2312"/>
        </w:rPr>
        <w:t>表6</w:t>
      </w:r>
      <w:r>
        <w:rPr>
          <w:rFonts w:ascii="仿宋_GB2312" w:eastAsia="仿宋_GB2312"/>
        </w:rPr>
        <w:t>-11 35</w:t>
      </w:r>
      <w:r>
        <w:rPr>
          <w:rFonts w:hint="eastAsia" w:ascii="仿宋_GB2312" w:eastAsia="仿宋_GB2312"/>
        </w:rPr>
        <w:t>千伏</w:t>
      </w:r>
      <w:r>
        <w:rPr>
          <w:rFonts w:ascii="仿宋_GB2312" w:eastAsia="仿宋_GB2312"/>
        </w:rPr>
        <w:t>项目建设情况统计表</w:t>
      </w:r>
      <w:r>
        <w:rPr>
          <w:rFonts w:hint="eastAsia" w:ascii="仿宋_GB2312" w:eastAsia="仿宋_GB2312"/>
        </w:rPr>
        <w:t>结果</w:t>
      </w:r>
    </w:p>
    <w:p>
      <w:pPr>
        <w:pStyle w:val="86"/>
        <w:keepLines w:val="0"/>
        <w:numPr>
          <w:ilvl w:val="0"/>
          <w:numId w:val="0"/>
        </w:numPr>
        <w:jc w:val="right"/>
        <w:rPr>
          <w:rFonts w:ascii="仿宋_GB2312" w:eastAsia="仿宋_GB2312"/>
        </w:rPr>
      </w:pPr>
      <w:r>
        <w:rPr>
          <w:rFonts w:hint="eastAsia" w:ascii="仿宋_GB2312" w:eastAsia="仿宋_GB2312"/>
        </w:rPr>
        <w:t>单位：千米、兆伏安、万元</w:t>
      </w:r>
    </w:p>
    <w:tbl>
      <w:tblPr>
        <w:tblStyle w:val="42"/>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9"/>
        <w:gridCol w:w="1038"/>
        <w:gridCol w:w="777"/>
        <w:gridCol w:w="644"/>
        <w:gridCol w:w="1095"/>
        <w:gridCol w:w="149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079" w:type="dxa"/>
            <w:shd w:val="clear" w:color="auto" w:fill="auto"/>
            <w:vAlign w:val="center"/>
          </w:tcPr>
          <w:p>
            <w:pPr>
              <w:pStyle w:val="87"/>
              <w:rPr>
                <w:rFonts w:ascii="仿宋_GB2312" w:hAnsi="仿宋" w:eastAsia="仿宋_GB2312"/>
                <w:sz w:val="21"/>
              </w:rPr>
            </w:pPr>
            <w:r>
              <w:rPr>
                <w:rFonts w:ascii="仿宋_GB2312" w:hAnsi="仿宋" w:eastAsia="仿宋_GB2312"/>
                <w:sz w:val="21"/>
              </w:rPr>
              <w:t>项目名称</w:t>
            </w:r>
          </w:p>
        </w:tc>
        <w:tc>
          <w:tcPr>
            <w:tcW w:w="1038" w:type="dxa"/>
            <w:vAlign w:val="center"/>
          </w:tcPr>
          <w:p>
            <w:pPr>
              <w:pStyle w:val="87"/>
              <w:rPr>
                <w:rFonts w:ascii="仿宋_GB2312" w:hAnsi="仿宋" w:eastAsia="仿宋_GB2312"/>
                <w:sz w:val="21"/>
              </w:rPr>
            </w:pPr>
            <w:r>
              <w:rPr>
                <w:rFonts w:ascii="仿宋_GB2312" w:hAnsi="仿宋" w:eastAsia="仿宋_GB2312"/>
                <w:sz w:val="21"/>
              </w:rPr>
              <w:t>选址</w:t>
            </w:r>
          </w:p>
        </w:tc>
        <w:tc>
          <w:tcPr>
            <w:tcW w:w="777" w:type="dxa"/>
            <w:shd w:val="clear" w:color="auto" w:fill="auto"/>
            <w:vAlign w:val="center"/>
          </w:tcPr>
          <w:p>
            <w:pPr>
              <w:pStyle w:val="87"/>
              <w:rPr>
                <w:rFonts w:ascii="仿宋_GB2312" w:hAnsi="仿宋" w:eastAsia="仿宋_GB2312"/>
                <w:sz w:val="21"/>
              </w:rPr>
            </w:pPr>
            <w:r>
              <w:rPr>
                <w:rFonts w:ascii="仿宋_GB2312" w:hAnsi="仿宋" w:eastAsia="仿宋_GB2312"/>
                <w:sz w:val="21"/>
              </w:rPr>
              <w:t>架空线</w:t>
            </w:r>
            <w:r>
              <w:rPr>
                <w:rFonts w:hint="eastAsia" w:ascii="仿宋_GB2312" w:hAnsi="仿宋" w:eastAsia="仿宋_GB2312"/>
                <w:sz w:val="21"/>
              </w:rPr>
              <w:t>（k</w:t>
            </w:r>
            <w:r>
              <w:rPr>
                <w:rFonts w:ascii="仿宋_GB2312" w:hAnsi="仿宋" w:eastAsia="仿宋_GB2312"/>
                <w:sz w:val="21"/>
              </w:rPr>
              <w:t>m</w:t>
            </w:r>
            <w:r>
              <w:rPr>
                <w:rFonts w:hint="eastAsia" w:ascii="仿宋_GB2312" w:hAnsi="仿宋" w:eastAsia="仿宋_GB2312"/>
                <w:sz w:val="21"/>
              </w:rPr>
              <w:t>）</w:t>
            </w:r>
          </w:p>
        </w:tc>
        <w:tc>
          <w:tcPr>
            <w:tcW w:w="644" w:type="dxa"/>
            <w:shd w:val="clear" w:color="auto" w:fill="auto"/>
            <w:vAlign w:val="center"/>
          </w:tcPr>
          <w:p>
            <w:pPr>
              <w:pStyle w:val="87"/>
              <w:rPr>
                <w:rFonts w:ascii="仿宋_GB2312" w:hAnsi="仿宋" w:eastAsia="仿宋_GB2312"/>
                <w:sz w:val="21"/>
              </w:rPr>
            </w:pPr>
            <w:r>
              <w:rPr>
                <w:rFonts w:ascii="仿宋_GB2312" w:hAnsi="仿宋" w:eastAsia="仿宋_GB2312"/>
                <w:sz w:val="21"/>
              </w:rPr>
              <w:t>电缆线</w:t>
            </w:r>
            <w:r>
              <w:rPr>
                <w:rFonts w:hint="eastAsia" w:ascii="仿宋_GB2312" w:hAnsi="仿宋" w:eastAsia="仿宋_GB2312"/>
                <w:sz w:val="21"/>
              </w:rPr>
              <w:t>（k</w:t>
            </w:r>
            <w:r>
              <w:rPr>
                <w:rFonts w:ascii="仿宋_GB2312" w:hAnsi="仿宋" w:eastAsia="仿宋_GB2312"/>
                <w:sz w:val="21"/>
              </w:rPr>
              <w:t>m</w:t>
            </w:r>
            <w:r>
              <w:rPr>
                <w:rFonts w:hint="eastAsia" w:ascii="仿宋_GB2312" w:hAnsi="仿宋" w:eastAsia="仿宋_GB2312"/>
                <w:sz w:val="21"/>
              </w:rPr>
              <w:t>）</w:t>
            </w:r>
          </w:p>
        </w:tc>
        <w:tc>
          <w:tcPr>
            <w:tcW w:w="1095" w:type="dxa"/>
            <w:shd w:val="clear" w:color="auto" w:fill="auto"/>
            <w:vAlign w:val="center"/>
          </w:tcPr>
          <w:p>
            <w:pPr>
              <w:pStyle w:val="87"/>
              <w:rPr>
                <w:rFonts w:ascii="仿宋_GB2312" w:hAnsi="仿宋" w:eastAsia="仿宋_GB2312"/>
                <w:sz w:val="21"/>
              </w:rPr>
            </w:pPr>
            <w:r>
              <w:rPr>
                <w:rFonts w:ascii="仿宋_GB2312" w:hAnsi="仿宋" w:eastAsia="仿宋_GB2312"/>
                <w:sz w:val="21"/>
              </w:rPr>
              <w:t>容量配置</w:t>
            </w:r>
          </w:p>
          <w:p>
            <w:pPr>
              <w:pStyle w:val="87"/>
              <w:rPr>
                <w:rFonts w:ascii="仿宋_GB2312" w:hAnsi="仿宋" w:eastAsia="仿宋_GB2312"/>
                <w:sz w:val="21"/>
              </w:rPr>
            </w:pPr>
            <w:r>
              <w:rPr>
                <w:rFonts w:hint="eastAsia" w:ascii="仿宋_GB2312" w:hAnsi="仿宋" w:eastAsia="仿宋_GB2312"/>
                <w:sz w:val="21"/>
              </w:rPr>
              <w:t>(</w:t>
            </w:r>
            <w:r>
              <w:rPr>
                <w:rFonts w:ascii="仿宋_GB2312" w:hAnsi="仿宋" w:eastAsia="仿宋_GB2312"/>
                <w:sz w:val="21"/>
              </w:rPr>
              <w:t>MVA)</w:t>
            </w:r>
          </w:p>
        </w:tc>
        <w:tc>
          <w:tcPr>
            <w:tcW w:w="1495" w:type="dxa"/>
            <w:shd w:val="clear" w:color="auto" w:fill="auto"/>
            <w:vAlign w:val="center"/>
          </w:tcPr>
          <w:p>
            <w:pPr>
              <w:pStyle w:val="87"/>
              <w:rPr>
                <w:rFonts w:ascii="仿宋_GB2312" w:hAnsi="仿宋" w:eastAsia="仿宋_GB2312"/>
                <w:sz w:val="21"/>
              </w:rPr>
            </w:pPr>
            <w:r>
              <w:rPr>
                <w:rFonts w:ascii="仿宋_GB2312" w:hAnsi="仿宋" w:eastAsia="仿宋_GB2312"/>
                <w:sz w:val="21"/>
              </w:rPr>
              <w:t>投资</w:t>
            </w:r>
            <w:r>
              <w:rPr>
                <w:rFonts w:hint="eastAsia" w:ascii="仿宋_GB2312" w:hAnsi="仿宋" w:eastAsia="仿宋_GB2312"/>
                <w:sz w:val="21"/>
              </w:rPr>
              <w:t>（万元）</w:t>
            </w:r>
          </w:p>
        </w:tc>
        <w:tc>
          <w:tcPr>
            <w:tcW w:w="1175" w:type="dxa"/>
            <w:shd w:val="clear" w:color="auto" w:fill="auto"/>
            <w:vAlign w:val="center"/>
          </w:tcPr>
          <w:p>
            <w:pPr>
              <w:pStyle w:val="87"/>
              <w:rPr>
                <w:rFonts w:ascii="仿宋_GB2312" w:hAnsi="仿宋" w:eastAsia="仿宋_GB2312"/>
                <w:sz w:val="21"/>
              </w:rPr>
            </w:pPr>
            <w:r>
              <w:rPr>
                <w:rFonts w:ascii="仿宋_GB2312" w:hAnsi="仿宋" w:eastAsia="仿宋_GB2312"/>
                <w:sz w:val="21"/>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079" w:type="dxa"/>
            <w:vMerge w:val="restart"/>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3</w:t>
            </w:r>
            <w:r>
              <w:rPr>
                <w:rFonts w:ascii="仿宋_GB2312" w:hAnsi="仿宋" w:eastAsia="仿宋_GB2312"/>
                <w:b w:val="0"/>
                <w:sz w:val="21"/>
              </w:rPr>
              <w:t>5</w:t>
            </w:r>
            <w:r>
              <w:rPr>
                <w:rFonts w:hint="eastAsia" w:ascii="仿宋_GB2312" w:hAnsi="仿宋" w:eastAsia="仿宋_GB2312"/>
                <w:b w:val="0"/>
                <w:sz w:val="21"/>
              </w:rPr>
              <w:t>千伏</w:t>
            </w:r>
            <w:r>
              <w:rPr>
                <w:rFonts w:ascii="仿宋_GB2312" w:hAnsi="仿宋" w:eastAsia="仿宋_GB2312"/>
                <w:b w:val="0"/>
                <w:sz w:val="21"/>
              </w:rPr>
              <w:t>用户变</w:t>
            </w:r>
          </w:p>
          <w:p>
            <w:pPr>
              <w:pStyle w:val="87"/>
              <w:rPr>
                <w:rFonts w:ascii="仿宋_GB2312" w:hAnsi="仿宋" w:eastAsia="仿宋_GB2312"/>
                <w:b w:val="0"/>
                <w:sz w:val="21"/>
              </w:rPr>
            </w:pPr>
            <w:r>
              <w:rPr>
                <w:rFonts w:hint="eastAsia" w:ascii="仿宋_GB2312" w:hAnsi="仿宋" w:eastAsia="仿宋_GB2312"/>
                <w:b w:val="0"/>
                <w:sz w:val="21"/>
              </w:rPr>
              <w:t>接入工程</w:t>
            </w:r>
          </w:p>
        </w:tc>
        <w:tc>
          <w:tcPr>
            <w:tcW w:w="1038" w:type="dxa"/>
            <w:vAlign w:val="center"/>
          </w:tcPr>
          <w:p>
            <w:pPr>
              <w:pStyle w:val="87"/>
              <w:rPr>
                <w:rFonts w:ascii="仿宋_GB2312" w:hAnsi="仿宋" w:eastAsia="仿宋_GB2312"/>
                <w:b w:val="0"/>
                <w:sz w:val="21"/>
              </w:rPr>
            </w:pPr>
            <w:r>
              <w:rPr>
                <w:rFonts w:hint="eastAsia" w:ascii="仿宋_GB2312" w:hAnsi="仿宋" w:eastAsia="仿宋_GB2312"/>
                <w:b w:val="0"/>
                <w:sz w:val="21"/>
              </w:rPr>
              <w:t>选址1</w:t>
            </w:r>
          </w:p>
        </w:tc>
        <w:tc>
          <w:tcPr>
            <w:tcW w:w="777"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w:t>
            </w:r>
          </w:p>
        </w:tc>
        <w:tc>
          <w:tcPr>
            <w:tcW w:w="64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3</w:t>
            </w:r>
          </w:p>
        </w:tc>
        <w:tc>
          <w:tcPr>
            <w:tcW w:w="1095"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w:t>
            </w:r>
          </w:p>
        </w:tc>
        <w:tc>
          <w:tcPr>
            <w:tcW w:w="1495" w:type="dxa"/>
            <w:vMerge w:val="restart"/>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用户出资</w:t>
            </w:r>
          </w:p>
        </w:tc>
        <w:tc>
          <w:tcPr>
            <w:tcW w:w="1175" w:type="dxa"/>
            <w:vMerge w:val="restart"/>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079" w:type="dxa"/>
            <w:vMerge w:val="continue"/>
            <w:shd w:val="clear" w:color="auto" w:fill="auto"/>
            <w:vAlign w:val="center"/>
          </w:tcPr>
          <w:p>
            <w:pPr>
              <w:pStyle w:val="87"/>
              <w:rPr>
                <w:rFonts w:ascii="仿宋_GB2312" w:hAnsi="仿宋" w:eastAsia="仿宋_GB2312"/>
                <w:b w:val="0"/>
                <w:sz w:val="21"/>
              </w:rPr>
            </w:pPr>
          </w:p>
        </w:tc>
        <w:tc>
          <w:tcPr>
            <w:tcW w:w="1038" w:type="dxa"/>
            <w:vAlign w:val="center"/>
          </w:tcPr>
          <w:p>
            <w:pPr>
              <w:pStyle w:val="87"/>
              <w:rPr>
                <w:rFonts w:ascii="仿宋_GB2312" w:hAnsi="仿宋" w:eastAsia="仿宋_GB2312"/>
                <w:b w:val="0"/>
                <w:sz w:val="21"/>
              </w:rPr>
            </w:pPr>
            <w:r>
              <w:rPr>
                <w:rFonts w:ascii="仿宋_GB2312" w:hAnsi="仿宋" w:eastAsia="仿宋_GB2312"/>
                <w:b w:val="0"/>
                <w:sz w:val="21"/>
              </w:rPr>
              <w:t>选址</w:t>
            </w:r>
            <w:r>
              <w:rPr>
                <w:rFonts w:hint="eastAsia" w:ascii="仿宋_GB2312" w:hAnsi="仿宋" w:eastAsia="仿宋_GB2312"/>
                <w:b w:val="0"/>
                <w:sz w:val="21"/>
              </w:rPr>
              <w:t>2</w:t>
            </w:r>
          </w:p>
        </w:tc>
        <w:tc>
          <w:tcPr>
            <w:tcW w:w="777"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w:t>
            </w:r>
          </w:p>
        </w:tc>
        <w:tc>
          <w:tcPr>
            <w:tcW w:w="64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.32</w:t>
            </w:r>
          </w:p>
        </w:tc>
        <w:tc>
          <w:tcPr>
            <w:tcW w:w="1095"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w:t>
            </w:r>
          </w:p>
        </w:tc>
        <w:tc>
          <w:tcPr>
            <w:tcW w:w="1495" w:type="dxa"/>
            <w:vMerge w:val="continue"/>
            <w:shd w:val="clear" w:color="auto" w:fill="auto"/>
            <w:vAlign w:val="center"/>
          </w:tcPr>
          <w:p>
            <w:pPr>
              <w:pStyle w:val="87"/>
              <w:rPr>
                <w:rFonts w:ascii="仿宋_GB2312" w:hAnsi="仿宋" w:eastAsia="仿宋_GB2312"/>
                <w:b w:val="0"/>
                <w:sz w:val="21"/>
              </w:rPr>
            </w:pPr>
          </w:p>
        </w:tc>
        <w:tc>
          <w:tcPr>
            <w:tcW w:w="1175" w:type="dxa"/>
            <w:vMerge w:val="continue"/>
            <w:shd w:val="clear" w:color="auto" w:fill="auto"/>
            <w:vAlign w:val="center"/>
          </w:tcPr>
          <w:p>
            <w:pPr>
              <w:pStyle w:val="87"/>
              <w:rPr>
                <w:rFonts w:ascii="仿宋_GB2312" w:hAnsi="仿宋" w:eastAsia="仿宋_GB2312"/>
                <w:b w:val="0"/>
                <w:sz w:val="21"/>
              </w:rPr>
            </w:pP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10千伏项目共建设4项，共架设架空线15.7公里，新上开关数量8台，共计投资589.1万元。</w:t>
      </w:r>
    </w:p>
    <w:p>
      <w:pPr>
        <w:pStyle w:val="86"/>
        <w:keepLines w:val="0"/>
        <w:numPr>
          <w:ilvl w:val="0"/>
          <w:numId w:val="0"/>
        </w:numPr>
        <w:jc w:val="center"/>
        <w:rPr>
          <w:rFonts w:hint="eastAsia" w:ascii="仿宋_GB2312" w:eastAsia="仿宋_GB2312"/>
        </w:rPr>
      </w:pPr>
      <w:r>
        <w:rPr>
          <w:rFonts w:hint="eastAsia" w:ascii="仿宋_GB2312" w:eastAsia="仿宋_GB2312"/>
        </w:rPr>
        <w:t>表6</w:t>
      </w:r>
      <w:r>
        <w:rPr>
          <w:rFonts w:ascii="仿宋_GB2312" w:eastAsia="仿宋_GB2312"/>
        </w:rPr>
        <w:t>-12 10</w:t>
      </w:r>
      <w:r>
        <w:rPr>
          <w:rFonts w:hint="eastAsia" w:ascii="仿宋_GB2312" w:eastAsia="仿宋_GB2312"/>
        </w:rPr>
        <w:t>千伏</w:t>
      </w:r>
      <w:r>
        <w:rPr>
          <w:rFonts w:ascii="仿宋_GB2312" w:eastAsia="仿宋_GB2312"/>
        </w:rPr>
        <w:t>项目建设情况统计表</w:t>
      </w:r>
      <w:r>
        <w:rPr>
          <w:rFonts w:hint="eastAsia" w:ascii="仿宋_GB2312" w:eastAsia="仿宋_GB2312"/>
        </w:rPr>
        <w:t>结果</w:t>
      </w:r>
    </w:p>
    <w:p>
      <w:pPr>
        <w:pStyle w:val="86"/>
        <w:keepLines w:val="0"/>
        <w:numPr>
          <w:ilvl w:val="0"/>
          <w:numId w:val="0"/>
        </w:numPr>
        <w:jc w:val="right"/>
        <w:rPr>
          <w:rFonts w:ascii="仿宋_GB2312" w:eastAsia="仿宋_GB2312"/>
        </w:rPr>
      </w:pPr>
      <w:r>
        <w:rPr>
          <w:rFonts w:hint="eastAsia" w:ascii="仿宋_GB2312" w:eastAsia="仿宋_GB2312"/>
        </w:rPr>
        <w:t>单位：千米、台、万元</w:t>
      </w:r>
    </w:p>
    <w:tbl>
      <w:tblPr>
        <w:tblStyle w:val="4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0"/>
        <w:gridCol w:w="1419"/>
        <w:gridCol w:w="1274"/>
        <w:gridCol w:w="1843"/>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690" w:type="dxa"/>
            <w:shd w:val="clear" w:color="auto" w:fill="auto"/>
            <w:vAlign w:val="center"/>
          </w:tcPr>
          <w:p>
            <w:pPr>
              <w:pStyle w:val="87"/>
              <w:rPr>
                <w:rFonts w:ascii="仿宋_GB2312" w:hAnsi="仿宋" w:eastAsia="仿宋_GB2312"/>
                <w:sz w:val="21"/>
              </w:rPr>
            </w:pPr>
            <w:r>
              <w:rPr>
                <w:rFonts w:ascii="仿宋_GB2312" w:hAnsi="仿宋" w:eastAsia="仿宋_GB2312"/>
                <w:sz w:val="21"/>
              </w:rPr>
              <w:t>项目名称</w:t>
            </w:r>
          </w:p>
        </w:tc>
        <w:tc>
          <w:tcPr>
            <w:tcW w:w="1419" w:type="dxa"/>
            <w:shd w:val="clear" w:color="auto" w:fill="auto"/>
            <w:vAlign w:val="center"/>
          </w:tcPr>
          <w:p>
            <w:pPr>
              <w:pStyle w:val="87"/>
              <w:rPr>
                <w:rFonts w:ascii="仿宋_GB2312" w:hAnsi="仿宋" w:eastAsia="仿宋_GB2312"/>
                <w:sz w:val="21"/>
              </w:rPr>
            </w:pPr>
            <w:r>
              <w:rPr>
                <w:rFonts w:ascii="仿宋_GB2312" w:hAnsi="仿宋" w:eastAsia="仿宋_GB2312"/>
                <w:sz w:val="21"/>
              </w:rPr>
              <w:t>架空线</w:t>
            </w:r>
            <w:r>
              <w:rPr>
                <w:rFonts w:hint="eastAsia" w:ascii="仿宋_GB2312" w:hAnsi="仿宋" w:eastAsia="仿宋_GB2312"/>
                <w:sz w:val="21"/>
              </w:rPr>
              <w:t>（k</w:t>
            </w:r>
            <w:r>
              <w:rPr>
                <w:rFonts w:ascii="仿宋_GB2312" w:hAnsi="仿宋" w:eastAsia="仿宋_GB2312"/>
                <w:sz w:val="21"/>
              </w:rPr>
              <w:t>m</w:t>
            </w:r>
            <w:r>
              <w:rPr>
                <w:rFonts w:hint="eastAsia" w:ascii="仿宋_GB2312" w:hAnsi="仿宋" w:eastAsia="仿宋_GB2312"/>
                <w:sz w:val="21"/>
              </w:rPr>
              <w:t>）</w:t>
            </w:r>
          </w:p>
        </w:tc>
        <w:tc>
          <w:tcPr>
            <w:tcW w:w="1274" w:type="dxa"/>
            <w:shd w:val="clear" w:color="auto" w:fill="auto"/>
            <w:vAlign w:val="center"/>
          </w:tcPr>
          <w:p>
            <w:pPr>
              <w:pStyle w:val="87"/>
              <w:rPr>
                <w:rFonts w:ascii="仿宋_GB2312" w:hAnsi="仿宋" w:eastAsia="仿宋_GB2312"/>
                <w:sz w:val="21"/>
              </w:rPr>
            </w:pPr>
            <w:r>
              <w:rPr>
                <w:rFonts w:hint="eastAsia" w:ascii="仿宋_GB2312" w:hAnsi="仿宋" w:eastAsia="仿宋_GB2312"/>
                <w:sz w:val="21"/>
              </w:rPr>
              <w:t>开关</w:t>
            </w:r>
            <w:r>
              <w:rPr>
                <w:rFonts w:ascii="仿宋_GB2312" w:hAnsi="仿宋" w:eastAsia="仿宋_GB2312"/>
                <w:sz w:val="21"/>
              </w:rPr>
              <w:t>数量</w:t>
            </w:r>
            <w:r>
              <w:rPr>
                <w:rFonts w:hint="eastAsia" w:ascii="仿宋_GB2312" w:hAnsi="仿宋" w:eastAsia="仿宋_GB2312"/>
                <w:sz w:val="21"/>
              </w:rPr>
              <w:t>（台）</w:t>
            </w:r>
          </w:p>
        </w:tc>
        <w:tc>
          <w:tcPr>
            <w:tcW w:w="1843" w:type="dxa"/>
            <w:shd w:val="clear" w:color="auto" w:fill="auto"/>
            <w:vAlign w:val="center"/>
          </w:tcPr>
          <w:p>
            <w:pPr>
              <w:pStyle w:val="87"/>
              <w:rPr>
                <w:rFonts w:ascii="仿宋_GB2312" w:hAnsi="仿宋" w:eastAsia="仿宋_GB2312"/>
                <w:sz w:val="21"/>
              </w:rPr>
            </w:pPr>
            <w:r>
              <w:rPr>
                <w:rFonts w:ascii="仿宋_GB2312" w:hAnsi="仿宋" w:eastAsia="仿宋_GB2312"/>
                <w:sz w:val="21"/>
              </w:rPr>
              <w:t>投资</w:t>
            </w:r>
            <w:r>
              <w:rPr>
                <w:rFonts w:hint="eastAsia" w:ascii="仿宋_GB2312" w:hAnsi="仿宋" w:eastAsia="仿宋_GB2312"/>
                <w:sz w:val="21"/>
              </w:rPr>
              <w:t>（万元）</w:t>
            </w:r>
          </w:p>
        </w:tc>
        <w:tc>
          <w:tcPr>
            <w:tcW w:w="1070" w:type="dxa"/>
            <w:shd w:val="clear" w:color="auto" w:fill="auto"/>
            <w:vAlign w:val="center"/>
          </w:tcPr>
          <w:p>
            <w:pPr>
              <w:pStyle w:val="87"/>
              <w:rPr>
                <w:rFonts w:ascii="仿宋_GB2312" w:hAnsi="仿宋" w:eastAsia="仿宋_GB2312"/>
                <w:sz w:val="21"/>
              </w:rPr>
            </w:pPr>
            <w:r>
              <w:rPr>
                <w:rFonts w:ascii="仿宋_GB2312" w:hAnsi="仿宋" w:eastAsia="仿宋_GB2312"/>
                <w:sz w:val="21"/>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69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五星B</w:t>
            </w:r>
            <w:r>
              <w:rPr>
                <w:rFonts w:ascii="仿宋_GB2312" w:hAnsi="仿宋" w:eastAsia="仿宋_GB2312"/>
                <w:b w:val="0"/>
                <w:sz w:val="21"/>
              </w:rPr>
              <w:t>681线小支支线导线更换工程</w:t>
            </w:r>
          </w:p>
        </w:tc>
        <w:tc>
          <w:tcPr>
            <w:tcW w:w="1419"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.9</w:t>
            </w:r>
          </w:p>
        </w:tc>
        <w:tc>
          <w:tcPr>
            <w:tcW w:w="127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0</w:t>
            </w:r>
          </w:p>
        </w:tc>
        <w:tc>
          <w:tcPr>
            <w:tcW w:w="1843"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01.5</w:t>
            </w:r>
          </w:p>
        </w:tc>
        <w:tc>
          <w:tcPr>
            <w:tcW w:w="107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690"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1线新建</w:t>
            </w:r>
            <w:r>
              <w:rPr>
                <w:rFonts w:hint="eastAsia" w:ascii="仿宋_GB2312" w:hAnsi="仿宋" w:eastAsia="仿宋_GB2312"/>
                <w:b w:val="0"/>
                <w:sz w:val="21"/>
              </w:rPr>
              <w:t>工程</w:t>
            </w:r>
          </w:p>
        </w:tc>
        <w:tc>
          <w:tcPr>
            <w:tcW w:w="1419"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2.8</w:t>
            </w:r>
          </w:p>
        </w:tc>
        <w:tc>
          <w:tcPr>
            <w:tcW w:w="127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3</w:t>
            </w:r>
          </w:p>
        </w:tc>
        <w:tc>
          <w:tcPr>
            <w:tcW w:w="1843"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113</w:t>
            </w:r>
          </w:p>
        </w:tc>
        <w:tc>
          <w:tcPr>
            <w:tcW w:w="107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690"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2</w:t>
            </w:r>
            <w:r>
              <w:rPr>
                <w:rFonts w:hint="eastAsia" w:ascii="仿宋_GB2312" w:hAnsi="仿宋" w:eastAsia="仿宋_GB2312"/>
                <w:b w:val="0"/>
                <w:sz w:val="21"/>
              </w:rPr>
              <w:t>、0</w:t>
            </w:r>
            <w:r>
              <w:rPr>
                <w:rFonts w:ascii="仿宋_GB2312" w:hAnsi="仿宋" w:eastAsia="仿宋_GB2312"/>
                <w:b w:val="0"/>
                <w:sz w:val="21"/>
              </w:rPr>
              <w:t>3线</w:t>
            </w:r>
          </w:p>
          <w:p>
            <w:pPr>
              <w:pStyle w:val="87"/>
              <w:rPr>
                <w:rFonts w:ascii="仿宋_GB2312" w:hAnsi="仿宋" w:eastAsia="仿宋_GB2312"/>
                <w:b w:val="0"/>
                <w:sz w:val="21"/>
              </w:rPr>
            </w:pPr>
            <w:r>
              <w:rPr>
                <w:rFonts w:ascii="仿宋_GB2312" w:hAnsi="仿宋" w:eastAsia="仿宋_GB2312"/>
                <w:b w:val="0"/>
                <w:sz w:val="21"/>
              </w:rPr>
              <w:t>新建</w:t>
            </w:r>
            <w:r>
              <w:rPr>
                <w:rFonts w:hint="eastAsia" w:ascii="仿宋_GB2312" w:hAnsi="仿宋" w:eastAsia="仿宋_GB2312"/>
                <w:b w:val="0"/>
                <w:sz w:val="21"/>
              </w:rPr>
              <w:t>工程</w:t>
            </w:r>
          </w:p>
        </w:tc>
        <w:tc>
          <w:tcPr>
            <w:tcW w:w="1419"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4</w:t>
            </w:r>
            <w:r>
              <w:rPr>
                <w:rFonts w:ascii="仿宋_GB2312" w:hAnsi="仿宋" w:eastAsia="仿宋_GB2312"/>
                <w:b w:val="0"/>
                <w:sz w:val="21"/>
              </w:rPr>
              <w:t>.35</w:t>
            </w:r>
          </w:p>
        </w:tc>
        <w:tc>
          <w:tcPr>
            <w:tcW w:w="127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3</w:t>
            </w:r>
          </w:p>
        </w:tc>
        <w:tc>
          <w:tcPr>
            <w:tcW w:w="1843"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67.25</w:t>
            </w:r>
          </w:p>
        </w:tc>
        <w:tc>
          <w:tcPr>
            <w:tcW w:w="107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69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新建</w:t>
            </w: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6线</w:t>
            </w:r>
            <w:r>
              <w:rPr>
                <w:rFonts w:hint="eastAsia" w:ascii="仿宋_GB2312" w:hAnsi="仿宋" w:eastAsia="仿宋_GB2312"/>
                <w:b w:val="0"/>
                <w:sz w:val="21"/>
              </w:rPr>
              <w:t>与</w:t>
            </w:r>
          </w:p>
          <w:p>
            <w:pPr>
              <w:pStyle w:val="87"/>
              <w:rPr>
                <w:rFonts w:ascii="仿宋_GB2312" w:hAnsi="仿宋" w:eastAsia="仿宋_GB2312"/>
                <w:b w:val="0"/>
                <w:sz w:val="21"/>
              </w:rPr>
            </w:pPr>
            <w:r>
              <w:rPr>
                <w:rFonts w:ascii="仿宋_GB2312" w:hAnsi="仿宋" w:eastAsia="仿宋_GB2312"/>
                <w:b w:val="0"/>
                <w:sz w:val="21"/>
              </w:rPr>
              <w:t>围垦</w:t>
            </w:r>
            <w:r>
              <w:rPr>
                <w:rFonts w:hint="eastAsia" w:ascii="仿宋_GB2312" w:hAnsi="仿宋" w:eastAsia="仿宋_GB2312"/>
                <w:b w:val="0"/>
                <w:sz w:val="21"/>
              </w:rPr>
              <w:t>0</w:t>
            </w:r>
            <w:r>
              <w:rPr>
                <w:rFonts w:ascii="仿宋_GB2312" w:hAnsi="仿宋" w:eastAsia="仿宋_GB2312"/>
                <w:b w:val="0"/>
                <w:sz w:val="21"/>
              </w:rPr>
              <w:t>1线联络</w:t>
            </w:r>
            <w:r>
              <w:rPr>
                <w:rFonts w:hint="eastAsia" w:ascii="仿宋_GB2312" w:hAnsi="仿宋" w:eastAsia="仿宋_GB2312"/>
                <w:b w:val="0"/>
                <w:sz w:val="21"/>
              </w:rPr>
              <w:t>工程</w:t>
            </w:r>
          </w:p>
        </w:tc>
        <w:tc>
          <w:tcPr>
            <w:tcW w:w="1419"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5.65</w:t>
            </w:r>
          </w:p>
        </w:tc>
        <w:tc>
          <w:tcPr>
            <w:tcW w:w="1274"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p>
        </w:tc>
        <w:tc>
          <w:tcPr>
            <w:tcW w:w="1843"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207.75</w:t>
            </w:r>
          </w:p>
        </w:tc>
        <w:tc>
          <w:tcPr>
            <w:tcW w:w="107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269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合计</w:t>
            </w:r>
          </w:p>
        </w:tc>
        <w:tc>
          <w:tcPr>
            <w:tcW w:w="1419"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15.7</w:t>
            </w:r>
          </w:p>
        </w:tc>
        <w:tc>
          <w:tcPr>
            <w:tcW w:w="1274"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8</w:t>
            </w:r>
          </w:p>
        </w:tc>
        <w:tc>
          <w:tcPr>
            <w:tcW w:w="1843" w:type="dxa"/>
            <w:shd w:val="clear" w:color="auto" w:fill="auto"/>
            <w:vAlign w:val="center"/>
          </w:tcPr>
          <w:p>
            <w:pPr>
              <w:pStyle w:val="87"/>
              <w:rPr>
                <w:rFonts w:ascii="仿宋_GB2312" w:hAnsi="仿宋" w:eastAsia="仿宋_GB2312"/>
                <w:b w:val="0"/>
                <w:sz w:val="21"/>
              </w:rPr>
            </w:pPr>
            <w:r>
              <w:rPr>
                <w:rFonts w:ascii="仿宋_GB2312" w:hAnsi="仿宋" w:eastAsia="仿宋_GB2312"/>
                <w:b w:val="0"/>
                <w:sz w:val="21"/>
              </w:rPr>
              <w:t>589.1</w:t>
            </w:r>
          </w:p>
        </w:tc>
        <w:tc>
          <w:tcPr>
            <w:tcW w:w="1070" w:type="dxa"/>
            <w:shd w:val="clear" w:color="auto" w:fill="auto"/>
            <w:vAlign w:val="center"/>
          </w:tcPr>
          <w:p>
            <w:pPr>
              <w:pStyle w:val="87"/>
              <w:rPr>
                <w:rFonts w:ascii="仿宋_GB2312" w:hAnsi="仿宋" w:eastAsia="仿宋_GB2312"/>
                <w:b w:val="0"/>
                <w:sz w:val="21"/>
              </w:rPr>
            </w:pPr>
            <w:r>
              <w:rPr>
                <w:rFonts w:hint="eastAsia" w:ascii="仿宋_GB2312" w:hAnsi="仿宋" w:eastAsia="仿宋_GB2312"/>
                <w:b w:val="0"/>
                <w:sz w:val="21"/>
              </w:rPr>
              <w:t>/</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试点区域配电自动化建设共新增智能FTU终端8台，通信光缆采用24芯光缆，共新建光缆长度15.47公里。总投资136.96万元。</w:t>
      </w:r>
    </w:p>
    <w:tbl>
      <w:tblPr>
        <w:tblStyle w:val="42"/>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2115"/>
        <w:gridCol w:w="3695"/>
        <w:gridCol w:w="98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序号</w:t>
            </w:r>
          </w:p>
        </w:tc>
        <w:tc>
          <w:tcPr>
            <w:tcW w:w="211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项目名称</w:t>
            </w:r>
          </w:p>
        </w:tc>
        <w:tc>
          <w:tcPr>
            <w:tcW w:w="369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工程规模</w:t>
            </w:r>
          </w:p>
        </w:tc>
        <w:tc>
          <w:tcPr>
            <w:tcW w:w="986"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投产年份</w:t>
            </w:r>
          </w:p>
        </w:tc>
        <w:tc>
          <w:tcPr>
            <w:tcW w:w="1088"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项目投资</w:t>
            </w:r>
          </w:p>
          <w:p>
            <w:pPr>
              <w:pStyle w:val="87"/>
              <w:keepNext w:val="0"/>
              <w:rPr>
                <w:rFonts w:ascii="仿宋_GB2312" w:hAnsi="仿宋" w:eastAsia="仿宋_GB2312"/>
                <w:sz w:val="21"/>
              </w:rPr>
            </w:pPr>
            <w:r>
              <w:rPr>
                <w:rFonts w:hint="eastAsia" w:ascii="仿宋_GB2312" w:hAnsi="仿宋" w:eastAsia="仿宋_GB2312"/>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211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369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986"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1088"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1</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试点区域配电自动化</w:t>
            </w:r>
          </w:p>
          <w:p>
            <w:pPr>
              <w:pStyle w:val="87"/>
              <w:keepNext w:val="0"/>
              <w:rPr>
                <w:rFonts w:ascii="仿宋_GB2312" w:hAnsi="仿宋" w:eastAsia="仿宋_GB2312"/>
                <w:b w:val="0"/>
                <w:sz w:val="21"/>
              </w:rPr>
            </w:pPr>
            <w:r>
              <w:rPr>
                <w:rFonts w:hint="eastAsia" w:ascii="仿宋_GB2312" w:hAnsi="仿宋" w:eastAsia="仿宋_GB2312"/>
                <w:b w:val="0"/>
                <w:sz w:val="21"/>
              </w:rPr>
              <w:t>建设工程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新增8台智能FTU终端，通信光缆采用24芯光缆，新建光缆长度</w:t>
            </w:r>
            <w:r>
              <w:rPr>
                <w:rFonts w:ascii="仿宋_GB2312" w:hAnsi="仿宋" w:eastAsia="仿宋_GB2312"/>
                <w:b w:val="0"/>
                <w:sz w:val="21"/>
              </w:rPr>
              <w:t>15.47</w:t>
            </w:r>
            <w:r>
              <w:rPr>
                <w:rFonts w:hint="eastAsia" w:ascii="仿宋_GB2312" w:hAnsi="仿宋" w:eastAsia="仿宋_GB2312"/>
                <w:b w:val="0"/>
                <w:sz w:val="21"/>
              </w:rPr>
              <w:t>公里</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r>
              <w:rPr>
                <w:rFonts w:hint="eastAsia" w:ascii="仿宋_GB2312" w:hAnsi="仿宋" w:eastAsia="仿宋_GB2312"/>
                <w:b w:val="0"/>
                <w:sz w:val="21"/>
              </w:rPr>
              <w:t>-</w:t>
            </w:r>
            <w:r>
              <w:rPr>
                <w:rFonts w:ascii="仿宋_GB2312" w:hAnsi="仿宋" w:eastAsia="仿宋_GB2312"/>
                <w:b w:val="0"/>
                <w:sz w:val="21"/>
              </w:rPr>
              <w:t>2025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136.96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547" w:type="dxa"/>
            <w:gridSpan w:val="2"/>
            <w:vAlign w:val="center"/>
          </w:tcPr>
          <w:p>
            <w:pPr>
              <w:pStyle w:val="87"/>
              <w:keepNext w:val="0"/>
              <w:rPr>
                <w:rFonts w:ascii="仿宋_GB2312" w:hAnsi="仿宋" w:eastAsia="仿宋_GB2312"/>
                <w:b w:val="0"/>
                <w:sz w:val="21"/>
              </w:rPr>
            </w:pPr>
            <w:r>
              <w:rPr>
                <w:rFonts w:hint="eastAsia" w:ascii="仿宋_GB2312" w:hAnsi="仿宋" w:eastAsia="仿宋_GB2312"/>
                <w:b w:val="0"/>
                <w:sz w:val="21"/>
              </w:rPr>
              <w:t>合计</w:t>
            </w:r>
          </w:p>
        </w:tc>
        <w:tc>
          <w:tcPr>
            <w:tcW w:w="3695" w:type="dxa"/>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136.96</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399" w:name="_Toc29469604"/>
      <w:r>
        <w:rPr>
          <w:rFonts w:hint="eastAsia" w:ascii="楷体_GB2312" w:hAnsi="楷体_GB2312" w:eastAsia="楷体_GB2312" w:cs="楷体_GB2312"/>
          <w:kern w:val="0"/>
          <w:sz w:val="32"/>
          <w:szCs w:val="32"/>
          <w:lang w:val="en-US" w:eastAsia="zh-CN"/>
        </w:rPr>
        <w:t>（四）</w:t>
      </w:r>
      <w:bookmarkEnd w:id="399"/>
      <w:bookmarkStart w:id="400" w:name="_Toc29469605"/>
      <w:r>
        <w:rPr>
          <w:rFonts w:hint="eastAsia" w:ascii="楷体_GB2312" w:hAnsi="楷体_GB2312" w:eastAsia="楷体_GB2312" w:cs="楷体_GB2312"/>
          <w:kern w:val="0"/>
          <w:sz w:val="32"/>
          <w:szCs w:val="32"/>
          <w:lang w:val="en-US" w:eastAsia="zh-CN"/>
        </w:rPr>
        <w:t>技术经济指标校核</w:t>
      </w:r>
      <w:bookmarkEnd w:id="400"/>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根据《中压配电网可靠性评估导则（DL/T 1563-2016）》中的“两状态模型”和“三状态模型”，并结合《中低压配电网能效评估导则（GB/T 31367-2015）》的相关要求。经评估，2020年试点区域供电可靠率将达到99.95%，户均停电时间不高于4.38小时，综合电压合格率达到99.7%；2025年试点区域供电可靠率将达到99.965%，户均停电时间不高于3小时，综合电压合格率达到99.95%；远景年试点区域供电可靠率将达到99.98%、户均停电时间不高于1.75小时、综合电压合格率达到99.98%。</w:t>
      </w:r>
    </w:p>
    <w:p>
      <w:pPr>
        <w:pStyle w:val="86"/>
        <w:keepLines w:val="0"/>
        <w:numPr>
          <w:ilvl w:val="0"/>
          <w:numId w:val="0"/>
        </w:numPr>
        <w:jc w:val="center"/>
        <w:rPr>
          <w:rFonts w:ascii="仿宋_GB2312" w:eastAsia="仿宋_GB2312"/>
        </w:rPr>
      </w:pPr>
      <w:r>
        <w:rPr>
          <w:rFonts w:ascii="仿宋_GB2312" w:eastAsia="仿宋_GB2312"/>
        </w:rPr>
        <w:t>表</w:t>
      </w:r>
      <w:r>
        <w:rPr>
          <w:rFonts w:hint="eastAsia" w:ascii="仿宋_GB2312" w:eastAsia="仿宋_GB2312"/>
        </w:rPr>
        <w:t>6</w:t>
      </w:r>
      <w:r>
        <w:rPr>
          <w:rFonts w:ascii="仿宋_GB2312" w:eastAsia="仿宋_GB2312"/>
        </w:rPr>
        <w:t>-1</w:t>
      </w:r>
      <w:r>
        <w:rPr>
          <w:rFonts w:hint="eastAsia" w:ascii="仿宋_GB2312" w:eastAsia="仿宋_GB2312"/>
          <w:lang w:val="en-US" w:eastAsia="zh-CN"/>
        </w:rPr>
        <w:t>3</w:t>
      </w:r>
      <w:r>
        <w:rPr>
          <w:rFonts w:hint="eastAsia" w:ascii="仿宋_GB2312" w:eastAsia="仿宋_GB2312"/>
        </w:rPr>
        <w:t>试点区域1</w:t>
      </w:r>
      <w:r>
        <w:rPr>
          <w:rFonts w:ascii="仿宋_GB2312" w:eastAsia="仿宋_GB2312"/>
        </w:rPr>
        <w:t>0</w:t>
      </w:r>
      <w:r>
        <w:rPr>
          <w:rFonts w:hint="eastAsia" w:ascii="仿宋_GB2312" w:eastAsia="仿宋_GB2312"/>
        </w:rPr>
        <w:t>千伏电网规划成效</w:t>
      </w:r>
    </w:p>
    <w:tbl>
      <w:tblPr>
        <w:tblStyle w:val="4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5"/>
        <w:gridCol w:w="1025"/>
        <w:gridCol w:w="1024"/>
        <w:gridCol w:w="1002"/>
        <w:gridCol w:w="1024"/>
        <w:gridCol w:w="1024"/>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tblHeader/>
          <w:jc w:val="center"/>
        </w:trPr>
        <w:tc>
          <w:tcPr>
            <w:tcW w:w="2195" w:type="dxa"/>
            <w:vAlign w:val="center"/>
          </w:tcPr>
          <w:p>
            <w:pPr>
              <w:pStyle w:val="87"/>
              <w:rPr>
                <w:rFonts w:ascii="仿宋_GB2312" w:hAnsi="仿宋" w:eastAsia="仿宋_GB2312"/>
                <w:sz w:val="21"/>
              </w:rPr>
            </w:pPr>
            <w:r>
              <w:rPr>
                <w:rFonts w:hint="eastAsia" w:ascii="仿宋_GB2312" w:hAnsi="仿宋" w:eastAsia="仿宋_GB2312"/>
                <w:sz w:val="21"/>
              </w:rPr>
              <w:t>指标名称</w:t>
            </w:r>
          </w:p>
        </w:tc>
        <w:tc>
          <w:tcPr>
            <w:tcW w:w="1025" w:type="dxa"/>
            <w:vAlign w:val="center"/>
          </w:tcPr>
          <w:p>
            <w:pPr>
              <w:pStyle w:val="87"/>
              <w:rPr>
                <w:rFonts w:ascii="仿宋_GB2312" w:hAnsi="仿宋" w:eastAsia="仿宋_GB2312"/>
                <w:sz w:val="21"/>
              </w:rPr>
            </w:pPr>
            <w:r>
              <w:rPr>
                <w:rFonts w:hint="eastAsia" w:ascii="仿宋_GB2312" w:hAnsi="仿宋" w:eastAsia="仿宋_GB2312"/>
                <w:sz w:val="21"/>
              </w:rPr>
              <w:t>现状年</w:t>
            </w:r>
          </w:p>
        </w:tc>
        <w:tc>
          <w:tcPr>
            <w:tcW w:w="1024" w:type="dxa"/>
            <w:vAlign w:val="center"/>
          </w:tcPr>
          <w:p>
            <w:pPr>
              <w:pStyle w:val="87"/>
              <w:rPr>
                <w:rFonts w:ascii="仿宋_GB2312" w:hAnsi="仿宋" w:eastAsia="仿宋_GB2312"/>
                <w:sz w:val="21"/>
              </w:rPr>
            </w:pPr>
            <w:r>
              <w:rPr>
                <w:rFonts w:hint="eastAsia" w:ascii="仿宋_GB2312" w:hAnsi="仿宋" w:eastAsia="仿宋_GB2312"/>
                <w:sz w:val="21"/>
              </w:rPr>
              <w:t>2019</w:t>
            </w:r>
          </w:p>
        </w:tc>
        <w:tc>
          <w:tcPr>
            <w:tcW w:w="1002" w:type="dxa"/>
            <w:vAlign w:val="center"/>
          </w:tcPr>
          <w:p>
            <w:pPr>
              <w:pStyle w:val="87"/>
              <w:rPr>
                <w:rFonts w:ascii="仿宋_GB2312" w:hAnsi="仿宋" w:eastAsia="仿宋_GB2312"/>
                <w:sz w:val="21"/>
              </w:rPr>
            </w:pPr>
            <w:r>
              <w:rPr>
                <w:rFonts w:hint="eastAsia" w:ascii="仿宋_GB2312" w:hAnsi="仿宋" w:eastAsia="仿宋_GB2312"/>
                <w:sz w:val="21"/>
              </w:rPr>
              <w:t>2020</w:t>
            </w:r>
          </w:p>
        </w:tc>
        <w:tc>
          <w:tcPr>
            <w:tcW w:w="1024" w:type="dxa"/>
            <w:vAlign w:val="center"/>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021</w:t>
            </w:r>
          </w:p>
        </w:tc>
        <w:tc>
          <w:tcPr>
            <w:tcW w:w="1024" w:type="dxa"/>
            <w:vAlign w:val="center"/>
          </w:tcPr>
          <w:p>
            <w:pPr>
              <w:pStyle w:val="87"/>
              <w:rPr>
                <w:rFonts w:ascii="仿宋_GB2312" w:hAnsi="仿宋" w:eastAsia="仿宋_GB2312"/>
                <w:sz w:val="21"/>
              </w:rPr>
            </w:pPr>
            <w:r>
              <w:rPr>
                <w:rFonts w:hint="eastAsia" w:ascii="仿宋_GB2312" w:hAnsi="仿宋" w:eastAsia="仿宋_GB2312"/>
                <w:sz w:val="21"/>
              </w:rPr>
              <w:t>2</w:t>
            </w:r>
            <w:r>
              <w:rPr>
                <w:rFonts w:ascii="仿宋_GB2312" w:hAnsi="仿宋" w:eastAsia="仿宋_GB2312"/>
                <w:sz w:val="21"/>
              </w:rPr>
              <w:t>025</w:t>
            </w:r>
          </w:p>
        </w:tc>
        <w:tc>
          <w:tcPr>
            <w:tcW w:w="1002" w:type="dxa"/>
            <w:vAlign w:val="center"/>
          </w:tcPr>
          <w:p>
            <w:pPr>
              <w:pStyle w:val="87"/>
              <w:rPr>
                <w:rFonts w:ascii="仿宋_GB2312" w:hAnsi="仿宋" w:eastAsia="仿宋_GB2312"/>
                <w:sz w:val="21"/>
              </w:rPr>
            </w:pPr>
            <w:r>
              <w:rPr>
                <w:rFonts w:hint="eastAsia" w:ascii="仿宋_GB2312" w:hAnsi="仿宋" w:eastAsia="仿宋_GB2312"/>
                <w:sz w:val="21"/>
              </w:rPr>
              <w:t>远景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195" w:type="dxa"/>
            <w:vAlign w:val="center"/>
          </w:tcPr>
          <w:p>
            <w:pPr>
              <w:pStyle w:val="87"/>
              <w:rPr>
                <w:rFonts w:ascii="仿宋_GB2312" w:hAnsi="仿宋" w:eastAsia="仿宋_GB2312"/>
                <w:b w:val="0"/>
                <w:sz w:val="21"/>
              </w:rPr>
            </w:pPr>
            <w:r>
              <w:rPr>
                <w:rFonts w:hint="eastAsia" w:ascii="仿宋_GB2312" w:hAnsi="仿宋" w:eastAsia="仿宋_GB2312"/>
                <w:b w:val="0"/>
                <w:sz w:val="21"/>
              </w:rPr>
              <w:t>供电可靠率（%）</w:t>
            </w:r>
          </w:p>
        </w:tc>
        <w:tc>
          <w:tcPr>
            <w:tcW w:w="1025" w:type="dxa"/>
            <w:vAlign w:val="center"/>
          </w:tcPr>
          <w:p>
            <w:pPr>
              <w:pStyle w:val="87"/>
              <w:rPr>
                <w:rFonts w:ascii="仿宋_GB2312" w:hAnsi="仿宋" w:eastAsia="仿宋_GB2312"/>
                <w:b w:val="0"/>
                <w:sz w:val="21"/>
              </w:rPr>
            </w:pPr>
            <w:r>
              <w:rPr>
                <w:rFonts w:hint="eastAsia" w:ascii="仿宋_GB2312" w:hAnsi="仿宋" w:eastAsia="仿宋_GB2312"/>
                <w:b w:val="0"/>
                <w:sz w:val="21"/>
              </w:rPr>
              <w:t>9</w:t>
            </w:r>
            <w:r>
              <w:rPr>
                <w:rFonts w:ascii="仿宋_GB2312" w:hAnsi="仿宋" w:eastAsia="仿宋_GB2312"/>
                <w:b w:val="0"/>
                <w:sz w:val="21"/>
              </w:rPr>
              <w:t>9.91</w:t>
            </w:r>
          </w:p>
        </w:tc>
        <w:tc>
          <w:tcPr>
            <w:tcW w:w="1024" w:type="dxa"/>
            <w:vAlign w:val="center"/>
          </w:tcPr>
          <w:p>
            <w:pPr>
              <w:pStyle w:val="87"/>
              <w:rPr>
                <w:rFonts w:ascii="仿宋_GB2312" w:hAnsi="仿宋" w:eastAsia="仿宋_GB2312"/>
                <w:b w:val="0"/>
                <w:sz w:val="21"/>
              </w:rPr>
            </w:pPr>
            <w:r>
              <w:rPr>
                <w:rFonts w:hint="eastAsia" w:ascii="仿宋_GB2312" w:hAnsi="仿宋" w:eastAsia="仿宋_GB2312"/>
                <w:b w:val="0"/>
                <w:sz w:val="21"/>
              </w:rPr>
              <w:t>9</w:t>
            </w:r>
            <w:r>
              <w:rPr>
                <w:rFonts w:ascii="仿宋_GB2312" w:hAnsi="仿宋" w:eastAsia="仿宋_GB2312"/>
                <w:b w:val="0"/>
                <w:sz w:val="21"/>
              </w:rPr>
              <w:t>9.91</w:t>
            </w:r>
          </w:p>
        </w:tc>
        <w:tc>
          <w:tcPr>
            <w:tcW w:w="1002" w:type="dxa"/>
            <w:vAlign w:val="center"/>
          </w:tcPr>
          <w:p>
            <w:pPr>
              <w:pStyle w:val="87"/>
              <w:rPr>
                <w:rFonts w:ascii="仿宋_GB2312" w:hAnsi="仿宋" w:eastAsia="仿宋_GB2312"/>
                <w:b w:val="0"/>
                <w:sz w:val="21"/>
              </w:rPr>
            </w:pPr>
            <w:r>
              <w:rPr>
                <w:rFonts w:ascii="仿宋_GB2312" w:hAnsi="仿宋" w:eastAsia="仿宋_GB2312"/>
                <w:b w:val="0"/>
                <w:sz w:val="21"/>
              </w:rPr>
              <w:t>99.95</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99.95</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99.965</w:t>
            </w:r>
          </w:p>
        </w:tc>
        <w:tc>
          <w:tcPr>
            <w:tcW w:w="1002" w:type="dxa"/>
            <w:vAlign w:val="center"/>
          </w:tcPr>
          <w:p>
            <w:pPr>
              <w:pStyle w:val="87"/>
              <w:rPr>
                <w:rFonts w:ascii="仿宋_GB2312" w:hAnsi="仿宋" w:eastAsia="仿宋_GB2312"/>
                <w:b w:val="0"/>
                <w:sz w:val="21"/>
              </w:rPr>
            </w:pPr>
            <w:r>
              <w:rPr>
                <w:rFonts w:ascii="仿宋_GB2312" w:hAnsi="仿宋" w:eastAsia="仿宋_GB2312"/>
                <w:b w:val="0"/>
                <w:sz w:val="21"/>
              </w:rPr>
              <w:t>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195" w:type="dxa"/>
            <w:vAlign w:val="center"/>
          </w:tcPr>
          <w:p>
            <w:pPr>
              <w:pStyle w:val="87"/>
              <w:rPr>
                <w:rFonts w:ascii="仿宋_GB2312" w:hAnsi="仿宋" w:eastAsia="仿宋_GB2312"/>
                <w:b w:val="0"/>
                <w:sz w:val="21"/>
              </w:rPr>
            </w:pPr>
            <w:r>
              <w:rPr>
                <w:rFonts w:hint="eastAsia" w:ascii="仿宋_GB2312" w:hAnsi="仿宋" w:eastAsia="仿宋_GB2312"/>
                <w:b w:val="0"/>
                <w:sz w:val="21"/>
              </w:rPr>
              <w:t>户均停电时间（h）</w:t>
            </w:r>
          </w:p>
        </w:tc>
        <w:tc>
          <w:tcPr>
            <w:tcW w:w="1025" w:type="dxa"/>
            <w:vAlign w:val="center"/>
          </w:tcPr>
          <w:p>
            <w:pPr>
              <w:pStyle w:val="87"/>
              <w:rPr>
                <w:rFonts w:ascii="仿宋_GB2312" w:hAnsi="仿宋" w:eastAsia="仿宋_GB2312"/>
                <w:b w:val="0"/>
                <w:sz w:val="21"/>
              </w:rPr>
            </w:pPr>
            <w:r>
              <w:rPr>
                <w:rFonts w:hint="eastAsia" w:ascii="仿宋_GB2312" w:hAnsi="仿宋" w:eastAsia="仿宋_GB2312"/>
                <w:b w:val="0"/>
                <w:sz w:val="21"/>
              </w:rPr>
              <w:t>7</w:t>
            </w:r>
            <w:r>
              <w:rPr>
                <w:rFonts w:ascii="仿宋_GB2312" w:hAnsi="仿宋" w:eastAsia="仿宋_GB2312"/>
                <w:b w:val="0"/>
                <w:sz w:val="21"/>
              </w:rPr>
              <w:t>.83</w:t>
            </w:r>
          </w:p>
        </w:tc>
        <w:tc>
          <w:tcPr>
            <w:tcW w:w="1024" w:type="dxa"/>
            <w:vAlign w:val="center"/>
          </w:tcPr>
          <w:p>
            <w:pPr>
              <w:pStyle w:val="87"/>
              <w:rPr>
                <w:rFonts w:ascii="仿宋_GB2312" w:hAnsi="仿宋" w:eastAsia="仿宋_GB2312"/>
                <w:b w:val="0"/>
                <w:sz w:val="21"/>
              </w:rPr>
            </w:pPr>
            <w:r>
              <w:rPr>
                <w:rFonts w:hint="eastAsia" w:ascii="仿宋_GB2312" w:hAnsi="仿宋" w:eastAsia="仿宋_GB2312"/>
                <w:b w:val="0"/>
                <w:sz w:val="21"/>
              </w:rPr>
              <w:t>7</w:t>
            </w:r>
            <w:r>
              <w:rPr>
                <w:rFonts w:ascii="仿宋_GB2312" w:hAnsi="仿宋" w:eastAsia="仿宋_GB2312"/>
                <w:b w:val="0"/>
                <w:sz w:val="21"/>
              </w:rPr>
              <w:t>.83</w:t>
            </w:r>
          </w:p>
        </w:tc>
        <w:tc>
          <w:tcPr>
            <w:tcW w:w="1002" w:type="dxa"/>
            <w:vAlign w:val="center"/>
          </w:tcPr>
          <w:p>
            <w:pPr>
              <w:pStyle w:val="87"/>
              <w:rPr>
                <w:rFonts w:ascii="仿宋_GB2312" w:hAnsi="仿宋" w:eastAsia="仿宋_GB2312"/>
                <w:b w:val="0"/>
                <w:sz w:val="21"/>
              </w:rPr>
            </w:pPr>
            <w:r>
              <w:rPr>
                <w:rFonts w:hint="eastAsia" w:ascii="仿宋_GB2312" w:hAnsi="仿宋" w:eastAsia="仿宋_GB2312"/>
                <w:b w:val="0"/>
                <w:sz w:val="21"/>
              </w:rPr>
              <w:t>4</w:t>
            </w:r>
            <w:r>
              <w:rPr>
                <w:rFonts w:ascii="仿宋_GB2312" w:hAnsi="仿宋" w:eastAsia="仿宋_GB2312"/>
                <w:b w:val="0"/>
                <w:sz w:val="21"/>
              </w:rPr>
              <w:t>.38</w:t>
            </w:r>
          </w:p>
        </w:tc>
        <w:tc>
          <w:tcPr>
            <w:tcW w:w="1024" w:type="dxa"/>
            <w:vAlign w:val="center"/>
          </w:tcPr>
          <w:p>
            <w:pPr>
              <w:pStyle w:val="87"/>
              <w:rPr>
                <w:rFonts w:ascii="仿宋_GB2312" w:hAnsi="仿宋" w:eastAsia="仿宋_GB2312"/>
                <w:b w:val="0"/>
                <w:sz w:val="21"/>
              </w:rPr>
            </w:pPr>
            <w:r>
              <w:rPr>
                <w:rFonts w:hint="eastAsia" w:ascii="仿宋_GB2312" w:hAnsi="仿宋" w:eastAsia="仿宋_GB2312"/>
                <w:b w:val="0"/>
                <w:sz w:val="21"/>
              </w:rPr>
              <w:t>4</w:t>
            </w:r>
            <w:r>
              <w:rPr>
                <w:rFonts w:ascii="仿宋_GB2312" w:hAnsi="仿宋" w:eastAsia="仿宋_GB2312"/>
                <w:b w:val="0"/>
                <w:sz w:val="21"/>
              </w:rPr>
              <w:t>.38</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3</w:t>
            </w:r>
          </w:p>
        </w:tc>
        <w:tc>
          <w:tcPr>
            <w:tcW w:w="1002" w:type="dxa"/>
            <w:vAlign w:val="center"/>
          </w:tcPr>
          <w:p>
            <w:pPr>
              <w:pStyle w:val="87"/>
              <w:rPr>
                <w:rFonts w:ascii="仿宋_GB2312" w:hAnsi="仿宋" w:eastAsia="仿宋_GB2312"/>
                <w:b w:val="0"/>
                <w:sz w:val="21"/>
              </w:rPr>
            </w:pPr>
            <w:r>
              <w:rPr>
                <w:rFonts w:ascii="仿宋_GB2312" w:hAnsi="仿宋" w:eastAsia="仿宋_GB2312"/>
                <w:b w:val="0"/>
                <w:sz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195" w:type="dxa"/>
            <w:vAlign w:val="center"/>
          </w:tcPr>
          <w:p>
            <w:pPr>
              <w:pStyle w:val="87"/>
              <w:rPr>
                <w:rFonts w:ascii="仿宋_GB2312" w:hAnsi="仿宋" w:eastAsia="仿宋_GB2312"/>
                <w:b w:val="0"/>
                <w:sz w:val="21"/>
              </w:rPr>
            </w:pPr>
            <w:r>
              <w:rPr>
                <w:rFonts w:hint="eastAsia" w:ascii="仿宋_GB2312" w:hAnsi="仿宋" w:eastAsia="仿宋_GB2312"/>
                <w:b w:val="0"/>
                <w:sz w:val="21"/>
              </w:rPr>
              <w:t>综合电压合格率（%）</w:t>
            </w:r>
          </w:p>
        </w:tc>
        <w:tc>
          <w:tcPr>
            <w:tcW w:w="1025" w:type="dxa"/>
            <w:vAlign w:val="center"/>
          </w:tcPr>
          <w:p>
            <w:pPr>
              <w:pStyle w:val="87"/>
              <w:rPr>
                <w:rFonts w:ascii="仿宋_GB2312" w:hAnsi="仿宋" w:eastAsia="仿宋_GB2312"/>
                <w:b w:val="0"/>
                <w:sz w:val="21"/>
              </w:rPr>
            </w:pPr>
            <w:r>
              <w:rPr>
                <w:rFonts w:ascii="仿宋_GB2312" w:hAnsi="仿宋" w:eastAsia="仿宋_GB2312"/>
                <w:b w:val="0"/>
                <w:sz w:val="21"/>
              </w:rPr>
              <w:t>99.3</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99.3</w:t>
            </w:r>
          </w:p>
        </w:tc>
        <w:tc>
          <w:tcPr>
            <w:tcW w:w="1002" w:type="dxa"/>
            <w:vAlign w:val="center"/>
          </w:tcPr>
          <w:p>
            <w:pPr>
              <w:pStyle w:val="87"/>
              <w:rPr>
                <w:rFonts w:ascii="仿宋_GB2312" w:hAnsi="仿宋" w:eastAsia="仿宋_GB2312"/>
                <w:b w:val="0"/>
                <w:sz w:val="21"/>
              </w:rPr>
            </w:pPr>
            <w:r>
              <w:rPr>
                <w:rFonts w:ascii="仿宋_GB2312" w:hAnsi="仿宋" w:eastAsia="仿宋_GB2312"/>
                <w:b w:val="0"/>
                <w:sz w:val="21"/>
              </w:rPr>
              <w:t>99.7</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99.7</w:t>
            </w:r>
          </w:p>
        </w:tc>
        <w:tc>
          <w:tcPr>
            <w:tcW w:w="1024" w:type="dxa"/>
            <w:vAlign w:val="center"/>
          </w:tcPr>
          <w:p>
            <w:pPr>
              <w:pStyle w:val="87"/>
              <w:rPr>
                <w:rFonts w:ascii="仿宋_GB2312" w:hAnsi="仿宋" w:eastAsia="仿宋_GB2312"/>
                <w:b w:val="0"/>
                <w:sz w:val="21"/>
              </w:rPr>
            </w:pPr>
            <w:r>
              <w:rPr>
                <w:rFonts w:ascii="仿宋_GB2312" w:hAnsi="仿宋" w:eastAsia="仿宋_GB2312"/>
                <w:b w:val="0"/>
                <w:sz w:val="21"/>
              </w:rPr>
              <w:t>99.95</w:t>
            </w:r>
          </w:p>
        </w:tc>
        <w:tc>
          <w:tcPr>
            <w:tcW w:w="1002" w:type="dxa"/>
            <w:vAlign w:val="center"/>
          </w:tcPr>
          <w:p>
            <w:pPr>
              <w:pStyle w:val="87"/>
              <w:rPr>
                <w:rFonts w:ascii="仿宋_GB2312" w:hAnsi="仿宋" w:eastAsia="仿宋_GB2312"/>
                <w:b w:val="0"/>
                <w:sz w:val="21"/>
              </w:rPr>
            </w:pPr>
            <w:r>
              <w:rPr>
                <w:rFonts w:ascii="仿宋_GB2312" w:hAnsi="仿宋" w:eastAsia="仿宋_GB2312"/>
                <w:b w:val="0"/>
                <w:sz w:val="21"/>
              </w:rPr>
              <w:t>99.98</w:t>
            </w:r>
          </w:p>
        </w:tc>
      </w:tr>
    </w:tbl>
    <w:p>
      <w:pPr>
        <w:widowControl/>
        <w:snapToGrid w:val="0"/>
        <w:ind w:firstLine="480"/>
        <w:jc w:val="left"/>
        <w:rPr>
          <w:rFonts w:ascii="仿宋_GB2312" w:eastAsia="仿宋_GB2312"/>
          <w:color w:val="000000"/>
          <w:kern w:val="0"/>
        </w:rPr>
      </w:pPr>
      <w:r>
        <w:rPr>
          <w:rFonts w:hint="eastAsia" w:ascii="仿宋_GB2312" w:eastAsia="仿宋_GB2312"/>
          <w:color w:val="000000"/>
          <w:kern w:val="0"/>
        </w:rPr>
        <w:t xml:space="preserve"> </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401" w:name="_Toc29469606"/>
      <w:r>
        <w:rPr>
          <w:rFonts w:hint="eastAsia" w:ascii="Times New Roman" w:hAnsi="Times New Roman" w:eastAsia="黑体" w:cs="Times New Roman"/>
          <w:sz w:val="32"/>
          <w:szCs w:val="32"/>
          <w:lang w:val="en-US" w:eastAsia="zh-CN"/>
        </w:rPr>
        <w:t>七、区域内外网架衔接规划</w:t>
      </w:r>
      <w:bookmarkEnd w:id="401"/>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截止2022年，试点区域内无110千伏变电站布点，配电网主要依靠110千伏双屿变作为主供电源点。至2023年，试点区域投运1座110千伏围垦变，电源进线来自于220千伏岑山变。</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内110千伏围垦变投运之前，试点区域现状由区外110千伏双屿变10千伏五星B681线支线供电。2023年试点区域内110千伏围垦变建成投运，配套10千伏出线3回，切割区域内五星B681线小支支线、六横风电支线和五号支线负荷。2025年110千伏围垦变新出围垦06线切掉五星B681线新塘支线、垦区支线负荷并与围垦01线构成联络，区内形成独立的中压配电网。</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hAnsi="Times New Roman" w:eastAsia="仿宋_GB2312" w:cs="Times New Roman"/>
          <w:sz w:val="32"/>
          <w:szCs w:val="32"/>
          <w:lang w:val="en-US" w:eastAsia="zh-CN"/>
        </w:rPr>
        <w:t>增量配电网与外部电网</w:t>
      </w:r>
      <w:r>
        <w:rPr>
          <w:rFonts w:hint="default" w:ascii="Times New Roman" w:hAnsi="Times New Roman" w:eastAsia="仿宋_GB2312" w:cs="Times New Roman"/>
          <w:color w:val="000000"/>
          <w:kern w:val="0"/>
          <w:sz w:val="32"/>
          <w:szCs w:val="32"/>
        </w:rPr>
        <w:t>产权分界点</w:t>
      </w:r>
      <w:r>
        <w:rPr>
          <w:rFonts w:hint="eastAsia" w:ascii="Times New Roman" w:hAnsi="Times New Roman" w:eastAsia="仿宋_GB2312" w:cs="Times New Roman"/>
          <w:color w:val="000000"/>
          <w:kern w:val="0"/>
          <w:sz w:val="32"/>
          <w:szCs w:val="32"/>
          <w:lang w:val="en-US" w:eastAsia="zh-CN"/>
        </w:rPr>
        <w:t>为</w:t>
      </w:r>
      <w:r>
        <w:rPr>
          <w:rFonts w:hint="eastAsia" w:ascii="Times New Roman" w:eastAsia="仿宋_GB2312" w:cs="Times New Roman"/>
          <w:color w:val="000000"/>
          <w:kern w:val="0"/>
          <w:sz w:val="32"/>
          <w:szCs w:val="32"/>
          <w:lang w:val="en-US" w:eastAsia="zh-CN"/>
        </w:rPr>
        <w:t>220千伏</w:t>
      </w:r>
      <w:r>
        <w:rPr>
          <w:rFonts w:hint="eastAsia" w:ascii="Times New Roman" w:eastAsia="仿宋_GB2312" w:cs="Times New Roman"/>
          <w:kern w:val="0"/>
          <w:sz w:val="32"/>
          <w:szCs w:val="32"/>
          <w:lang w:val="en-US" w:eastAsia="zh-CN"/>
        </w:rPr>
        <w:t>岑山变往围垦变2个出线间隔处。试点区域内原有电网资产以折价入股的方式处理。</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402" w:name="_Toc29469607"/>
      <w:r>
        <w:rPr>
          <w:rFonts w:hint="eastAsia" w:ascii="Times New Roman" w:hAnsi="Times New Roman" w:eastAsia="黑体" w:cs="Times New Roman"/>
          <w:sz w:val="32"/>
          <w:szCs w:val="32"/>
          <w:lang w:val="en-US" w:eastAsia="zh-CN"/>
        </w:rPr>
        <w:t>八、运行管理规划</w:t>
      </w:r>
      <w:bookmarkEnd w:id="40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03" w:name="_Toc21681571"/>
      <w:bookmarkStart w:id="404" w:name="_Toc29469608"/>
      <w:r>
        <w:rPr>
          <w:rFonts w:hint="eastAsia" w:ascii="楷体_GB2312" w:hAnsi="楷体_GB2312" w:eastAsia="楷体_GB2312" w:cs="楷体_GB2312"/>
          <w:kern w:val="0"/>
          <w:sz w:val="32"/>
          <w:szCs w:val="32"/>
          <w:lang w:val="en-US" w:eastAsia="zh-CN"/>
        </w:rPr>
        <w:t>（一）配电自动化建设</w:t>
      </w:r>
      <w:bookmarkEnd w:id="403"/>
      <w:bookmarkEnd w:id="40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1.建设原则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（1）配电自动化规划设计应符合《配电自动化技术导则》（DL/T-1406）、《配电自动化规划设计技术导则》（Q/GDW-11184）的相关规定。</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（2）配电自动化应通过对配电网的监测和控制，支撑配电网调度运行和抢修指挥等业务需求，并为配电网规划设计工作提供基础数据信息。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（3）配电自动化建设应与配电网一次网架相衔接。</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应根据区域配电网规模和应用需求，合理确定配电自动化系统主站的规模与功能。对关键性节点，如主干线联络开关、必要的分段开关，进出线较多的开关站、环网单元和配电室，配置“三遥”（遥测、遥信、遥控）配电自动化终端；对一般性节点，如分支开关、无联络的末端站室，配置“两遥”（遥测、遥信）配电自动化终端；用户进线处配置分界开关或具备遥测、遥信功能的故障指示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（5）配电自动化功能应适应分布式电源以及电动汽车、储能装置等新型负荷接入后的运行及业务需求。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应根据可靠性需求、网架结构和设备状况，合理选用配电设备信息采集形式及终端类型。对于“三遥”终端，应采用光纤通信（如EPON）；对于“二遥”终端，便于接入光纤的可采用光纤通信，光纤通信困难的可采用无线通信。</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2.建设方案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内供电线路全部为架空线路，近期规划中暂不新建配电自动化系统主站，推荐采用智能开关和故障指示器配合、纯故障指示器两种实用化典型覆盖模式加强线路故障监测，确保2025年供电可靠性指标达到目标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试点区内线路较短，规划加装故障指示器8套，FTU智能开关8台，实现线路故障时的快速定位和隔离。深入推进配电自动化系统的实用化应用，加强配电自动化系统与其他信息化系统的数据共享。</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3.建设成效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sectPr>
          <w:headerReference r:id="rId7" w:type="first"/>
          <w:footerReference r:id="rId10" w:type="first"/>
          <w:headerReference r:id="rId5" w:type="default"/>
          <w:footerReference r:id="rId8" w:type="default"/>
          <w:headerReference r:id="rId6" w:type="even"/>
          <w:footerReference r:id="rId9" w:type="even"/>
          <w:pgSz w:w="11907" w:h="16839"/>
          <w:pgMar w:top="1440" w:right="1797" w:bottom="1440" w:left="1797" w:header="851" w:footer="992" w:gutter="0"/>
          <w:cols w:space="1200" w:num="1"/>
          <w:docGrid w:type="linesAndChars" w:linePitch="326" w:charSpace="0"/>
        </w:sectPr>
      </w:pPr>
      <w:r>
        <w:rPr>
          <w:rFonts w:hint="eastAsia" w:ascii="Times New Roman" w:eastAsia="仿宋_GB2312" w:cs="Times New Roman"/>
          <w:kern w:val="0"/>
          <w:sz w:val="32"/>
          <w:szCs w:val="32"/>
          <w:lang w:val="en-US" w:eastAsia="zh-CN"/>
        </w:rPr>
        <w:t>试点区域配电自动化能有效支撑配电网运行管理要求，缩短故障排查和非故障段恢复供电时间，提高供电可靠性。</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4.投资估算</w:t>
      </w:r>
    </w:p>
    <w:p>
      <w:pPr>
        <w:pStyle w:val="86"/>
        <w:keepLines w:val="0"/>
        <w:numPr>
          <w:ilvl w:val="0"/>
          <w:numId w:val="0"/>
        </w:numPr>
        <w:jc w:val="center"/>
        <w:rPr>
          <w:rFonts w:ascii="仿宋_GB2312" w:eastAsia="仿宋_GB2312"/>
        </w:rPr>
      </w:pPr>
      <w:r>
        <w:rPr>
          <w:rFonts w:hint="eastAsia" w:ascii="仿宋_GB2312" w:eastAsia="仿宋_GB2312"/>
        </w:rPr>
        <w:t>表8-1 试点区域配电自动化建设工程及投资统计表</w:t>
      </w:r>
    </w:p>
    <w:tbl>
      <w:tblPr>
        <w:tblStyle w:val="42"/>
        <w:tblW w:w="13949" w:type="dxa"/>
        <w:tblInd w:w="0" w:type="dxa"/>
        <w:tblLayout w:type="fixed"/>
        <w:tblCellMar>
          <w:top w:w="0" w:type="dxa"/>
          <w:left w:w="108" w:type="dxa"/>
          <w:bottom w:w="0" w:type="dxa"/>
          <w:right w:w="108" w:type="dxa"/>
        </w:tblCellMar>
      </w:tblPr>
      <w:tblGrid>
        <w:gridCol w:w="560"/>
        <w:gridCol w:w="1992"/>
        <w:gridCol w:w="4388"/>
        <w:gridCol w:w="709"/>
        <w:gridCol w:w="851"/>
        <w:gridCol w:w="993"/>
        <w:gridCol w:w="848"/>
        <w:gridCol w:w="851"/>
        <w:gridCol w:w="851"/>
        <w:gridCol w:w="999"/>
        <w:gridCol w:w="907"/>
      </w:tblGrid>
      <w:tr>
        <w:tblPrEx>
          <w:tblLayout w:type="fixed"/>
          <w:tblCellMar>
            <w:top w:w="0" w:type="dxa"/>
            <w:left w:w="108" w:type="dxa"/>
            <w:bottom w:w="0" w:type="dxa"/>
            <w:right w:w="108" w:type="dxa"/>
          </w:tblCellMar>
        </w:tblPrEx>
        <w:trPr>
          <w:trHeight w:val="219" w:hRule="atLeast"/>
        </w:trPr>
        <w:tc>
          <w:tcPr>
            <w:tcW w:w="5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序号</w:t>
            </w:r>
          </w:p>
        </w:tc>
        <w:tc>
          <w:tcPr>
            <w:tcW w:w="199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项目</w:t>
            </w:r>
          </w:p>
        </w:tc>
        <w:tc>
          <w:tcPr>
            <w:tcW w:w="438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规格</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单位</w:t>
            </w:r>
          </w:p>
        </w:tc>
        <w:tc>
          <w:tcPr>
            <w:tcW w:w="85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工程量</w:t>
            </w:r>
          </w:p>
        </w:tc>
        <w:tc>
          <w:tcPr>
            <w:tcW w:w="99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综合造价(万元)</w:t>
            </w:r>
          </w:p>
        </w:tc>
        <w:tc>
          <w:tcPr>
            <w:tcW w:w="84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总价(万元)</w:t>
            </w:r>
          </w:p>
        </w:tc>
        <w:tc>
          <w:tcPr>
            <w:tcW w:w="1702"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分年度工程量</w:t>
            </w:r>
          </w:p>
        </w:tc>
        <w:tc>
          <w:tcPr>
            <w:tcW w:w="1906"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分年度投资(万元)</w:t>
            </w:r>
          </w:p>
        </w:tc>
      </w:tr>
      <w:tr>
        <w:tblPrEx>
          <w:tblLayout w:type="fixed"/>
          <w:tblCellMar>
            <w:top w:w="0" w:type="dxa"/>
            <w:left w:w="108" w:type="dxa"/>
            <w:bottom w:w="0" w:type="dxa"/>
            <w:right w:w="108" w:type="dxa"/>
          </w:tblCellMar>
        </w:tblPrEx>
        <w:trPr>
          <w:trHeight w:val="256" w:hRule="atLeast"/>
        </w:trPr>
        <w:tc>
          <w:tcPr>
            <w:tcW w:w="560"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1992"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4388"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51"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993"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48"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十三五</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十四五</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十三五</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十四五</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一</w:t>
            </w:r>
          </w:p>
        </w:tc>
        <w:tc>
          <w:tcPr>
            <w:tcW w:w="63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配电自动化终端部分</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r>
              <w:rPr>
                <w:rFonts w:ascii="仿宋_GB2312" w:hAnsi="Calibri" w:eastAsia="仿宋_GB2312"/>
                <w:sz w:val="21"/>
                <w:szCs w:val="21"/>
              </w:rPr>
              <w:t>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1.2</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r>
              <w:rPr>
                <w:rFonts w:ascii="仿宋_GB2312" w:hAnsi="Calibri" w:eastAsia="仿宋_GB2312"/>
                <w:sz w:val="21"/>
                <w:szCs w:val="21"/>
              </w:rPr>
              <w:t>6</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1.2</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DTU(三遥)</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三遥，8回路，带蓄电池,航空插接，控制电缆</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3</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r>
      <w:tr>
        <w:tblPrEx>
          <w:tblLayout w:type="fixed"/>
          <w:tblCellMar>
            <w:top w:w="0" w:type="dxa"/>
            <w:left w:w="108" w:type="dxa"/>
            <w:bottom w:w="0" w:type="dxa"/>
            <w:right w:w="108" w:type="dxa"/>
          </w:tblCellMar>
        </w:tblPrEx>
        <w:trPr>
          <w:trHeight w:val="54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FTU(就地重合式二遥)</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一二次整体、PT、CT、无线通信、加密芯片</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8</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.5</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3</w:t>
            </w:r>
            <w:r>
              <w:rPr>
                <w:rFonts w:ascii="仿宋_GB2312" w:hAnsi="Calibri" w:eastAsia="仿宋_GB2312"/>
                <w:sz w:val="21"/>
                <w:szCs w:val="21"/>
              </w:rPr>
              <w:t>6</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8</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36</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3</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FTU(二遥动作型)</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一二次整体、PT、CT、无线通信、加密芯片</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.5</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p>
        </w:tc>
        <w:tc>
          <w:tcPr>
            <w:tcW w:w="63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远传型故障指示器</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8</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r>
              <w:rPr>
                <w:rFonts w:ascii="仿宋_GB2312" w:hAnsi="Calibri" w:eastAsia="仿宋_GB2312"/>
                <w:sz w:val="21"/>
                <w:szCs w:val="21"/>
              </w:rPr>
              <w:t>.65</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5</w:t>
            </w:r>
            <w:r>
              <w:rPr>
                <w:rFonts w:ascii="仿宋_GB2312" w:hAnsi="Calibri" w:eastAsia="仿宋_GB2312"/>
                <w:sz w:val="21"/>
                <w:szCs w:val="21"/>
              </w:rPr>
              <w:t>.2</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8</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5</w:t>
            </w:r>
            <w:r>
              <w:rPr>
                <w:rFonts w:ascii="仿宋_GB2312" w:hAnsi="Calibri" w:eastAsia="仿宋_GB2312"/>
                <w:sz w:val="21"/>
                <w:szCs w:val="21"/>
              </w:rPr>
              <w:t>.2</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二</w:t>
            </w:r>
          </w:p>
        </w:tc>
        <w:tc>
          <w:tcPr>
            <w:tcW w:w="63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其他部分</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机房改造</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100</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r>
      <w:tr>
        <w:tblPrEx>
          <w:tblLayout w:type="fixed"/>
          <w:tblCellMar>
            <w:top w:w="0" w:type="dxa"/>
            <w:left w:w="108" w:type="dxa"/>
            <w:bottom w:w="0" w:type="dxa"/>
            <w:right w:w="108" w:type="dxa"/>
          </w:tblCellMar>
        </w:tblPrEx>
        <w:trPr>
          <w:trHeight w:val="270" w:hRule="atLeast"/>
        </w:trPr>
        <w:tc>
          <w:tcPr>
            <w:tcW w:w="76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合计</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41.2</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41.2</w:t>
            </w:r>
          </w:p>
        </w:tc>
      </w:tr>
    </w:tbl>
    <w:p>
      <w:pPr>
        <w:pStyle w:val="476"/>
        <w:spacing w:line="360" w:lineRule="auto"/>
        <w:ind w:firstLine="643"/>
        <w:rPr>
          <w:rFonts w:hAnsiTheme="minorEastAsia"/>
          <w:b/>
          <w:szCs w:val="32"/>
        </w:rPr>
        <w:sectPr>
          <w:pgSz w:w="16839" w:h="11907" w:orient="landscape"/>
          <w:pgMar w:top="1797" w:right="1440" w:bottom="1797" w:left="1440" w:header="851" w:footer="992" w:gutter="0"/>
          <w:cols w:space="1200" w:num="1"/>
          <w:docGrid w:type="linesAndChars" w:linePitch="326" w:charSpace="0"/>
        </w:sect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05" w:name="_Toc21681572"/>
      <w:bookmarkStart w:id="406" w:name="_Toc29469609"/>
      <w:r>
        <w:rPr>
          <w:rFonts w:hint="eastAsia" w:ascii="楷体_GB2312" w:hAnsi="楷体_GB2312" w:eastAsia="楷体_GB2312" w:cs="楷体_GB2312"/>
          <w:kern w:val="0"/>
          <w:sz w:val="32"/>
          <w:szCs w:val="32"/>
          <w:lang w:val="en-US" w:eastAsia="zh-CN"/>
        </w:rPr>
        <w:t>（二）调度自动化建设</w:t>
      </w:r>
      <w:bookmarkEnd w:id="405"/>
      <w:bookmarkEnd w:id="40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1.建设原则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（1）应结合配电网及配电自动化发展水平合理选择调度控制功能的实现方式。规模较小、不具备配电自动化主站的地区，配调功能可嵌入地区电网调度控制系统。</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（2）调度控制功能至少应包括SCADA、图库电子化、关键节点数据采集、配电网故障抢修指挥等功能，并实现与电网其他平台数据共享。</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（3）110/35千伏场站应至少配置1套调度数据网设备，接入所属地调接入网。</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（4）厂站端自动化系统的硬件配置和功能配置应全面支撑电网的调控运行，满足调度对站内数据、模型和图形的应用需求。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（5）系统建设安全防护的总体原则为“安全分区、网络专用、横向隔离、纵向认证”，保证电力生产控制系统及重要数据的安全。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2.建设方案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调度自动化工程应以当前成熟的自动化数据采集、控制和无源光网络（EPON）技术作为支撑，配电自动化模式选择“就地型重合器式+故障指示器方式”，通过线路开关间的逻辑配合，利用重合器实现线路故障的定位、隔离和非故障区域恢复供电。通过具有通信功能的故障指示器采集、上传线路故障信息，实现对配电线路的故障定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3.建设成效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具备电网监测和电力系统运行状态诊断等要求，满足电网运行中的异常和突发故障协调控制，实现电网调度的智能化管理。</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07" w:name="_Toc21681573"/>
      <w:bookmarkStart w:id="408" w:name="_Toc29469610"/>
      <w:r>
        <w:rPr>
          <w:rFonts w:hint="eastAsia" w:ascii="楷体_GB2312" w:hAnsi="楷体_GB2312" w:eastAsia="楷体_GB2312" w:cs="楷体_GB2312"/>
          <w:kern w:val="0"/>
          <w:sz w:val="32"/>
          <w:szCs w:val="32"/>
          <w:lang w:val="en-US" w:eastAsia="zh-CN"/>
        </w:rPr>
        <w:t>（三）系统通信建设</w:t>
      </w:r>
      <w:bookmarkEnd w:id="407"/>
      <w:bookmarkEnd w:id="40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1.建设原则</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（1）试点区采用的通信技术应与当地配电网的发展规划相适应，应与配电网一次网架同步规划、同步建设，或预留相应位置和管道，满足配电自动化中、长期建设和业务发展需求，并做好适度超前。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（2）配电网规划应统筹通信资源，充分满足配电自动化、用电信息采集系统、分布式电源及储能装置站点的通信需求。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2.建设方案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结合试点区域增量配电网试点区域实际情况，试点区域内通信建设以光纤通信方式为主，通信光缆采用24芯光缆，实现区域内用电信息采集系统的“全覆盖、全采集”，通过信息交互实现供电可靠性和电压合格率统计到户。试点区域通信系统投资已包含在配电自动化投资中。</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3.建设成效</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sectPr>
          <w:pgSz w:w="11907" w:h="16839"/>
          <w:pgMar w:top="1440" w:right="1797" w:bottom="1440" w:left="1797" w:header="851" w:footer="992" w:gutter="0"/>
          <w:cols w:space="1200" w:num="1"/>
          <w:docGrid w:type="linesAndChars" w:linePitch="326" w:charSpace="0"/>
        </w:sectPr>
      </w:pPr>
      <w:r>
        <w:rPr>
          <w:rFonts w:hint="eastAsia" w:ascii="Times New Roman" w:eastAsia="仿宋_GB2312" w:cs="Times New Roman"/>
          <w:kern w:val="0"/>
          <w:sz w:val="32"/>
          <w:szCs w:val="32"/>
          <w:lang w:val="en-US" w:eastAsia="zh-CN"/>
        </w:rPr>
        <w:t>至2025年，试点区域内实现输、配、用各个环节的信息交互，有力支撑智能电网的建设。</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4.投资估算</w:t>
      </w:r>
    </w:p>
    <w:p>
      <w:pPr>
        <w:pStyle w:val="86"/>
        <w:keepLines w:val="0"/>
        <w:numPr>
          <w:ilvl w:val="0"/>
          <w:numId w:val="0"/>
        </w:numPr>
        <w:jc w:val="left"/>
        <w:rPr>
          <w:rFonts w:ascii="仿宋_GB2312" w:eastAsia="仿宋_GB2312"/>
        </w:rPr>
      </w:pPr>
      <w:r>
        <w:rPr>
          <w:rFonts w:hint="eastAsia" w:ascii="仿宋_GB2312" w:eastAsia="仿宋_GB2312"/>
        </w:rPr>
        <w:t>表8-</w:t>
      </w:r>
      <w:r>
        <w:rPr>
          <w:rFonts w:ascii="仿宋_GB2312" w:eastAsia="仿宋_GB2312"/>
        </w:rPr>
        <w:t>2</w:t>
      </w:r>
      <w:r>
        <w:rPr>
          <w:rFonts w:hint="eastAsia" w:ascii="仿宋_GB2312" w:eastAsia="仿宋_GB2312"/>
        </w:rPr>
        <w:t xml:space="preserve"> 试点区域通信部分建设工程及投资统计表</w:t>
      </w:r>
    </w:p>
    <w:tbl>
      <w:tblPr>
        <w:tblStyle w:val="42"/>
        <w:tblW w:w="13949" w:type="dxa"/>
        <w:tblInd w:w="0" w:type="dxa"/>
        <w:tblLayout w:type="fixed"/>
        <w:tblCellMar>
          <w:top w:w="0" w:type="dxa"/>
          <w:left w:w="108" w:type="dxa"/>
          <w:bottom w:w="0" w:type="dxa"/>
          <w:right w:w="108" w:type="dxa"/>
        </w:tblCellMar>
      </w:tblPr>
      <w:tblGrid>
        <w:gridCol w:w="560"/>
        <w:gridCol w:w="1992"/>
        <w:gridCol w:w="4388"/>
        <w:gridCol w:w="709"/>
        <w:gridCol w:w="851"/>
        <w:gridCol w:w="993"/>
        <w:gridCol w:w="848"/>
        <w:gridCol w:w="851"/>
        <w:gridCol w:w="851"/>
        <w:gridCol w:w="999"/>
        <w:gridCol w:w="907"/>
      </w:tblGrid>
      <w:tr>
        <w:tblPrEx>
          <w:tblLayout w:type="fixed"/>
          <w:tblCellMar>
            <w:top w:w="0" w:type="dxa"/>
            <w:left w:w="108" w:type="dxa"/>
            <w:bottom w:w="0" w:type="dxa"/>
            <w:right w:w="108" w:type="dxa"/>
          </w:tblCellMar>
        </w:tblPrEx>
        <w:trPr>
          <w:trHeight w:val="219" w:hRule="atLeast"/>
        </w:trPr>
        <w:tc>
          <w:tcPr>
            <w:tcW w:w="5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序号</w:t>
            </w:r>
          </w:p>
        </w:tc>
        <w:tc>
          <w:tcPr>
            <w:tcW w:w="199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项目</w:t>
            </w:r>
          </w:p>
        </w:tc>
        <w:tc>
          <w:tcPr>
            <w:tcW w:w="438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规格</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单位</w:t>
            </w:r>
          </w:p>
        </w:tc>
        <w:tc>
          <w:tcPr>
            <w:tcW w:w="85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工程量</w:t>
            </w:r>
          </w:p>
        </w:tc>
        <w:tc>
          <w:tcPr>
            <w:tcW w:w="99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综合造价(万元)</w:t>
            </w:r>
          </w:p>
        </w:tc>
        <w:tc>
          <w:tcPr>
            <w:tcW w:w="84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总价(万元)</w:t>
            </w:r>
          </w:p>
        </w:tc>
        <w:tc>
          <w:tcPr>
            <w:tcW w:w="1702"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分年度工程量</w:t>
            </w:r>
          </w:p>
        </w:tc>
        <w:tc>
          <w:tcPr>
            <w:tcW w:w="1906"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分年度投资(万元)</w:t>
            </w:r>
          </w:p>
        </w:tc>
      </w:tr>
      <w:tr>
        <w:tblPrEx>
          <w:tblLayout w:type="fixed"/>
          <w:tblCellMar>
            <w:top w:w="0" w:type="dxa"/>
            <w:left w:w="108" w:type="dxa"/>
            <w:bottom w:w="0" w:type="dxa"/>
            <w:right w:w="108" w:type="dxa"/>
          </w:tblCellMar>
        </w:tblPrEx>
        <w:trPr>
          <w:trHeight w:val="256" w:hRule="atLeast"/>
        </w:trPr>
        <w:tc>
          <w:tcPr>
            <w:tcW w:w="560"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1992"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4388"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51"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993"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48"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ascii="仿宋_GB2312" w:hAnsi="Calibri" w:eastAsia="仿宋_GB2312"/>
                <w:b/>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十三五</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十四五</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十三五</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b/>
                <w:sz w:val="21"/>
                <w:szCs w:val="21"/>
              </w:rPr>
            </w:pPr>
            <w:r>
              <w:rPr>
                <w:rFonts w:hint="eastAsia" w:ascii="仿宋_GB2312" w:hAnsi="Calibri" w:eastAsia="仿宋_GB2312"/>
                <w:b/>
                <w:sz w:val="21"/>
                <w:szCs w:val="21"/>
              </w:rPr>
              <w:t>十四五</w:t>
            </w:r>
          </w:p>
        </w:tc>
      </w:tr>
      <w:tr>
        <w:tblPrEx>
          <w:tblLayout w:type="fixed"/>
          <w:tblCellMar>
            <w:top w:w="0" w:type="dxa"/>
            <w:left w:w="108" w:type="dxa"/>
            <w:bottom w:w="0" w:type="dxa"/>
            <w:right w:w="108" w:type="dxa"/>
          </w:tblCellMar>
        </w:tblPrEx>
        <w:trPr>
          <w:trHeight w:val="270" w:hRule="atLeast"/>
        </w:trPr>
        <w:tc>
          <w:tcPr>
            <w:tcW w:w="6940" w:type="dxa"/>
            <w:gridSpan w:val="3"/>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通信部分</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9</w:t>
            </w:r>
            <w:r>
              <w:rPr>
                <w:rFonts w:ascii="仿宋_GB2312" w:hAnsi="Calibri" w:eastAsia="仿宋_GB2312"/>
                <w:sz w:val="21"/>
                <w:szCs w:val="21"/>
              </w:rPr>
              <w:t>5.76</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9</w:t>
            </w:r>
            <w:r>
              <w:rPr>
                <w:rFonts w:ascii="仿宋_GB2312" w:hAnsi="Calibri" w:eastAsia="仿宋_GB2312"/>
                <w:sz w:val="21"/>
                <w:szCs w:val="21"/>
              </w:rPr>
              <w:t>5.76</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光缆普缆</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24芯，G.652，≥11.0kN</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千米</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r>
              <w:rPr>
                <w:rFonts w:ascii="仿宋_GB2312" w:hAnsi="Calibri" w:eastAsia="仿宋_GB2312"/>
                <w:sz w:val="21"/>
                <w:szCs w:val="21"/>
              </w:rPr>
              <w:t>5.47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6</w:t>
            </w:r>
            <w:r>
              <w:rPr>
                <w:rFonts w:ascii="仿宋_GB2312" w:hAnsi="Calibri" w:eastAsia="仿宋_GB2312"/>
                <w:sz w:val="21"/>
                <w:szCs w:val="21"/>
              </w:rPr>
              <w:t>1.32</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r>
              <w:rPr>
                <w:rFonts w:ascii="仿宋_GB2312" w:hAnsi="Calibri" w:eastAsia="仿宋_GB2312"/>
                <w:sz w:val="21"/>
                <w:szCs w:val="21"/>
              </w:rPr>
              <w:t>5.47</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6</w:t>
            </w:r>
            <w:r>
              <w:rPr>
                <w:rFonts w:ascii="仿宋_GB2312" w:hAnsi="Calibri" w:eastAsia="仿宋_GB2312"/>
                <w:sz w:val="21"/>
                <w:szCs w:val="21"/>
              </w:rPr>
              <w:t>1.32</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ONU设备</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含分光器</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8</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0.52</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.16</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8</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r>
              <w:rPr>
                <w:rFonts w:ascii="仿宋_GB2312" w:hAnsi="Calibri" w:eastAsia="仿宋_GB2312"/>
                <w:sz w:val="21"/>
                <w:szCs w:val="21"/>
              </w:rPr>
              <w:t>.16</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3</w:t>
            </w:r>
          </w:p>
        </w:tc>
        <w:tc>
          <w:tcPr>
            <w:tcW w:w="63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OLT 48口</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台</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r>
              <w:rPr>
                <w:rFonts w:ascii="仿宋_GB2312" w:hAnsi="Calibri" w:eastAsia="仿宋_GB2312"/>
                <w:sz w:val="21"/>
                <w:szCs w:val="21"/>
              </w:rPr>
              <w:t>8</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r>
              <w:rPr>
                <w:rFonts w:ascii="仿宋_GB2312" w:hAnsi="Calibri" w:eastAsia="仿宋_GB2312"/>
                <w:sz w:val="21"/>
                <w:szCs w:val="21"/>
              </w:rPr>
              <w:t>8</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ascii="仿宋_GB2312" w:hAnsi="Calibri" w:eastAsia="仿宋_GB2312"/>
                <w:sz w:val="21"/>
                <w:szCs w:val="21"/>
              </w:rPr>
              <w:t>1</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r>
              <w:rPr>
                <w:rFonts w:ascii="仿宋_GB2312" w:hAnsi="Calibri" w:eastAsia="仿宋_GB2312"/>
                <w:sz w:val="21"/>
                <w:szCs w:val="21"/>
              </w:rPr>
              <w:t>8</w:t>
            </w:r>
          </w:p>
        </w:tc>
      </w:tr>
      <w:tr>
        <w:tblPrEx>
          <w:tblLayout w:type="fixed"/>
          <w:tblCellMar>
            <w:top w:w="0" w:type="dxa"/>
            <w:left w:w="108" w:type="dxa"/>
            <w:bottom w:w="0" w:type="dxa"/>
            <w:right w:w="108" w:type="dxa"/>
          </w:tblCellMar>
        </w:tblPrEx>
        <w:trPr>
          <w:trHeight w:val="54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48芯光纤配线架(配置到环网柜)</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含熔纤等费用</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台</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0.86</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5</w:t>
            </w:r>
          </w:p>
        </w:tc>
        <w:tc>
          <w:tcPr>
            <w:tcW w:w="63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地埋光缆附件</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套</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14</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0.02</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0.28</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13</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0.2</w:t>
            </w:r>
            <w:r>
              <w:rPr>
                <w:rFonts w:ascii="仿宋_GB2312" w:hAnsi="Calibri" w:eastAsia="仿宋_GB2312"/>
                <w:sz w:val="21"/>
                <w:szCs w:val="21"/>
              </w:rPr>
              <w:t>8</w:t>
            </w:r>
          </w:p>
        </w:tc>
      </w:tr>
      <w:tr>
        <w:tblPrEx>
          <w:tblLayout w:type="fixed"/>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6</w:t>
            </w:r>
          </w:p>
        </w:tc>
        <w:tc>
          <w:tcPr>
            <w:tcW w:w="1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通信机柜</w:t>
            </w:r>
          </w:p>
        </w:tc>
        <w:tc>
          <w:tcPr>
            <w:tcW w:w="43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含配套辅材</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面</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1</w:t>
            </w:r>
          </w:p>
        </w:tc>
        <w:tc>
          <w:tcPr>
            <w:tcW w:w="8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2</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8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w:t>
            </w:r>
          </w:p>
        </w:tc>
        <w:tc>
          <w:tcPr>
            <w:tcW w:w="90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Calibri" w:eastAsia="仿宋_GB2312"/>
                <w:sz w:val="21"/>
                <w:szCs w:val="21"/>
              </w:rPr>
            </w:pPr>
            <w:r>
              <w:rPr>
                <w:rFonts w:hint="eastAsia" w:ascii="仿宋_GB2312" w:hAnsi="Calibri" w:eastAsia="仿宋_GB2312"/>
                <w:sz w:val="21"/>
                <w:szCs w:val="21"/>
              </w:rPr>
              <w:t>02</w:t>
            </w:r>
          </w:p>
        </w:tc>
      </w:tr>
    </w:tbl>
    <w:p>
      <w:pPr>
        <w:pStyle w:val="476"/>
        <w:spacing w:line="360" w:lineRule="auto"/>
        <w:ind w:firstLine="643"/>
        <w:rPr>
          <w:rFonts w:hAnsiTheme="minorEastAsia"/>
          <w:b/>
          <w:szCs w:val="32"/>
        </w:rPr>
        <w:sectPr>
          <w:pgSz w:w="16839" w:h="11907" w:orient="landscape"/>
          <w:pgMar w:top="1797" w:right="1440" w:bottom="1797" w:left="1440" w:header="851" w:footer="992" w:gutter="0"/>
          <w:cols w:space="1200" w:num="1"/>
          <w:docGrid w:type="linesAndChars" w:linePitch="326" w:charSpace="0"/>
        </w:sect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409" w:name="_Toc29469611"/>
      <w:bookmarkStart w:id="410" w:name="_Toc21681574"/>
      <w:r>
        <w:rPr>
          <w:rFonts w:hint="eastAsia" w:ascii="Times New Roman" w:hAnsi="Times New Roman" w:eastAsia="黑体" w:cs="Times New Roman"/>
          <w:sz w:val="32"/>
          <w:szCs w:val="32"/>
          <w:lang w:val="en-US" w:eastAsia="zh-CN"/>
        </w:rPr>
        <w:t>九、电能质量规划</w:t>
      </w:r>
      <w:bookmarkEnd w:id="409"/>
      <w:bookmarkEnd w:id="410"/>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11" w:name="_Toc21681575"/>
      <w:bookmarkStart w:id="412" w:name="_Toc29469612"/>
      <w:r>
        <w:rPr>
          <w:rFonts w:hint="eastAsia" w:ascii="楷体_GB2312" w:hAnsi="楷体_GB2312" w:eastAsia="楷体_GB2312" w:cs="楷体_GB2312"/>
          <w:kern w:val="0"/>
          <w:sz w:val="32"/>
          <w:szCs w:val="32"/>
          <w:lang w:val="en-US" w:eastAsia="zh-CN"/>
        </w:rPr>
        <w:t>（一）无功补偿</w:t>
      </w:r>
      <w:bookmarkEnd w:id="411"/>
      <w:bookmarkEnd w:id="41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413" w:name="_Toc21681576"/>
      <w:r>
        <w:rPr>
          <w:rFonts w:hint="eastAsia" w:ascii="Times New Roman" w:eastAsia="仿宋_GB2312" w:cs="Times New Roman"/>
          <w:kern w:val="0"/>
          <w:sz w:val="32"/>
          <w:szCs w:val="32"/>
          <w:lang w:val="en-US" w:eastAsia="zh-CN"/>
        </w:rPr>
        <w:t>通过无功补偿提高电能质量的主要技术措施是采用无功补偿电容器。分为：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1.低压分散补偿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根据个别用电设备对无功的需要量将单台或多台低压电容器组分散地与用电设备并接，通过控制、保护装置与电机同时投切。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2.低压集中补偿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将低压电容器通过低压开关接在配电变压器低压母线侧，以无功补偿投切装置作为控制保护装置，根据低压母线上的无功负荷直接控制电容器的投切。</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3.10千伏线路单点集中补偿</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在负荷的集中点前端进行单点集中补偿，补偿的容量根据平时负荷进行计算，并在此基础上留有余量，补偿级数根据容量大小选择。</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在试点区域后续配电网建设改造中，配变新增或改造时同步加装低压无功补偿装置，无功自动补偿装置容量按照变压器容量20%～40%配置。</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14" w:name="_Toc29469613"/>
      <w:r>
        <w:rPr>
          <w:rFonts w:hint="eastAsia" w:ascii="楷体_GB2312" w:hAnsi="楷体_GB2312" w:eastAsia="楷体_GB2312" w:cs="楷体_GB2312"/>
          <w:kern w:val="0"/>
          <w:sz w:val="32"/>
          <w:szCs w:val="32"/>
          <w:lang w:val="en-US" w:eastAsia="zh-CN"/>
        </w:rPr>
        <w:t>（二）谐波控制</w:t>
      </w:r>
      <w:bookmarkEnd w:id="413"/>
      <w:bookmarkEnd w:id="41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415" w:name="_Toc21681577"/>
      <w:r>
        <w:rPr>
          <w:rFonts w:hint="eastAsia" w:ascii="Times New Roman" w:eastAsia="仿宋_GB2312" w:cs="Times New Roman"/>
          <w:kern w:val="0"/>
          <w:sz w:val="32"/>
          <w:szCs w:val="32"/>
          <w:lang w:val="en-US" w:eastAsia="zh-CN"/>
        </w:rPr>
        <w:t>试点区域内暂无分布式电源（如光伏）规划，且规划用户无非线性负载，因此预计区域电网无谐波污染问题。</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16" w:name="_Toc29469614"/>
      <w:r>
        <w:rPr>
          <w:rFonts w:hint="eastAsia" w:ascii="楷体_GB2312" w:hAnsi="楷体_GB2312" w:eastAsia="楷体_GB2312" w:cs="楷体_GB2312"/>
          <w:kern w:val="0"/>
          <w:sz w:val="32"/>
          <w:szCs w:val="32"/>
          <w:lang w:val="en-US" w:eastAsia="zh-CN"/>
        </w:rPr>
        <w:t>（三）电压允许偏差值</w:t>
      </w:r>
      <w:bookmarkEnd w:id="415"/>
      <w:bookmarkEnd w:id="41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417" w:name="_Toc21681578"/>
      <w:r>
        <w:rPr>
          <w:rFonts w:hint="eastAsia" w:ascii="Times New Roman" w:eastAsia="仿宋_GB2312" w:cs="Times New Roman"/>
          <w:kern w:val="0"/>
          <w:sz w:val="32"/>
          <w:szCs w:val="32"/>
          <w:lang w:val="en-US" w:eastAsia="zh-CN"/>
        </w:rPr>
        <w:t>电力系统正常状况下，用户受电端的供电电压允许偏差为：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1.35千伏供电电压正负偏差的绝对值之和不超过额定电压10%。</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2.110千伏及以下三相供电电压允许偏差为额定电压的±7%。</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3.220伏单相供电电压允许偏差为额定电压的+7％与-10%。</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4.对供电点短路容量较小、供电距离较长以及对供电电压偏差有特殊要求的用户，由供、用电双方协议确定。</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内存在计算机或者电子类设备、照明设备等，这些设备对电压偏差要求各有不同。试点区域应加强各级电网的无功补偿的投切控制工作，安装电压监测装置，使各级电网三相供电电压偏差满足上述行业规范要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18" w:name="_Toc29469615"/>
      <w:r>
        <w:rPr>
          <w:rFonts w:hint="eastAsia" w:ascii="楷体_GB2312" w:hAnsi="楷体_GB2312" w:eastAsia="楷体_GB2312" w:cs="楷体_GB2312"/>
          <w:kern w:val="0"/>
          <w:sz w:val="32"/>
          <w:szCs w:val="32"/>
          <w:lang w:val="en-US" w:eastAsia="zh-CN"/>
        </w:rPr>
        <w:t>（四）三相电压允许不平衡度</w:t>
      </w:r>
      <w:bookmarkEnd w:id="417"/>
      <w:bookmarkEnd w:id="41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419" w:name="_Toc21681579"/>
      <w:r>
        <w:rPr>
          <w:rFonts w:hint="eastAsia" w:ascii="Times New Roman" w:eastAsia="仿宋_GB2312" w:cs="Times New Roman"/>
          <w:kern w:val="0"/>
          <w:sz w:val="32"/>
          <w:szCs w:val="32"/>
          <w:lang w:val="en-US" w:eastAsia="zh-CN"/>
        </w:rPr>
        <w:t>1.三相电压不平衡度是电能质量的一个重要指标，其限值为：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（1）电力系统公共连接点电压不平衡度允许值为2%，短时不得超过4%。</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（2）接于公共连接点的每个用户引起该点负序电压不平衡允许值一般为1.3%，短时不超过2.6%。</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通常电压不平衡大多由三相元件、线路参数或负荷不对称引起。由于三相负荷的因素是不一定的，所以供电点的三相电压和电流极易出现不平衡的现象，损耗线路。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2.试点区域控制三相电压允许不平衡度主要有以下措施：</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（1）装设平衡装置，通过装设平衡装置的方式来达到三相负荷的相对均匀分配。</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（2）定期开展对三相负荷的检测工作，将检测结果进行专业记录和分析，及时发现三相不平衡状况。</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（3）由不对称负荷引起的电网三相电压不平衡可以将不对称负荷分散接在不同的供电点，以减少集中连接造成不平衡度严重超标的问题。或使用交叉换相等办法使不对称负荷合理分配到各相，尽量使其平衡化。</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20" w:name="_Toc29469616"/>
      <w:r>
        <w:rPr>
          <w:rFonts w:hint="eastAsia" w:ascii="楷体_GB2312" w:hAnsi="楷体_GB2312" w:eastAsia="楷体_GB2312" w:cs="楷体_GB2312"/>
          <w:kern w:val="0"/>
          <w:sz w:val="32"/>
          <w:szCs w:val="32"/>
          <w:lang w:val="en-US" w:eastAsia="zh-CN"/>
        </w:rPr>
        <w:t>（五）电压波动和闪变</w:t>
      </w:r>
      <w:bookmarkEnd w:id="419"/>
      <w:bookmarkEnd w:id="420"/>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bookmarkStart w:id="421" w:name="_Toc21681580"/>
      <w:r>
        <w:rPr>
          <w:rFonts w:hint="eastAsia" w:ascii="Times New Roman" w:eastAsia="仿宋_GB2312" w:cs="Times New Roman"/>
          <w:kern w:val="0"/>
          <w:sz w:val="32"/>
          <w:szCs w:val="32"/>
          <w:lang w:val="en-US" w:eastAsia="zh-CN"/>
        </w:rPr>
        <w:t>1.电压波动允许限值</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任何一个波动负荷用户在电力系统公共连接点产生的电压变动，其限值和电压变动频率、电压等级有关。标准如表9-1所示：</w:t>
      </w:r>
    </w:p>
    <w:p>
      <w:pPr>
        <w:pStyle w:val="86"/>
        <w:keepLines w:val="0"/>
        <w:numPr>
          <w:ilvl w:val="0"/>
          <w:numId w:val="0"/>
        </w:numPr>
        <w:jc w:val="center"/>
        <w:rPr>
          <w:rFonts w:ascii="仿宋_GB2312" w:eastAsia="仿宋_GB2312"/>
        </w:rPr>
      </w:pPr>
      <w:r>
        <w:rPr>
          <w:rFonts w:hint="eastAsia" w:ascii="仿宋_GB2312" w:eastAsia="仿宋_GB2312"/>
        </w:rPr>
        <w:t>表9-1 电压变动限值</w:t>
      </w:r>
    </w:p>
    <w:tbl>
      <w:tblPr>
        <w:tblStyle w:val="42"/>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3"/>
        <w:gridCol w:w="1701"/>
        <w:gridCol w:w="1277"/>
        <w:gridCol w:w="1389"/>
        <w:gridCol w:w="158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tblHeader/>
          <w:jc w:val="center"/>
        </w:trPr>
        <w:tc>
          <w:tcPr>
            <w:tcW w:w="1283" w:type="dxa"/>
            <w:vMerge w:val="restart"/>
            <w:vAlign w:val="center"/>
          </w:tcPr>
          <w:p>
            <w:pPr>
              <w:pStyle w:val="87"/>
              <w:rPr>
                <w:rFonts w:ascii="仿宋_GB2312" w:hAnsi="仿宋" w:eastAsia="仿宋_GB2312"/>
                <w:sz w:val="21"/>
              </w:rPr>
            </w:pPr>
            <w:r>
              <w:rPr>
                <w:rFonts w:hint="eastAsia" w:ascii="仿宋_GB2312" w:hAnsi="仿宋" w:eastAsia="仿宋_GB2312"/>
                <w:sz w:val="21"/>
              </w:rPr>
              <w:t>r,h-1</w:t>
            </w:r>
          </w:p>
        </w:tc>
        <w:tc>
          <w:tcPr>
            <w:tcW w:w="2978" w:type="dxa"/>
            <w:gridSpan w:val="2"/>
            <w:vAlign w:val="center"/>
          </w:tcPr>
          <w:p>
            <w:pPr>
              <w:pStyle w:val="87"/>
              <w:rPr>
                <w:rFonts w:ascii="仿宋_GB2312" w:hAnsi="仿宋" w:eastAsia="仿宋_GB2312"/>
                <w:sz w:val="21"/>
              </w:rPr>
            </w:pPr>
            <w:r>
              <w:rPr>
                <w:rFonts w:hint="eastAsia" w:ascii="仿宋_GB2312" w:hAnsi="仿宋" w:eastAsia="仿宋_GB2312"/>
                <w:sz w:val="21"/>
              </w:rPr>
              <w:t>d,%</w:t>
            </w:r>
          </w:p>
        </w:tc>
        <w:tc>
          <w:tcPr>
            <w:tcW w:w="1389" w:type="dxa"/>
            <w:vMerge w:val="restart"/>
            <w:vAlign w:val="center"/>
          </w:tcPr>
          <w:p>
            <w:pPr>
              <w:pStyle w:val="87"/>
              <w:rPr>
                <w:rFonts w:ascii="仿宋_GB2312" w:hAnsi="仿宋" w:eastAsia="仿宋_GB2312"/>
                <w:sz w:val="21"/>
              </w:rPr>
            </w:pPr>
            <w:r>
              <w:rPr>
                <w:rFonts w:hint="eastAsia" w:ascii="仿宋_GB2312" w:hAnsi="仿宋" w:eastAsia="仿宋_GB2312"/>
                <w:sz w:val="21"/>
              </w:rPr>
              <w:t>r,h-1</w:t>
            </w:r>
          </w:p>
        </w:tc>
        <w:tc>
          <w:tcPr>
            <w:tcW w:w="2666" w:type="dxa"/>
            <w:gridSpan w:val="2"/>
            <w:vAlign w:val="center"/>
          </w:tcPr>
          <w:p>
            <w:pPr>
              <w:pStyle w:val="87"/>
              <w:rPr>
                <w:rFonts w:ascii="仿宋_GB2312" w:hAnsi="仿宋" w:eastAsia="仿宋_GB2312"/>
                <w:sz w:val="21"/>
              </w:rPr>
            </w:pPr>
            <w:r>
              <w:rPr>
                <w:rFonts w:hint="eastAsia" w:ascii="仿宋_GB2312" w:hAnsi="仿宋" w:eastAsia="仿宋_GB2312"/>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83" w:type="dxa"/>
            <w:vMerge w:val="continue"/>
            <w:vAlign w:val="center"/>
          </w:tcPr>
          <w:p>
            <w:pPr>
              <w:pStyle w:val="87"/>
              <w:rPr>
                <w:rFonts w:ascii="仿宋_GB2312" w:hAnsi="仿宋" w:eastAsia="仿宋_GB2312"/>
                <w:sz w:val="21"/>
              </w:rPr>
            </w:pPr>
          </w:p>
        </w:tc>
        <w:tc>
          <w:tcPr>
            <w:tcW w:w="1701" w:type="dxa"/>
            <w:vAlign w:val="center"/>
          </w:tcPr>
          <w:p>
            <w:pPr>
              <w:pStyle w:val="87"/>
              <w:rPr>
                <w:rFonts w:ascii="仿宋_GB2312" w:hAnsi="仿宋" w:eastAsia="仿宋_GB2312"/>
                <w:sz w:val="21"/>
              </w:rPr>
            </w:pPr>
            <w:r>
              <w:rPr>
                <w:rFonts w:hint="eastAsia" w:ascii="仿宋_GB2312" w:hAnsi="仿宋" w:eastAsia="仿宋_GB2312"/>
                <w:sz w:val="21"/>
              </w:rPr>
              <w:t>LV、MV</w:t>
            </w:r>
          </w:p>
        </w:tc>
        <w:tc>
          <w:tcPr>
            <w:tcW w:w="1277" w:type="dxa"/>
            <w:vAlign w:val="center"/>
          </w:tcPr>
          <w:p>
            <w:pPr>
              <w:pStyle w:val="87"/>
              <w:rPr>
                <w:rFonts w:ascii="仿宋_GB2312" w:hAnsi="仿宋" w:eastAsia="仿宋_GB2312"/>
                <w:sz w:val="21"/>
              </w:rPr>
            </w:pPr>
            <w:r>
              <w:rPr>
                <w:rFonts w:hint="eastAsia" w:ascii="仿宋_GB2312" w:hAnsi="仿宋" w:eastAsia="仿宋_GB2312"/>
                <w:sz w:val="21"/>
              </w:rPr>
              <w:t>HV</w:t>
            </w:r>
          </w:p>
        </w:tc>
        <w:tc>
          <w:tcPr>
            <w:tcW w:w="1389" w:type="dxa"/>
            <w:vMerge w:val="continue"/>
            <w:vAlign w:val="center"/>
          </w:tcPr>
          <w:p>
            <w:pPr>
              <w:pStyle w:val="87"/>
              <w:rPr>
                <w:rFonts w:ascii="仿宋_GB2312" w:hAnsi="仿宋" w:eastAsia="仿宋_GB2312"/>
                <w:sz w:val="21"/>
              </w:rPr>
            </w:pPr>
          </w:p>
        </w:tc>
        <w:tc>
          <w:tcPr>
            <w:tcW w:w="1587" w:type="dxa"/>
            <w:vAlign w:val="center"/>
          </w:tcPr>
          <w:p>
            <w:pPr>
              <w:pStyle w:val="87"/>
              <w:rPr>
                <w:rFonts w:ascii="仿宋_GB2312" w:hAnsi="仿宋" w:eastAsia="仿宋_GB2312"/>
                <w:sz w:val="21"/>
              </w:rPr>
            </w:pPr>
            <w:r>
              <w:rPr>
                <w:rFonts w:hint="eastAsia" w:ascii="仿宋_GB2312" w:hAnsi="仿宋" w:eastAsia="仿宋_GB2312"/>
                <w:sz w:val="21"/>
              </w:rPr>
              <w:t>LV、MV</w:t>
            </w:r>
          </w:p>
        </w:tc>
        <w:tc>
          <w:tcPr>
            <w:tcW w:w="1079" w:type="dxa"/>
            <w:vAlign w:val="center"/>
          </w:tcPr>
          <w:p>
            <w:pPr>
              <w:pStyle w:val="87"/>
              <w:rPr>
                <w:rFonts w:ascii="仿宋_GB2312" w:hAnsi="仿宋" w:eastAsia="仿宋_GB2312"/>
                <w:sz w:val="21"/>
              </w:rPr>
            </w:pPr>
            <w:r>
              <w:rPr>
                <w:rFonts w:hint="eastAsia" w:ascii="仿宋_GB2312" w:hAnsi="仿宋" w:eastAsia="仿宋_GB2312"/>
                <w:sz w:val="21"/>
              </w:rPr>
              <w:t>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83" w:type="dxa"/>
            <w:vAlign w:val="center"/>
          </w:tcPr>
          <w:p>
            <w:pPr>
              <w:pStyle w:val="87"/>
              <w:rPr>
                <w:rFonts w:ascii="仿宋_GB2312" w:hAnsi="仿宋" w:eastAsia="仿宋_GB2312"/>
                <w:b w:val="0"/>
                <w:sz w:val="21"/>
              </w:rPr>
            </w:pPr>
            <w:r>
              <w:rPr>
                <w:rFonts w:hint="eastAsia" w:ascii="仿宋_GB2312" w:hAnsi="仿宋" w:eastAsia="仿宋_GB2312"/>
                <w:b w:val="0"/>
                <w:sz w:val="21"/>
              </w:rPr>
              <w:t>r≤1</w:t>
            </w:r>
          </w:p>
        </w:tc>
        <w:tc>
          <w:tcPr>
            <w:tcW w:w="1701" w:type="dxa"/>
            <w:vAlign w:val="center"/>
          </w:tcPr>
          <w:p>
            <w:pPr>
              <w:pStyle w:val="87"/>
              <w:rPr>
                <w:rFonts w:ascii="仿宋_GB2312" w:hAnsi="仿宋" w:eastAsia="仿宋_GB2312"/>
                <w:b w:val="0"/>
                <w:sz w:val="21"/>
              </w:rPr>
            </w:pPr>
            <w:r>
              <w:rPr>
                <w:rFonts w:hint="eastAsia" w:ascii="仿宋_GB2312" w:hAnsi="仿宋" w:eastAsia="仿宋_GB2312"/>
                <w:b w:val="0"/>
                <w:sz w:val="21"/>
              </w:rPr>
              <w:t>4</w:t>
            </w:r>
          </w:p>
        </w:tc>
        <w:tc>
          <w:tcPr>
            <w:tcW w:w="1277" w:type="dxa"/>
            <w:vAlign w:val="center"/>
          </w:tcPr>
          <w:p>
            <w:pPr>
              <w:pStyle w:val="87"/>
              <w:rPr>
                <w:rFonts w:ascii="仿宋_GB2312" w:hAnsi="仿宋" w:eastAsia="仿宋_GB2312"/>
                <w:b w:val="0"/>
                <w:sz w:val="21"/>
              </w:rPr>
            </w:pPr>
            <w:r>
              <w:rPr>
                <w:rFonts w:hint="eastAsia" w:ascii="仿宋_GB2312" w:hAnsi="仿宋" w:eastAsia="仿宋_GB2312"/>
                <w:b w:val="0"/>
                <w:sz w:val="21"/>
              </w:rPr>
              <w:t>3</w:t>
            </w:r>
          </w:p>
        </w:tc>
        <w:tc>
          <w:tcPr>
            <w:tcW w:w="1389" w:type="dxa"/>
            <w:vAlign w:val="center"/>
          </w:tcPr>
          <w:p>
            <w:pPr>
              <w:pStyle w:val="87"/>
              <w:rPr>
                <w:rFonts w:ascii="仿宋_GB2312" w:hAnsi="仿宋" w:eastAsia="仿宋_GB2312"/>
                <w:b w:val="0"/>
                <w:sz w:val="21"/>
              </w:rPr>
            </w:pPr>
            <w:r>
              <w:rPr>
                <w:rFonts w:hint="eastAsia" w:ascii="仿宋_GB2312" w:hAnsi="仿宋" w:eastAsia="仿宋_GB2312"/>
                <w:b w:val="0"/>
                <w:sz w:val="21"/>
              </w:rPr>
              <w:t>10＜r≤100</w:t>
            </w:r>
          </w:p>
        </w:tc>
        <w:tc>
          <w:tcPr>
            <w:tcW w:w="1587" w:type="dxa"/>
            <w:vAlign w:val="center"/>
          </w:tcPr>
          <w:p>
            <w:pPr>
              <w:pStyle w:val="87"/>
              <w:rPr>
                <w:rFonts w:ascii="仿宋_GB2312" w:hAnsi="仿宋" w:eastAsia="仿宋_GB2312"/>
                <w:b w:val="0"/>
                <w:sz w:val="21"/>
              </w:rPr>
            </w:pPr>
            <w:r>
              <w:rPr>
                <w:rFonts w:hint="eastAsia" w:ascii="仿宋_GB2312" w:hAnsi="仿宋" w:eastAsia="仿宋_GB2312"/>
                <w:b w:val="0"/>
                <w:sz w:val="21"/>
              </w:rPr>
              <w:t>2*</w:t>
            </w:r>
          </w:p>
        </w:tc>
        <w:tc>
          <w:tcPr>
            <w:tcW w:w="1079" w:type="dxa"/>
            <w:vAlign w:val="center"/>
          </w:tcPr>
          <w:p>
            <w:pPr>
              <w:pStyle w:val="87"/>
              <w:rPr>
                <w:rFonts w:ascii="仿宋_GB2312" w:hAnsi="仿宋" w:eastAsia="仿宋_GB2312"/>
                <w:b w:val="0"/>
                <w:sz w:val="21"/>
              </w:rPr>
            </w:pPr>
            <w:r>
              <w:rPr>
                <w:rFonts w:hint="eastAsia" w:ascii="仿宋_GB2312" w:hAnsi="仿宋" w:eastAsia="仿宋_GB2312"/>
                <w:b w:val="0"/>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83" w:type="dxa"/>
            <w:vAlign w:val="center"/>
          </w:tcPr>
          <w:p>
            <w:pPr>
              <w:pStyle w:val="87"/>
              <w:rPr>
                <w:rFonts w:ascii="仿宋_GB2312" w:hAnsi="仿宋" w:eastAsia="仿宋_GB2312"/>
                <w:b w:val="0"/>
                <w:sz w:val="21"/>
              </w:rPr>
            </w:pPr>
            <w:r>
              <w:rPr>
                <w:rFonts w:hint="eastAsia" w:ascii="仿宋_GB2312" w:hAnsi="仿宋" w:eastAsia="仿宋_GB2312"/>
                <w:b w:val="0"/>
                <w:sz w:val="21"/>
              </w:rPr>
              <w:t>1＜r≤10</w:t>
            </w:r>
          </w:p>
        </w:tc>
        <w:tc>
          <w:tcPr>
            <w:tcW w:w="1701" w:type="dxa"/>
            <w:vAlign w:val="center"/>
          </w:tcPr>
          <w:p>
            <w:pPr>
              <w:pStyle w:val="87"/>
              <w:rPr>
                <w:rFonts w:ascii="仿宋_GB2312" w:hAnsi="仿宋" w:eastAsia="仿宋_GB2312"/>
                <w:b w:val="0"/>
                <w:sz w:val="21"/>
              </w:rPr>
            </w:pPr>
            <w:r>
              <w:rPr>
                <w:rFonts w:hint="eastAsia" w:ascii="仿宋_GB2312" w:hAnsi="仿宋" w:eastAsia="仿宋_GB2312"/>
                <w:b w:val="0"/>
                <w:sz w:val="21"/>
              </w:rPr>
              <w:t>3</w:t>
            </w:r>
          </w:p>
        </w:tc>
        <w:tc>
          <w:tcPr>
            <w:tcW w:w="1277" w:type="dxa"/>
            <w:vAlign w:val="center"/>
          </w:tcPr>
          <w:p>
            <w:pPr>
              <w:pStyle w:val="87"/>
              <w:rPr>
                <w:rFonts w:ascii="仿宋_GB2312" w:hAnsi="仿宋" w:eastAsia="仿宋_GB2312"/>
                <w:b w:val="0"/>
                <w:sz w:val="21"/>
              </w:rPr>
            </w:pPr>
            <w:r>
              <w:rPr>
                <w:rFonts w:hint="eastAsia" w:ascii="仿宋_GB2312" w:hAnsi="仿宋" w:eastAsia="仿宋_GB2312"/>
                <w:b w:val="0"/>
                <w:sz w:val="21"/>
              </w:rPr>
              <w:t>2.5</w:t>
            </w:r>
          </w:p>
        </w:tc>
        <w:tc>
          <w:tcPr>
            <w:tcW w:w="1389" w:type="dxa"/>
            <w:vAlign w:val="center"/>
          </w:tcPr>
          <w:p>
            <w:pPr>
              <w:pStyle w:val="87"/>
              <w:rPr>
                <w:rFonts w:ascii="仿宋_GB2312" w:hAnsi="仿宋" w:eastAsia="仿宋_GB2312"/>
                <w:b w:val="0"/>
                <w:sz w:val="21"/>
              </w:rPr>
            </w:pPr>
            <w:r>
              <w:rPr>
                <w:rFonts w:hint="eastAsia" w:ascii="仿宋_GB2312" w:hAnsi="仿宋" w:eastAsia="仿宋_GB2312"/>
                <w:b w:val="0"/>
                <w:sz w:val="21"/>
              </w:rPr>
              <w:t>100＜r≤1000</w:t>
            </w:r>
          </w:p>
        </w:tc>
        <w:tc>
          <w:tcPr>
            <w:tcW w:w="1587" w:type="dxa"/>
            <w:vAlign w:val="center"/>
          </w:tcPr>
          <w:p>
            <w:pPr>
              <w:pStyle w:val="87"/>
              <w:rPr>
                <w:rFonts w:ascii="仿宋_GB2312" w:hAnsi="仿宋" w:eastAsia="仿宋_GB2312"/>
                <w:b w:val="0"/>
                <w:sz w:val="21"/>
              </w:rPr>
            </w:pPr>
            <w:r>
              <w:rPr>
                <w:rFonts w:hint="eastAsia" w:ascii="仿宋_GB2312" w:hAnsi="仿宋" w:eastAsia="仿宋_GB2312"/>
                <w:b w:val="0"/>
                <w:sz w:val="21"/>
              </w:rPr>
              <w:t>1.25</w:t>
            </w:r>
          </w:p>
        </w:tc>
        <w:tc>
          <w:tcPr>
            <w:tcW w:w="1079" w:type="dxa"/>
            <w:vAlign w:val="center"/>
          </w:tcPr>
          <w:p>
            <w:pPr>
              <w:pStyle w:val="87"/>
              <w:rPr>
                <w:rFonts w:ascii="仿宋_GB2312" w:hAnsi="仿宋" w:eastAsia="仿宋_GB2312"/>
                <w:b w:val="0"/>
                <w:sz w:val="21"/>
              </w:rPr>
            </w:pPr>
            <w:r>
              <w:rPr>
                <w:rFonts w:hint="eastAsia" w:ascii="仿宋_GB2312" w:hAnsi="仿宋" w:eastAsia="仿宋_GB2312"/>
                <w:b w:val="0"/>
                <w:sz w:val="21"/>
              </w:rPr>
              <w:t>1</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电力系统公共连接点，在系统正常运行的较小方式下，以一周为测量周期，所有长时间闪变值 Plt 都应满足表9-2所示：</w:t>
      </w:r>
    </w:p>
    <w:p>
      <w:pPr>
        <w:pStyle w:val="86"/>
        <w:keepLines w:val="0"/>
        <w:numPr>
          <w:ilvl w:val="0"/>
          <w:numId w:val="0"/>
        </w:numPr>
        <w:jc w:val="center"/>
        <w:rPr>
          <w:rFonts w:ascii="仿宋_GB2312" w:eastAsia="仿宋_GB2312"/>
        </w:rPr>
      </w:pPr>
      <w:r>
        <w:rPr>
          <w:rFonts w:hint="eastAsia" w:ascii="仿宋_GB2312" w:eastAsia="仿宋_GB2312"/>
        </w:rPr>
        <w:t>表9-2 闪变限值</w:t>
      </w:r>
    </w:p>
    <w:tbl>
      <w:tblPr>
        <w:tblStyle w:val="42"/>
        <w:tblW w:w="8316" w:type="dxa"/>
        <w:jc w:val="center"/>
        <w:tblInd w:w="0" w:type="dxa"/>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5"/>
        <w:gridCol w:w="2555"/>
        <w:gridCol w:w="1918"/>
        <w:gridCol w:w="1918"/>
      </w:tblGrid>
      <w:tr>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tblHeader/>
          <w:jc w:val="center"/>
        </w:trPr>
        <w:tc>
          <w:tcPr>
            <w:tcW w:w="1925" w:type="dxa"/>
            <w:vAlign w:val="center"/>
          </w:tcPr>
          <w:p>
            <w:pPr>
              <w:pStyle w:val="87"/>
              <w:rPr>
                <w:rFonts w:ascii="仿宋_GB2312" w:hAnsi="仿宋" w:eastAsia="仿宋_GB2312"/>
                <w:sz w:val="21"/>
              </w:rPr>
            </w:pPr>
            <w:r>
              <w:rPr>
                <w:rFonts w:hint="eastAsia" w:ascii="仿宋_GB2312" w:hAnsi="仿宋" w:eastAsia="仿宋_GB2312"/>
                <w:sz w:val="21"/>
              </w:rPr>
              <w:t>系统电压等级</w:t>
            </w:r>
          </w:p>
        </w:tc>
        <w:tc>
          <w:tcPr>
            <w:tcW w:w="2555" w:type="dxa"/>
            <w:vAlign w:val="center"/>
          </w:tcPr>
          <w:p>
            <w:pPr>
              <w:pStyle w:val="87"/>
              <w:rPr>
                <w:rFonts w:ascii="仿宋_GB2312" w:hAnsi="仿宋" w:eastAsia="仿宋_GB2312"/>
                <w:sz w:val="21"/>
              </w:rPr>
            </w:pPr>
            <w:r>
              <w:rPr>
                <w:rFonts w:ascii="仿宋_GB2312" w:hAnsi="仿宋" w:eastAsia="仿宋_GB2312"/>
                <w:sz w:val="21"/>
              </w:rPr>
              <w:t>LV</w:t>
            </w:r>
          </w:p>
        </w:tc>
        <w:tc>
          <w:tcPr>
            <w:tcW w:w="1918" w:type="dxa"/>
            <w:vAlign w:val="center"/>
          </w:tcPr>
          <w:p>
            <w:pPr>
              <w:pStyle w:val="87"/>
              <w:rPr>
                <w:rFonts w:ascii="仿宋_GB2312" w:hAnsi="仿宋" w:eastAsia="仿宋_GB2312"/>
                <w:sz w:val="21"/>
              </w:rPr>
            </w:pPr>
            <w:r>
              <w:rPr>
                <w:rFonts w:ascii="仿宋_GB2312" w:hAnsi="仿宋" w:eastAsia="仿宋_GB2312"/>
                <w:sz w:val="21"/>
              </w:rPr>
              <w:t>MV</w:t>
            </w:r>
          </w:p>
        </w:tc>
        <w:tc>
          <w:tcPr>
            <w:tcW w:w="1918" w:type="dxa"/>
            <w:vAlign w:val="center"/>
          </w:tcPr>
          <w:p>
            <w:pPr>
              <w:pStyle w:val="87"/>
              <w:rPr>
                <w:rFonts w:ascii="仿宋_GB2312" w:hAnsi="仿宋" w:eastAsia="仿宋_GB2312"/>
                <w:sz w:val="21"/>
              </w:rPr>
            </w:pPr>
            <w:r>
              <w:rPr>
                <w:rFonts w:ascii="仿宋_GB2312" w:hAnsi="仿宋" w:eastAsia="仿宋_GB2312"/>
                <w:sz w:val="21"/>
              </w:rPr>
              <w:t>HV</w:t>
            </w:r>
          </w:p>
        </w:tc>
      </w:tr>
      <w:tr>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925" w:type="dxa"/>
            <w:vAlign w:val="center"/>
          </w:tcPr>
          <w:p>
            <w:pPr>
              <w:pStyle w:val="87"/>
              <w:rPr>
                <w:rFonts w:ascii="仿宋_GB2312" w:hAnsi="仿宋" w:eastAsia="仿宋_GB2312"/>
                <w:b w:val="0"/>
                <w:sz w:val="21"/>
              </w:rPr>
            </w:pPr>
            <w:r>
              <w:rPr>
                <w:rFonts w:hint="eastAsia" w:ascii="仿宋_GB2312" w:hAnsi="仿宋" w:eastAsia="仿宋_GB2312"/>
                <w:b w:val="0"/>
                <w:sz w:val="21"/>
              </w:rPr>
              <w:t>Pst</w:t>
            </w:r>
          </w:p>
        </w:tc>
        <w:tc>
          <w:tcPr>
            <w:tcW w:w="2555" w:type="dxa"/>
            <w:vAlign w:val="center"/>
          </w:tcPr>
          <w:p>
            <w:pPr>
              <w:pStyle w:val="87"/>
              <w:rPr>
                <w:rFonts w:ascii="仿宋_GB2312" w:hAnsi="仿宋" w:eastAsia="仿宋_GB2312"/>
                <w:b w:val="0"/>
                <w:sz w:val="21"/>
              </w:rPr>
            </w:pPr>
            <w:r>
              <w:rPr>
                <w:rFonts w:hint="eastAsia" w:ascii="仿宋_GB2312" w:hAnsi="仿宋" w:eastAsia="仿宋_GB2312"/>
                <w:b w:val="0"/>
                <w:sz w:val="21"/>
              </w:rPr>
              <w:t>1.0</w:t>
            </w:r>
          </w:p>
        </w:tc>
        <w:tc>
          <w:tcPr>
            <w:tcW w:w="1918" w:type="dxa"/>
            <w:vAlign w:val="center"/>
          </w:tcPr>
          <w:p>
            <w:pPr>
              <w:pStyle w:val="87"/>
              <w:rPr>
                <w:rFonts w:ascii="仿宋_GB2312" w:hAnsi="仿宋" w:eastAsia="仿宋_GB2312"/>
                <w:b w:val="0"/>
                <w:sz w:val="21"/>
              </w:rPr>
            </w:pPr>
            <w:r>
              <w:rPr>
                <w:rFonts w:hint="eastAsia" w:ascii="仿宋_GB2312" w:hAnsi="仿宋" w:eastAsia="仿宋_GB2312"/>
                <w:b w:val="0"/>
                <w:sz w:val="21"/>
              </w:rPr>
              <w:t>0.9（1.0）</w:t>
            </w:r>
          </w:p>
        </w:tc>
        <w:tc>
          <w:tcPr>
            <w:tcW w:w="1918" w:type="dxa"/>
            <w:vAlign w:val="center"/>
          </w:tcPr>
          <w:p>
            <w:pPr>
              <w:pStyle w:val="87"/>
              <w:rPr>
                <w:rFonts w:ascii="仿宋_GB2312" w:hAnsi="仿宋" w:eastAsia="仿宋_GB2312"/>
                <w:b w:val="0"/>
                <w:sz w:val="21"/>
              </w:rPr>
            </w:pPr>
            <w:r>
              <w:rPr>
                <w:rFonts w:hint="eastAsia" w:ascii="仿宋_GB2312" w:hAnsi="仿宋" w:eastAsia="仿宋_GB2312"/>
                <w:b w:val="0"/>
                <w:sz w:val="21"/>
              </w:rPr>
              <w:t>0.8</w:t>
            </w:r>
          </w:p>
        </w:tc>
      </w:tr>
      <w:tr>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925" w:type="dxa"/>
            <w:vAlign w:val="center"/>
          </w:tcPr>
          <w:p>
            <w:pPr>
              <w:pStyle w:val="87"/>
              <w:rPr>
                <w:rFonts w:ascii="仿宋_GB2312" w:hAnsi="仿宋" w:eastAsia="仿宋_GB2312"/>
                <w:b w:val="0"/>
                <w:sz w:val="21"/>
              </w:rPr>
            </w:pPr>
            <w:r>
              <w:rPr>
                <w:rFonts w:hint="eastAsia" w:ascii="仿宋_GB2312" w:hAnsi="仿宋" w:eastAsia="仿宋_GB2312"/>
                <w:b w:val="0"/>
                <w:sz w:val="21"/>
              </w:rPr>
              <w:t>Plt</w:t>
            </w:r>
          </w:p>
        </w:tc>
        <w:tc>
          <w:tcPr>
            <w:tcW w:w="2555" w:type="dxa"/>
            <w:vAlign w:val="center"/>
          </w:tcPr>
          <w:p>
            <w:pPr>
              <w:pStyle w:val="87"/>
              <w:rPr>
                <w:rFonts w:ascii="仿宋_GB2312" w:hAnsi="仿宋" w:eastAsia="仿宋_GB2312"/>
                <w:b w:val="0"/>
                <w:sz w:val="21"/>
              </w:rPr>
            </w:pPr>
            <w:r>
              <w:rPr>
                <w:rFonts w:hint="eastAsia" w:ascii="仿宋_GB2312" w:hAnsi="仿宋" w:eastAsia="仿宋_GB2312"/>
                <w:b w:val="0"/>
                <w:sz w:val="21"/>
              </w:rPr>
              <w:t>0.8</w:t>
            </w:r>
          </w:p>
        </w:tc>
        <w:tc>
          <w:tcPr>
            <w:tcW w:w="1918" w:type="dxa"/>
            <w:vAlign w:val="center"/>
          </w:tcPr>
          <w:p>
            <w:pPr>
              <w:pStyle w:val="87"/>
              <w:rPr>
                <w:rFonts w:ascii="仿宋_GB2312" w:hAnsi="仿宋" w:eastAsia="仿宋_GB2312"/>
                <w:b w:val="0"/>
                <w:sz w:val="21"/>
              </w:rPr>
            </w:pPr>
            <w:r>
              <w:rPr>
                <w:rFonts w:hint="eastAsia" w:ascii="仿宋_GB2312" w:hAnsi="仿宋" w:eastAsia="仿宋_GB2312"/>
                <w:b w:val="0"/>
                <w:sz w:val="21"/>
              </w:rPr>
              <w:t>0.7（0.8）</w:t>
            </w:r>
          </w:p>
        </w:tc>
        <w:tc>
          <w:tcPr>
            <w:tcW w:w="1918" w:type="dxa"/>
            <w:vAlign w:val="center"/>
          </w:tcPr>
          <w:p>
            <w:pPr>
              <w:pStyle w:val="87"/>
              <w:rPr>
                <w:rFonts w:ascii="仿宋_GB2312" w:hAnsi="仿宋" w:eastAsia="仿宋_GB2312"/>
                <w:b w:val="0"/>
                <w:sz w:val="21"/>
              </w:rPr>
            </w:pPr>
            <w:r>
              <w:rPr>
                <w:rFonts w:hint="eastAsia" w:ascii="仿宋_GB2312" w:hAnsi="仿宋" w:eastAsia="仿宋_GB2312"/>
                <w:b w:val="0"/>
                <w:sz w:val="21"/>
              </w:rPr>
              <w:t>0.6</w:t>
            </w:r>
          </w:p>
        </w:tc>
      </w:tr>
    </w:tbl>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2.对电压波动和闪变应采取下列抑制措施</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（1）采用专线或专用变压器供电。对大容量的冲击性负荷采用专线或专用变压器供电，是降低电压波动对其他设备运行影响的最简便有效的办法。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（2）减小线路阻抗。当冲击性负荷与其他负荷共用供电线路时，设法减小线路阻抗。例如将单回路改为双回路，减小冲击性负荷引起的电压波动。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（3）选用短路容量较大或电压等级较高的电网供电。对大型电弧炉的炉用变压器应选用短路容量较大或电压等级较高的电网供电，能有效地减小冲击性负荷引起的电压波动。</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（4）采用静止无功补偿器SVG装置，维持电网指标在允许的范围内。</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422" w:name="_Toc29469617"/>
      <w:r>
        <w:rPr>
          <w:rFonts w:hint="eastAsia" w:ascii="Times New Roman" w:hAnsi="Times New Roman" w:eastAsia="黑体" w:cs="Times New Roman"/>
          <w:sz w:val="32"/>
          <w:szCs w:val="32"/>
          <w:lang w:val="en-US" w:eastAsia="zh-CN"/>
        </w:rPr>
        <w:t>十、用户服务规划</w:t>
      </w:r>
      <w:bookmarkEnd w:id="421"/>
      <w:bookmarkEnd w:id="42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23" w:name="_Toc23251502"/>
      <w:bookmarkStart w:id="424" w:name="_Toc29469618"/>
      <w:r>
        <w:rPr>
          <w:rFonts w:hint="eastAsia" w:ascii="楷体_GB2312" w:hAnsi="楷体_GB2312" w:eastAsia="楷体_GB2312" w:cs="楷体_GB2312"/>
          <w:kern w:val="0"/>
          <w:sz w:val="32"/>
          <w:szCs w:val="32"/>
          <w:lang w:val="en-US" w:eastAsia="zh-CN"/>
        </w:rPr>
        <w:t>（一）常规用户服务</w:t>
      </w:r>
      <w:bookmarkEnd w:id="423"/>
      <w:bookmarkEnd w:id="42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随着社会经济的不断发展，社会各界和广大客户对电力供给、服务质量提出了更高的要求。应切实开展以下工作，提高对用户供电服务水平。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1.规范办公营业场所。试点区内应建立固定的办公场所及营业网点，并有统一、明显的标志，营业场所应方便营业区用户业务办理。加强供电营业窗口规范化建设，优化服务流程，完善服务标准，规范服务行为。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建立优质服务长效机制。坚强有力、调度灵活的网架结构，是满足客户需求、供电优质服务的硬件基础。从管理上要向需求侧倾斜，开展以客户为单位的安全生产、供电可靠性、电压质量等指标的管理，促进供电服务水平的提高。</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加强队伍建设，提高从业员工素质。不断强化从业员工的服务意识和服务水平；加强营销人员的管理，使营销人员明确自身工作的目标和标准，做到岗位责任明确，服务到位；强化职业道德，高度重视对员工职业道德的培养，同时制订不同岗位的职业道德规范和相应的考核体系。</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4.严格执行价格主管部门制定的电价和收费政策，及时在供电营业场所和网站公开电价、收费标准和服务程序。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5.对用户受电工程设计文件和有关资料审核的期限，自受理之日起，低压供电用户不超过5个工作日，高压供电用户不超过10个工作日。</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6.对用户受电工程启动中间检查的期限，自接到用户申请之日起，低压供电用户不超过2个工作日，高压供电用户不超过3个工作日。</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7.对用户受电工程启动竣工检验的期限，自接到用户受电装置竣工报告和检验申请之日起，低压供电用户不超过3个工作日，高压供电用户不超过5个工作日。</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8.给用户受电装置接电的期限，自受电装置检验合格并办结相关手续之日起，居民用户不超过2个工作日，其他低压供电用户不超过3个工作日，高压供电用户不超过5个工作日。</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25" w:name="_Toc23251503"/>
      <w:bookmarkStart w:id="426" w:name="_Toc29469619"/>
      <w:r>
        <w:rPr>
          <w:rFonts w:hint="eastAsia" w:ascii="楷体_GB2312" w:hAnsi="楷体_GB2312" w:eastAsia="楷体_GB2312" w:cs="楷体_GB2312"/>
          <w:kern w:val="0"/>
          <w:sz w:val="32"/>
          <w:szCs w:val="32"/>
          <w:lang w:val="en-US" w:eastAsia="zh-CN"/>
        </w:rPr>
        <w:t>（二）保底供电服务</w:t>
      </w:r>
      <w:bookmarkEnd w:id="425"/>
      <w:bookmarkEnd w:id="426"/>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增量配电网目前主要面向大工业及商业居民用电客户；对试点区域内的居民、农业、重要公用事业、公益性服务等用电性质，则继续按照所在省（市、区）的目录销售电价执行。对于不参加电力市场交易的用户（包含具备市场交易资格而选择不参与市场交易的电力用户），增量配电网有义务向其提供保底供电服务。</w:t>
      </w:r>
      <w:bookmarkStart w:id="427" w:name="_Toc29469620"/>
      <w:bookmarkStart w:id="428" w:name="_Toc23251504"/>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（三）增值服务</w:t>
      </w:r>
      <w:bookmarkEnd w:id="427"/>
      <w:bookmarkEnd w:id="428"/>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增量配电网业主可以有偿为各类用户提供增值服务，其内容包括但不限于为用户提供用电规划、智能用电、用电设备运维、综合能源服务等。通过不断创新和丰富增值服务内容，一方面使电力用户得到越来越个性化、优质的电力服务，另一方面对于运营商来说也可以获得更多盈利增长点，可为天然气公司代向电厂购电。以此通过良性循环激活市场，发挥市场的价值发现作用，推动产业内涵的不断进步和发展。</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综合能源服务不单销售能源商品，还销售能源服务，当然这种服务主要是附着于能源商品之上的。对于增量配网业主来说，就是由单一售电模式转为电、气、冷、热等的多元化能源供应和多样化增值服务模式。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黑体" w:cs="Times New Roman"/>
          <w:sz w:val="32"/>
          <w:szCs w:val="32"/>
          <w:lang w:val="en-US" w:eastAsia="zh-CN"/>
        </w:rPr>
      </w:pPr>
      <w:bookmarkStart w:id="429" w:name="_Toc29469621"/>
      <w:bookmarkStart w:id="430" w:name="_Toc21681581"/>
      <w:r>
        <w:rPr>
          <w:rFonts w:hint="eastAsia" w:ascii="Times New Roman" w:hAnsi="Times New Roman" w:eastAsia="黑体" w:cs="Times New Roman"/>
          <w:sz w:val="32"/>
          <w:szCs w:val="32"/>
          <w:lang w:val="en-US" w:eastAsia="zh-CN"/>
        </w:rPr>
        <w:t>十一、节能与环境保护</w:t>
      </w:r>
      <w:bookmarkEnd w:id="429"/>
      <w:bookmarkEnd w:id="430"/>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31" w:name="_Toc29469622"/>
      <w:bookmarkStart w:id="432" w:name="_Toc23251506"/>
      <w:r>
        <w:rPr>
          <w:rFonts w:hint="eastAsia" w:ascii="楷体_GB2312" w:hAnsi="楷体_GB2312" w:eastAsia="楷体_GB2312" w:cs="楷体_GB2312"/>
          <w:kern w:val="0"/>
          <w:sz w:val="32"/>
          <w:szCs w:val="32"/>
          <w:lang w:val="en-US" w:eastAsia="zh-CN"/>
        </w:rPr>
        <w:t>（一）节能降耗</w:t>
      </w:r>
      <w:bookmarkEnd w:id="431"/>
      <w:bookmarkEnd w:id="432"/>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电能损耗是评价供电系统的规划、输变电技术以及电力运行效率的重要指标。因此必须重视技术层面和管理层面的节能降耗工作，在保障电能正常供给和电力企业经济效益的基础上，找出节能降耗最有效的解决措施，走可持续发展之路，最终达到电力资源最优利用的目标。试点区域主要采取以下主要措施进行电力节能降耗：</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1.采用无功补偿等手段，控制网损。无功补偿采用集中补偿与就地分散补偿相结合的方式。</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2.加强主变配变的运行监测，促进负载在设备之间的均衡分配，保持变压器处在经济运行区间。</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3.推广使用高效低耗设备，选择合适的配电变压器类型。</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楷体_GB2312" w:hAnsi="楷体_GB2312" w:eastAsia="楷体_GB2312" w:cs="楷体_GB2312"/>
          <w:kern w:val="0"/>
          <w:sz w:val="32"/>
          <w:szCs w:val="32"/>
          <w:lang w:val="en-US" w:eastAsia="zh-CN"/>
        </w:rPr>
      </w:pPr>
      <w:bookmarkStart w:id="433" w:name="_Toc29469623"/>
      <w:r>
        <w:rPr>
          <w:rFonts w:hint="eastAsia" w:ascii="楷体_GB2312" w:hAnsi="楷体_GB2312" w:eastAsia="楷体_GB2312" w:cs="楷体_GB2312"/>
          <w:kern w:val="0"/>
          <w:sz w:val="32"/>
          <w:szCs w:val="32"/>
          <w:lang w:val="en-US" w:eastAsia="zh-CN"/>
        </w:rPr>
        <w:t>（二）环境保护</w:t>
      </w:r>
      <w:bookmarkEnd w:id="433"/>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1.变压器噪音</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在“十四五”期间将建设110千伏围垦变。变压器运行会产生噪音，安装位置应与居住区保持合适距离。为靠近负荷中心，围垦变位置设在青山附近。在无法满足距离要求时，可通过安装振动阻尼器等方式，减少围垦变部分噪声。围垦变主变压器（电抗器）的本体与散热器宜分开布置（散热器采用自冷方式、户外布置）。</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2.线路</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与周边环境相协调，不影响周围环境美观。</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3.电磁场</w:t>
      </w:r>
    </w:p>
    <w:p>
      <w:pPr>
        <w:pStyle w:val="48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eastAsia="仿宋_GB2312" w:cs="Times New Roman"/>
          <w:kern w:val="0"/>
          <w:sz w:val="32"/>
          <w:szCs w:val="32"/>
          <w:lang w:val="en-US" w:eastAsia="zh-CN"/>
        </w:rPr>
      </w:pPr>
      <w:r>
        <w:rPr>
          <w:rFonts w:hint="eastAsia" w:ascii="Times New Roman" w:eastAsia="仿宋_GB2312" w:cs="Times New Roman"/>
          <w:kern w:val="0"/>
          <w:sz w:val="32"/>
          <w:szCs w:val="32"/>
          <w:lang w:val="en-US" w:eastAsia="zh-CN"/>
        </w:rPr>
        <w:t>试点区域内变（配）电站、箱变、杆变、架空（电缆）线路的电磁辐射应符合国家标准《电磁环境控制限值》（GB 8702-2014）和国家环境保护行业标准《电磁辐射环境影响评价方法与标准》（HJ/T1.0-1996）的要求。高频电磁辐射（0.1～500 兆赫兹）增强限值&lt;5千伏/米，工频电磁辐射（50 赫兹）增强限值&lt;4千伏/米，磁场感应强度&lt;0.1毫特斯拉。</w:t>
      </w:r>
    </w:p>
    <w:p>
      <w:pPr>
        <w:pStyle w:val="2"/>
        <w:numPr>
          <w:ilvl w:val="0"/>
          <w:numId w:val="0"/>
        </w:numPr>
        <w:tabs>
          <w:tab w:val="left" w:pos="567"/>
          <w:tab w:val="left" w:pos="3485"/>
        </w:tabs>
        <w:spacing w:line="240" w:lineRule="auto"/>
        <w:rPr>
          <w:rFonts w:ascii="黑体" w:hAnsi="黑体" w:eastAsia="黑体"/>
          <w:b w:val="0"/>
          <w:kern w:val="2"/>
          <w:sz w:val="32"/>
        </w:rPr>
      </w:pPr>
      <w:bookmarkStart w:id="434" w:name="_Toc29469625"/>
      <w:bookmarkStart w:id="435" w:name="_Toc21681592"/>
      <w:r>
        <w:rPr>
          <w:rFonts w:hint="eastAsia" w:ascii="黑体" w:hAnsi="黑体" w:eastAsia="黑体"/>
          <w:b w:val="0"/>
          <w:kern w:val="2"/>
          <w:sz w:val="32"/>
        </w:rPr>
        <w:t>附表</w:t>
      </w:r>
      <w:bookmarkEnd w:id="434"/>
      <w:bookmarkEnd w:id="435"/>
    </w:p>
    <w:p>
      <w:pPr>
        <w:pStyle w:val="380"/>
        <w:spacing w:before="0" w:beforeLines="0" w:afterLines="0"/>
        <w:rPr>
          <w:rFonts w:ascii="仿宋_GB2312" w:eastAsia="仿宋_GB2312"/>
          <w:b w:val="0"/>
          <w:sz w:val="24"/>
          <w:szCs w:val="24"/>
        </w:rPr>
      </w:pPr>
      <w:bookmarkStart w:id="436" w:name="_Toc21681593"/>
      <w:r>
        <w:rPr>
          <w:rFonts w:hint="eastAsia" w:ascii="仿宋_GB2312" w:eastAsia="仿宋_GB2312"/>
          <w:b w:val="0"/>
          <w:sz w:val="24"/>
          <w:szCs w:val="24"/>
        </w:rPr>
        <w:t>附表1试点区域工程项目建设表</w:t>
      </w:r>
      <w:bookmarkEnd w:id="436"/>
    </w:p>
    <w:tbl>
      <w:tblPr>
        <w:tblStyle w:val="42"/>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2115"/>
        <w:gridCol w:w="3695"/>
        <w:gridCol w:w="98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序号</w:t>
            </w:r>
          </w:p>
        </w:tc>
        <w:tc>
          <w:tcPr>
            <w:tcW w:w="211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项目名称</w:t>
            </w:r>
          </w:p>
        </w:tc>
        <w:tc>
          <w:tcPr>
            <w:tcW w:w="3695"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工程规模</w:t>
            </w:r>
          </w:p>
        </w:tc>
        <w:tc>
          <w:tcPr>
            <w:tcW w:w="986"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投产年份</w:t>
            </w:r>
          </w:p>
        </w:tc>
        <w:tc>
          <w:tcPr>
            <w:tcW w:w="1088" w:type="dxa"/>
            <w:vMerge w:val="restart"/>
            <w:vAlign w:val="center"/>
          </w:tcPr>
          <w:p>
            <w:pPr>
              <w:pStyle w:val="87"/>
              <w:keepNext w:val="0"/>
              <w:rPr>
                <w:rFonts w:ascii="仿宋_GB2312" w:hAnsi="仿宋" w:eastAsia="仿宋_GB2312"/>
                <w:sz w:val="21"/>
              </w:rPr>
            </w:pPr>
            <w:r>
              <w:rPr>
                <w:rFonts w:hint="eastAsia" w:ascii="仿宋_GB2312" w:hAnsi="仿宋" w:eastAsia="仿宋_GB2312"/>
                <w:sz w:val="21"/>
              </w:rPr>
              <w:t>项目投资</w:t>
            </w:r>
          </w:p>
          <w:p>
            <w:pPr>
              <w:pStyle w:val="87"/>
              <w:keepNext w:val="0"/>
              <w:rPr>
                <w:rFonts w:ascii="仿宋_GB2312" w:hAnsi="仿宋" w:eastAsia="仿宋_GB2312"/>
                <w:sz w:val="21"/>
              </w:rPr>
            </w:pPr>
            <w:r>
              <w:rPr>
                <w:rFonts w:hint="eastAsia" w:ascii="仿宋_GB2312" w:hAnsi="仿宋" w:eastAsia="仿宋_GB2312"/>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7" w:hRule="atLeast"/>
          <w:jc w:val="center"/>
        </w:trPr>
        <w:tc>
          <w:tcPr>
            <w:tcW w:w="432"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211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3695"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986"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c>
          <w:tcPr>
            <w:tcW w:w="1088" w:type="dxa"/>
            <w:vMerge w:val="continue"/>
            <w:vAlign w:val="center"/>
          </w:tcPr>
          <w:p>
            <w:pPr>
              <w:keepNext/>
              <w:keepLines/>
              <w:snapToGrid w:val="0"/>
              <w:spacing w:line="240" w:lineRule="auto"/>
              <w:ind w:firstLine="0" w:firstLineChars="0"/>
              <w:jc w:val="center"/>
              <w:rPr>
                <w:rFonts w:ascii="仿宋_GB2312" w:eastAsia="仿宋_GB2312"/>
                <w:b/>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1</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五星B</w:t>
            </w:r>
            <w:r>
              <w:rPr>
                <w:rFonts w:ascii="仿宋_GB2312" w:hAnsi="仿宋" w:eastAsia="仿宋_GB2312"/>
                <w:b w:val="0"/>
                <w:sz w:val="21"/>
              </w:rPr>
              <w:t>681线小支支线导线更换工程</w:t>
            </w:r>
          </w:p>
        </w:tc>
        <w:tc>
          <w:tcPr>
            <w:tcW w:w="3695" w:type="dxa"/>
            <w:vAlign w:val="center"/>
          </w:tcPr>
          <w:p>
            <w:pPr>
              <w:pStyle w:val="87"/>
              <w:keepNext w:val="0"/>
              <w:rPr>
                <w:rFonts w:ascii="仿宋_GB2312" w:hAnsi="仿宋" w:eastAsia="仿宋_GB2312"/>
                <w:b w:val="0"/>
                <w:sz w:val="21"/>
              </w:rPr>
            </w:pPr>
            <w:r>
              <w:rPr>
                <w:rFonts w:ascii="仿宋_GB2312" w:hAnsi="仿宋" w:eastAsia="仿宋_GB2312"/>
                <w:b w:val="0"/>
                <w:sz w:val="21"/>
              </w:rPr>
              <w:t>更换</w:t>
            </w:r>
            <w:r>
              <w:rPr>
                <w:rFonts w:hint="eastAsia" w:ascii="仿宋_GB2312" w:hAnsi="仿宋" w:eastAsia="仿宋_GB2312"/>
                <w:b w:val="0"/>
                <w:sz w:val="21"/>
              </w:rPr>
              <w:t>Y</w:t>
            </w:r>
            <w:r>
              <w:rPr>
                <w:rFonts w:ascii="仿宋_GB2312" w:hAnsi="仿宋" w:eastAsia="仿宋_GB2312"/>
                <w:b w:val="0"/>
                <w:sz w:val="21"/>
              </w:rPr>
              <w:t>KLYJ/10-1×240导线</w:t>
            </w:r>
            <w:r>
              <w:rPr>
                <w:rFonts w:hint="eastAsia" w:ascii="仿宋_GB2312" w:hAnsi="仿宋" w:eastAsia="仿宋_GB2312"/>
                <w:b w:val="0"/>
                <w:sz w:val="21"/>
              </w:rPr>
              <w:t>（长度</w:t>
            </w:r>
            <w:r>
              <w:rPr>
                <w:rFonts w:ascii="仿宋_GB2312" w:hAnsi="仿宋" w:eastAsia="仿宋_GB2312"/>
                <w:b w:val="0"/>
                <w:sz w:val="21"/>
              </w:rPr>
              <w:t>2.9km</w:t>
            </w:r>
            <w:r>
              <w:rPr>
                <w:rFonts w:hint="eastAsia" w:ascii="仿宋_GB2312" w:hAnsi="仿宋" w:eastAsia="仿宋_GB2312"/>
                <w:b w:val="0"/>
                <w:sz w:val="21"/>
              </w:rPr>
              <w:t>）</w:t>
            </w:r>
          </w:p>
        </w:tc>
        <w:tc>
          <w:tcPr>
            <w:tcW w:w="986" w:type="dxa"/>
            <w:vAlign w:val="center"/>
          </w:tcPr>
          <w:p>
            <w:pPr>
              <w:pStyle w:val="87"/>
              <w:keepNext w:val="0"/>
              <w:rPr>
                <w:rFonts w:ascii="仿宋_GB2312" w:hAnsi="仿宋" w:eastAsia="仿宋_GB2312"/>
                <w:b w:val="0"/>
                <w:sz w:val="21"/>
              </w:rPr>
            </w:pPr>
            <w:r>
              <w:rPr>
                <w:rFonts w:ascii="仿宋_GB2312" w:hAnsi="仿宋" w:eastAsia="仿宋_GB2312"/>
                <w:b w:val="0"/>
                <w:sz w:val="21"/>
              </w:rPr>
              <w:t>2021</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2</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110千伏围垦变</w:t>
            </w:r>
          </w:p>
          <w:p>
            <w:pPr>
              <w:pStyle w:val="87"/>
              <w:keepNext w:val="0"/>
              <w:rPr>
                <w:rFonts w:ascii="仿宋_GB2312" w:hAnsi="仿宋" w:eastAsia="仿宋_GB2312"/>
                <w:b w:val="0"/>
                <w:sz w:val="21"/>
              </w:rPr>
            </w:pPr>
            <w:r>
              <w:rPr>
                <w:rFonts w:hint="eastAsia" w:ascii="仿宋_GB2312" w:hAnsi="仿宋" w:eastAsia="仿宋_GB2312"/>
                <w:b w:val="0"/>
                <w:sz w:val="21"/>
              </w:rPr>
              <w:t>输变电工程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新增</w:t>
            </w:r>
            <w:r>
              <w:rPr>
                <w:rFonts w:ascii="仿宋_GB2312" w:hAnsi="仿宋" w:eastAsia="仿宋_GB2312"/>
                <w:b w:val="0"/>
                <w:sz w:val="21"/>
              </w:rPr>
              <w:t>2台</w:t>
            </w:r>
            <w:r>
              <w:rPr>
                <w:rFonts w:hint="eastAsia" w:ascii="仿宋_GB2312" w:hAnsi="仿宋" w:eastAsia="仿宋_GB2312"/>
                <w:b w:val="0"/>
                <w:sz w:val="21"/>
              </w:rPr>
              <w:t>主变，容量</w:t>
            </w:r>
            <w:r>
              <w:rPr>
                <w:rFonts w:ascii="仿宋_GB2312" w:hAnsi="仿宋" w:eastAsia="仿宋_GB2312"/>
                <w:b w:val="0"/>
                <w:sz w:val="21"/>
              </w:rPr>
              <w:t>2</w:t>
            </w:r>
            <w:r>
              <w:rPr>
                <w:rFonts w:hint="eastAsia" w:ascii="仿宋_GB2312" w:hAnsi="仿宋" w:eastAsia="仿宋_GB2312"/>
                <w:b w:val="0"/>
                <w:sz w:val="21"/>
              </w:rPr>
              <w:t>×</w:t>
            </w:r>
            <w:r>
              <w:rPr>
                <w:rFonts w:ascii="仿宋_GB2312" w:hAnsi="仿宋" w:eastAsia="仿宋_GB2312"/>
                <w:b w:val="0"/>
                <w:sz w:val="21"/>
              </w:rPr>
              <w:t>50MVA</w:t>
            </w:r>
            <w:r>
              <w:rPr>
                <w:rFonts w:hint="eastAsia" w:ascii="仿宋_GB2312" w:hAnsi="仿宋" w:eastAsia="仿宋_GB2312"/>
                <w:b w:val="0"/>
                <w:sz w:val="21"/>
              </w:rPr>
              <w:t xml:space="preserve"> ，110千伏电源进线2回（JL/G1A-300/25架空线路2×7公里）</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3</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3</w:t>
            </w:r>
            <w:r>
              <w:rPr>
                <w:rFonts w:ascii="仿宋_GB2312" w:hAnsi="仿宋" w:eastAsia="仿宋_GB2312"/>
                <w:b w:val="0"/>
                <w:sz w:val="21"/>
              </w:rPr>
              <w:t>5</w:t>
            </w:r>
            <w:r>
              <w:rPr>
                <w:rFonts w:hint="eastAsia" w:ascii="仿宋_GB2312" w:hAnsi="仿宋" w:eastAsia="仿宋_GB2312"/>
                <w:b w:val="0"/>
                <w:sz w:val="21"/>
              </w:rPr>
              <w:t>千伏</w:t>
            </w:r>
            <w:r>
              <w:rPr>
                <w:rFonts w:ascii="仿宋_GB2312" w:hAnsi="仿宋" w:eastAsia="仿宋_GB2312"/>
                <w:b w:val="0"/>
                <w:sz w:val="21"/>
              </w:rPr>
              <w:t>用户变</w:t>
            </w:r>
          </w:p>
          <w:p>
            <w:pPr>
              <w:pStyle w:val="87"/>
              <w:keepNext w:val="0"/>
              <w:rPr>
                <w:rFonts w:ascii="仿宋_GB2312" w:hAnsi="仿宋" w:eastAsia="仿宋_GB2312"/>
                <w:b w:val="0"/>
                <w:sz w:val="21"/>
              </w:rPr>
            </w:pPr>
            <w:r>
              <w:rPr>
                <w:rFonts w:hint="eastAsia" w:ascii="仿宋_GB2312" w:hAnsi="仿宋" w:eastAsia="仿宋_GB2312"/>
                <w:b w:val="0"/>
                <w:sz w:val="21"/>
              </w:rPr>
              <w:t>接入工程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选址1由两回3</w:t>
            </w:r>
            <w:r>
              <w:rPr>
                <w:rFonts w:ascii="仿宋_GB2312" w:hAnsi="仿宋" w:eastAsia="仿宋_GB2312"/>
                <w:b w:val="0"/>
                <w:sz w:val="21"/>
              </w:rPr>
              <w:t>5</w:t>
            </w:r>
            <w:r>
              <w:rPr>
                <w:rFonts w:hint="eastAsia" w:ascii="仿宋_GB2312" w:hAnsi="仿宋" w:eastAsia="仿宋_GB2312"/>
                <w:b w:val="0"/>
                <w:sz w:val="21"/>
              </w:rPr>
              <w:t>千伏电源进线（电缆线2×1.5公里）及用户变电站；选址</w:t>
            </w:r>
            <w:r>
              <w:rPr>
                <w:rFonts w:ascii="仿宋_GB2312" w:hAnsi="仿宋" w:eastAsia="仿宋_GB2312"/>
                <w:b w:val="0"/>
                <w:sz w:val="21"/>
              </w:rPr>
              <w:t>2由</w:t>
            </w:r>
            <w:r>
              <w:rPr>
                <w:rFonts w:hint="eastAsia" w:ascii="仿宋_GB2312" w:hAnsi="仿宋" w:eastAsia="仿宋_GB2312"/>
                <w:b w:val="0"/>
                <w:sz w:val="21"/>
              </w:rPr>
              <w:t>两回3</w:t>
            </w:r>
            <w:r>
              <w:rPr>
                <w:rFonts w:ascii="仿宋_GB2312" w:hAnsi="仿宋" w:eastAsia="仿宋_GB2312"/>
                <w:b w:val="0"/>
                <w:sz w:val="21"/>
              </w:rPr>
              <w:t>5</w:t>
            </w:r>
            <w:r>
              <w:rPr>
                <w:rFonts w:hint="eastAsia" w:ascii="仿宋_GB2312" w:hAnsi="仿宋" w:eastAsia="仿宋_GB2312"/>
                <w:b w:val="0"/>
                <w:sz w:val="21"/>
              </w:rPr>
              <w:t>千伏电源进线（电缆线2×1.5公里）及用户变电站。</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用户出资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4</w:t>
            </w:r>
          </w:p>
        </w:tc>
        <w:tc>
          <w:tcPr>
            <w:tcW w:w="2115" w:type="dxa"/>
            <w:vAlign w:val="center"/>
          </w:tcPr>
          <w:p>
            <w:pPr>
              <w:pStyle w:val="87"/>
              <w:keepNext w:val="0"/>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1线</w:t>
            </w:r>
          </w:p>
          <w:p>
            <w:pPr>
              <w:pStyle w:val="87"/>
              <w:keepNext w:val="0"/>
              <w:rPr>
                <w:rFonts w:ascii="仿宋_GB2312" w:hAnsi="仿宋" w:eastAsia="仿宋_GB2312"/>
                <w:b w:val="0"/>
                <w:sz w:val="21"/>
              </w:rPr>
            </w:pPr>
            <w:r>
              <w:rPr>
                <w:rFonts w:ascii="仿宋_GB2312" w:hAnsi="仿宋" w:eastAsia="仿宋_GB2312"/>
                <w:b w:val="0"/>
                <w:sz w:val="21"/>
              </w:rPr>
              <w:t>新建</w:t>
            </w:r>
            <w:r>
              <w:rPr>
                <w:rFonts w:hint="eastAsia" w:ascii="仿宋_GB2312" w:hAnsi="仿宋" w:eastAsia="仿宋_GB2312"/>
                <w:b w:val="0"/>
                <w:sz w:val="21"/>
              </w:rPr>
              <w:t>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（2</w:t>
            </w:r>
            <w:r>
              <w:rPr>
                <w:rFonts w:ascii="仿宋_GB2312" w:hAnsi="仿宋" w:eastAsia="仿宋_GB2312"/>
                <w:b w:val="0"/>
                <w:sz w:val="21"/>
              </w:rPr>
              <w:t>.8km</w:t>
            </w:r>
            <w:r>
              <w:rPr>
                <w:rFonts w:hint="eastAsia" w:ascii="仿宋_GB2312" w:hAnsi="仿宋" w:eastAsia="仿宋_GB2312"/>
                <w:b w:val="0"/>
                <w:sz w:val="21"/>
              </w:rPr>
              <w:t>）。新上2台分段开关，1台联络开关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5</w:t>
            </w:r>
          </w:p>
        </w:tc>
        <w:tc>
          <w:tcPr>
            <w:tcW w:w="2115" w:type="dxa"/>
            <w:vAlign w:val="center"/>
          </w:tcPr>
          <w:p>
            <w:pPr>
              <w:pStyle w:val="87"/>
              <w:keepNext w:val="0"/>
              <w:rPr>
                <w:rFonts w:ascii="仿宋_GB2312" w:hAnsi="仿宋" w:eastAsia="仿宋_GB2312"/>
                <w:b w:val="0"/>
                <w:sz w:val="21"/>
              </w:rPr>
            </w:pP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2</w:t>
            </w:r>
            <w:r>
              <w:rPr>
                <w:rFonts w:hint="eastAsia" w:ascii="仿宋_GB2312" w:hAnsi="仿宋" w:eastAsia="仿宋_GB2312"/>
                <w:b w:val="0"/>
                <w:sz w:val="21"/>
              </w:rPr>
              <w:t>、0</w:t>
            </w:r>
            <w:r>
              <w:rPr>
                <w:rFonts w:ascii="仿宋_GB2312" w:hAnsi="仿宋" w:eastAsia="仿宋_GB2312"/>
                <w:b w:val="0"/>
                <w:sz w:val="21"/>
              </w:rPr>
              <w:t>3线</w:t>
            </w:r>
            <w:r>
              <w:rPr>
                <w:rFonts w:hint="eastAsia" w:ascii="仿宋_GB2312" w:hAnsi="仿宋" w:eastAsia="仿宋_GB2312"/>
                <w:b w:val="0"/>
                <w:sz w:val="21"/>
              </w:rPr>
              <w:t>、</w:t>
            </w:r>
            <w:r>
              <w:rPr>
                <w:rFonts w:ascii="仿宋_GB2312" w:hAnsi="仿宋" w:eastAsia="仿宋_GB2312"/>
                <w:b w:val="0"/>
                <w:sz w:val="21"/>
              </w:rPr>
              <w:t>新建</w:t>
            </w:r>
            <w:r>
              <w:rPr>
                <w:rFonts w:hint="eastAsia" w:ascii="仿宋_GB2312" w:hAnsi="仿宋" w:eastAsia="仿宋_GB2312"/>
                <w:b w:val="0"/>
                <w:sz w:val="21"/>
              </w:rPr>
              <w:t>工程</w:t>
            </w:r>
          </w:p>
        </w:tc>
        <w:tc>
          <w:tcPr>
            <w:tcW w:w="3695" w:type="dxa"/>
          </w:tcPr>
          <w:p>
            <w:pPr>
              <w:pStyle w:val="87"/>
              <w:keepNext w:val="0"/>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4.35km</w:t>
            </w:r>
            <w:r>
              <w:rPr>
                <w:rFonts w:hint="eastAsia" w:ascii="仿宋_GB2312" w:hAnsi="仿宋" w:eastAsia="仿宋_GB2312"/>
                <w:b w:val="0"/>
                <w:sz w:val="21"/>
              </w:rPr>
              <w:t>），新上2台分段开关，1台联络开关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p>
        </w:tc>
        <w:tc>
          <w:tcPr>
            <w:tcW w:w="1088"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1</w:t>
            </w:r>
            <w:r>
              <w:rPr>
                <w:rFonts w:ascii="仿宋_GB2312" w:hAnsi="仿宋" w:eastAsia="仿宋_GB2312"/>
                <w:b w:val="0"/>
                <w:sz w:val="21"/>
              </w:rPr>
              <w:t>67.25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6</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新建</w:t>
            </w:r>
            <w:r>
              <w:rPr>
                <w:rFonts w:ascii="仿宋_GB2312" w:hAnsi="仿宋" w:eastAsia="仿宋_GB2312"/>
                <w:b w:val="0"/>
                <w:sz w:val="21"/>
              </w:rPr>
              <w:t>10</w:t>
            </w:r>
            <w:r>
              <w:rPr>
                <w:rFonts w:hint="eastAsia" w:ascii="仿宋_GB2312" w:hAnsi="仿宋" w:eastAsia="仿宋_GB2312"/>
                <w:b w:val="0"/>
                <w:sz w:val="21"/>
              </w:rPr>
              <w:t>千伏围垦0</w:t>
            </w:r>
            <w:r>
              <w:rPr>
                <w:rFonts w:ascii="仿宋_GB2312" w:hAnsi="仿宋" w:eastAsia="仿宋_GB2312"/>
                <w:b w:val="0"/>
                <w:sz w:val="21"/>
              </w:rPr>
              <w:t>6线</w:t>
            </w:r>
            <w:r>
              <w:rPr>
                <w:rFonts w:hint="eastAsia" w:ascii="仿宋_GB2312" w:hAnsi="仿宋" w:eastAsia="仿宋_GB2312"/>
                <w:b w:val="0"/>
                <w:sz w:val="21"/>
              </w:rPr>
              <w:t>与</w:t>
            </w:r>
            <w:r>
              <w:rPr>
                <w:rFonts w:ascii="仿宋_GB2312" w:hAnsi="仿宋" w:eastAsia="仿宋_GB2312"/>
                <w:b w:val="0"/>
                <w:sz w:val="21"/>
              </w:rPr>
              <w:t>围垦</w:t>
            </w:r>
            <w:r>
              <w:rPr>
                <w:rFonts w:hint="eastAsia" w:ascii="仿宋_GB2312" w:hAnsi="仿宋" w:eastAsia="仿宋_GB2312"/>
                <w:b w:val="0"/>
                <w:sz w:val="21"/>
              </w:rPr>
              <w:t>0</w:t>
            </w:r>
            <w:r>
              <w:rPr>
                <w:rFonts w:ascii="仿宋_GB2312" w:hAnsi="仿宋" w:eastAsia="仿宋_GB2312"/>
                <w:b w:val="0"/>
                <w:sz w:val="21"/>
              </w:rPr>
              <w:t>1线联络</w:t>
            </w:r>
            <w:r>
              <w:rPr>
                <w:rFonts w:hint="eastAsia" w:ascii="仿宋_GB2312" w:hAnsi="仿宋" w:eastAsia="仿宋_GB2312"/>
                <w:b w:val="0"/>
                <w:sz w:val="21"/>
              </w:rPr>
              <w:t>工程</w:t>
            </w:r>
          </w:p>
        </w:tc>
        <w:tc>
          <w:tcPr>
            <w:tcW w:w="3695" w:type="dxa"/>
          </w:tcPr>
          <w:p>
            <w:pPr>
              <w:pStyle w:val="87"/>
              <w:keepNext w:val="0"/>
              <w:rPr>
                <w:rFonts w:ascii="仿宋_GB2312" w:hAnsi="仿宋" w:eastAsia="仿宋_GB2312"/>
                <w:b w:val="0"/>
                <w:sz w:val="21"/>
              </w:rPr>
            </w:pPr>
            <w:r>
              <w:rPr>
                <w:rFonts w:hint="eastAsia" w:ascii="仿宋_GB2312" w:hAnsi="仿宋" w:eastAsia="仿宋_GB2312"/>
                <w:b w:val="0"/>
                <w:sz w:val="21"/>
              </w:rPr>
              <w:t>新增（Y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5.65km</w:t>
            </w:r>
            <w:r>
              <w:rPr>
                <w:rFonts w:hint="eastAsia" w:ascii="仿宋_GB2312" w:hAnsi="仿宋" w:eastAsia="仿宋_GB2312"/>
                <w:b w:val="0"/>
                <w:sz w:val="21"/>
              </w:rPr>
              <w:t>），新上</w:t>
            </w:r>
            <w:r>
              <w:rPr>
                <w:rFonts w:ascii="仿宋_GB2312" w:hAnsi="仿宋" w:eastAsia="仿宋_GB2312"/>
                <w:b w:val="0"/>
                <w:sz w:val="21"/>
              </w:rPr>
              <w:t>1</w:t>
            </w:r>
            <w:r>
              <w:rPr>
                <w:rFonts w:hint="eastAsia" w:ascii="仿宋_GB2312" w:hAnsi="仿宋" w:eastAsia="仿宋_GB2312"/>
                <w:b w:val="0"/>
                <w:sz w:val="21"/>
              </w:rPr>
              <w:t>台分段开关，1台联络开关</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207.75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7</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试点区域配电自动化</w:t>
            </w:r>
          </w:p>
          <w:p>
            <w:pPr>
              <w:pStyle w:val="87"/>
              <w:keepNext w:val="0"/>
              <w:rPr>
                <w:rFonts w:ascii="仿宋_GB2312" w:hAnsi="仿宋" w:eastAsia="仿宋_GB2312"/>
                <w:b w:val="0"/>
                <w:sz w:val="21"/>
              </w:rPr>
            </w:pPr>
            <w:r>
              <w:rPr>
                <w:rFonts w:hint="eastAsia" w:ascii="仿宋_GB2312" w:hAnsi="仿宋" w:eastAsia="仿宋_GB2312"/>
                <w:b w:val="0"/>
                <w:sz w:val="21"/>
              </w:rPr>
              <w:t>建设工程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新增8台智能FTU终端</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r>
              <w:rPr>
                <w:rFonts w:hint="eastAsia" w:ascii="仿宋_GB2312" w:hAnsi="仿宋" w:eastAsia="仿宋_GB2312"/>
                <w:b w:val="0"/>
                <w:sz w:val="21"/>
              </w:rPr>
              <w:t>-</w:t>
            </w:r>
            <w:r>
              <w:rPr>
                <w:rFonts w:ascii="仿宋_GB2312" w:hAnsi="仿宋" w:eastAsia="仿宋_GB2312"/>
                <w:b w:val="0"/>
                <w:sz w:val="21"/>
              </w:rPr>
              <w:t>2025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432" w:type="dxa"/>
            <w:vAlign w:val="center"/>
          </w:tcPr>
          <w:p>
            <w:pPr>
              <w:pStyle w:val="87"/>
              <w:keepNext w:val="0"/>
              <w:rPr>
                <w:rFonts w:ascii="仿宋_GB2312" w:hAnsi="仿宋" w:eastAsia="仿宋_GB2312"/>
                <w:b w:val="0"/>
                <w:sz w:val="21"/>
              </w:rPr>
            </w:pPr>
            <w:r>
              <w:rPr>
                <w:rFonts w:ascii="仿宋_GB2312" w:hAnsi="仿宋" w:eastAsia="仿宋_GB2312"/>
                <w:b w:val="0"/>
                <w:sz w:val="21"/>
              </w:rPr>
              <w:t>8</w:t>
            </w:r>
          </w:p>
        </w:tc>
        <w:tc>
          <w:tcPr>
            <w:tcW w:w="211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试点区域通信部分</w:t>
            </w:r>
          </w:p>
          <w:p>
            <w:pPr>
              <w:pStyle w:val="87"/>
              <w:keepNext w:val="0"/>
              <w:rPr>
                <w:rFonts w:ascii="仿宋_GB2312" w:hAnsi="仿宋" w:eastAsia="仿宋_GB2312"/>
                <w:b w:val="0"/>
                <w:sz w:val="21"/>
              </w:rPr>
            </w:pPr>
            <w:r>
              <w:rPr>
                <w:rFonts w:hint="eastAsia" w:ascii="仿宋_GB2312" w:hAnsi="仿宋" w:eastAsia="仿宋_GB2312"/>
                <w:b w:val="0"/>
                <w:sz w:val="21"/>
              </w:rPr>
              <w:t>建设工程</w:t>
            </w:r>
          </w:p>
        </w:tc>
        <w:tc>
          <w:tcPr>
            <w:tcW w:w="369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通信光缆采用24芯光缆，新建光缆长度</w:t>
            </w:r>
            <w:r>
              <w:rPr>
                <w:rFonts w:ascii="仿宋_GB2312" w:hAnsi="仿宋" w:eastAsia="仿宋_GB2312"/>
                <w:b w:val="0"/>
                <w:sz w:val="21"/>
              </w:rPr>
              <w:t>15.47</w:t>
            </w:r>
            <w:r>
              <w:rPr>
                <w:rFonts w:hint="eastAsia" w:ascii="仿宋_GB2312" w:hAnsi="仿宋" w:eastAsia="仿宋_GB2312"/>
                <w:b w:val="0"/>
                <w:sz w:val="21"/>
              </w:rPr>
              <w:t>公里</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2</w:t>
            </w:r>
            <w:r>
              <w:rPr>
                <w:rFonts w:ascii="仿宋_GB2312" w:hAnsi="仿宋" w:eastAsia="仿宋_GB2312"/>
                <w:b w:val="0"/>
                <w:sz w:val="21"/>
              </w:rPr>
              <w:t>023</w:t>
            </w:r>
            <w:r>
              <w:rPr>
                <w:rFonts w:hint="eastAsia" w:ascii="仿宋_GB2312" w:hAnsi="仿宋" w:eastAsia="仿宋_GB2312"/>
                <w:b w:val="0"/>
                <w:sz w:val="21"/>
              </w:rPr>
              <w:t>-</w:t>
            </w:r>
            <w:r>
              <w:rPr>
                <w:rFonts w:ascii="仿宋_GB2312" w:hAnsi="仿宋" w:eastAsia="仿宋_GB2312"/>
                <w:b w:val="0"/>
                <w:sz w:val="21"/>
              </w:rPr>
              <w:t>2025</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95.97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2547" w:type="dxa"/>
            <w:gridSpan w:val="2"/>
            <w:vAlign w:val="center"/>
          </w:tcPr>
          <w:p>
            <w:pPr>
              <w:pStyle w:val="87"/>
              <w:keepNext w:val="0"/>
              <w:rPr>
                <w:rFonts w:ascii="仿宋_GB2312" w:hAnsi="仿宋" w:eastAsia="仿宋_GB2312"/>
                <w:b w:val="0"/>
                <w:sz w:val="21"/>
              </w:rPr>
            </w:pPr>
            <w:r>
              <w:rPr>
                <w:rFonts w:hint="eastAsia" w:ascii="仿宋_GB2312" w:hAnsi="仿宋" w:eastAsia="仿宋_GB2312"/>
                <w:b w:val="0"/>
                <w:sz w:val="21"/>
              </w:rPr>
              <w:t>合计</w:t>
            </w:r>
          </w:p>
        </w:tc>
        <w:tc>
          <w:tcPr>
            <w:tcW w:w="3695" w:type="dxa"/>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986"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w:t>
            </w:r>
          </w:p>
        </w:tc>
        <w:tc>
          <w:tcPr>
            <w:tcW w:w="1088" w:type="dxa"/>
            <w:vAlign w:val="center"/>
          </w:tcPr>
          <w:p>
            <w:pPr>
              <w:pStyle w:val="87"/>
              <w:keepNext w:val="0"/>
              <w:rPr>
                <w:rFonts w:ascii="仿宋_GB2312" w:hAnsi="仿宋" w:eastAsia="仿宋_GB2312"/>
                <w:b w:val="0"/>
                <w:sz w:val="21"/>
              </w:rPr>
            </w:pPr>
            <w:r>
              <w:rPr>
                <w:rFonts w:ascii="仿宋_GB2312" w:hAnsi="仿宋" w:eastAsia="仿宋_GB2312"/>
                <w:b w:val="0"/>
                <w:sz w:val="21"/>
              </w:rPr>
              <w:t>6276.27</w:t>
            </w:r>
          </w:p>
        </w:tc>
      </w:tr>
    </w:tbl>
    <w:p>
      <w:pPr>
        <w:ind w:firstLine="640"/>
        <w:rPr>
          <w:rFonts w:ascii="黑体" w:hAnsi="宋体" w:eastAsia="黑体"/>
          <w:sz w:val="32"/>
        </w:rPr>
      </w:pPr>
    </w:p>
    <w:p>
      <w:pPr>
        <w:ind w:firstLine="640"/>
        <w:rPr>
          <w:rFonts w:ascii="黑体" w:hAnsi="宋体" w:eastAsia="黑体"/>
          <w:sz w:val="32"/>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Pr>
        <w:ind w:firstLine="0" w:firstLineChars="0"/>
        <w:sectPr>
          <w:pgSz w:w="11907" w:h="16839"/>
          <w:pgMar w:top="1440" w:right="1797" w:bottom="1440" w:left="1797" w:header="851" w:footer="992" w:gutter="0"/>
          <w:cols w:space="1200" w:num="1"/>
          <w:docGrid w:type="linesAndChars" w:linePitch="326" w:charSpace="0"/>
        </w:sectPr>
      </w:pPr>
    </w:p>
    <w:p>
      <w:pPr>
        <w:pStyle w:val="380"/>
        <w:spacing w:before="0" w:beforeLines="0" w:afterLines="0"/>
        <w:rPr>
          <w:rFonts w:ascii="仿宋_GB2312" w:eastAsia="仿宋_GB2312"/>
          <w:b w:val="0"/>
          <w:sz w:val="24"/>
          <w:szCs w:val="24"/>
        </w:rPr>
      </w:pPr>
      <w:r>
        <w:rPr>
          <w:rFonts w:hint="eastAsia" w:ascii="仿宋_GB2312" w:eastAsia="仿宋_GB2312"/>
          <w:b w:val="0"/>
          <w:sz w:val="24"/>
          <w:szCs w:val="24"/>
        </w:rPr>
        <w:t>附表</w:t>
      </w:r>
      <w:r>
        <w:rPr>
          <w:rFonts w:ascii="仿宋_GB2312" w:eastAsia="仿宋_GB2312"/>
          <w:b w:val="0"/>
          <w:sz w:val="24"/>
          <w:szCs w:val="24"/>
        </w:rPr>
        <w:t>2</w:t>
      </w:r>
      <w:r>
        <w:rPr>
          <w:rFonts w:hint="eastAsia" w:ascii="仿宋_GB2312" w:eastAsia="仿宋_GB2312"/>
          <w:b w:val="0"/>
          <w:sz w:val="24"/>
          <w:szCs w:val="24"/>
        </w:rPr>
        <w:t>试点区域项目建设明细表</w:t>
      </w:r>
    </w:p>
    <w:tbl>
      <w:tblPr>
        <w:tblStyle w:val="42"/>
        <w:tblW w:w="13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3844"/>
        <w:gridCol w:w="993"/>
        <w:gridCol w:w="3685"/>
        <w:gridCol w:w="1135"/>
        <w:gridCol w:w="1133"/>
        <w:gridCol w:w="1135"/>
        <w:gridCol w:w="932"/>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序号</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项目名称</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电压</w:t>
            </w:r>
          </w:p>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等级</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规模</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计量</w:t>
            </w:r>
          </w:p>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单位</w:t>
            </w: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单位</w:t>
            </w:r>
          </w:p>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工程量</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单位工程</w:t>
            </w:r>
          </w:p>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综合单价</w:t>
            </w: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合价</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一</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六横小郭巨1</w:t>
            </w:r>
            <w:r>
              <w:rPr>
                <w:rFonts w:ascii="仿宋_GB2312" w:eastAsia="仿宋_GB2312"/>
                <w:b/>
                <w:color w:val="000000"/>
                <w:kern w:val="0"/>
                <w:sz w:val="21"/>
                <w:szCs w:val="21"/>
              </w:rPr>
              <w:t>0千伏</w:t>
            </w:r>
          </w:p>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围垦</w:t>
            </w:r>
            <w:r>
              <w:rPr>
                <w:rFonts w:hint="eastAsia" w:ascii="仿宋_GB2312" w:eastAsia="仿宋_GB2312"/>
                <w:b/>
                <w:color w:val="000000"/>
                <w:kern w:val="0"/>
                <w:sz w:val="21"/>
                <w:szCs w:val="21"/>
              </w:rPr>
              <w:t>0</w:t>
            </w:r>
            <w:r>
              <w:rPr>
                <w:rFonts w:ascii="仿宋_GB2312" w:eastAsia="仿宋_GB2312"/>
                <w:b/>
                <w:color w:val="000000"/>
                <w:kern w:val="0"/>
                <w:sz w:val="21"/>
                <w:szCs w:val="21"/>
              </w:rPr>
              <w:t>1线新建</w:t>
            </w:r>
            <w:r>
              <w:rPr>
                <w:rFonts w:hint="eastAsia" w:ascii="仿宋_GB2312" w:eastAsia="仿宋_GB2312"/>
                <w:b/>
                <w:color w:val="000000"/>
                <w:kern w:val="0"/>
                <w:sz w:val="21"/>
                <w:szCs w:val="21"/>
              </w:rPr>
              <w:t>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10</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1</w:t>
            </w:r>
            <w:r>
              <w:rPr>
                <w:rFonts w:ascii="仿宋_GB2312" w:eastAsia="仿宋_GB2312"/>
                <w:b/>
                <w:color w:val="000000"/>
                <w:kern w:val="0"/>
                <w:sz w:val="21"/>
                <w:szCs w:val="21"/>
              </w:rPr>
              <w:t>13</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1</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架空线路工程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10</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hAnsi="仿宋" w:eastAsia="仿宋_GB2312"/>
                <w:sz w:val="21"/>
              </w:rPr>
              <w:t>新架设（Y</w:t>
            </w:r>
            <w:r>
              <w:rPr>
                <w:rFonts w:ascii="仿宋_GB2312" w:hAnsi="仿宋" w:eastAsia="仿宋_GB2312"/>
                <w:sz w:val="21"/>
              </w:rPr>
              <w:t>KLYJ/10-1×240</w:t>
            </w:r>
            <w:r>
              <w:rPr>
                <w:rFonts w:hint="eastAsia" w:ascii="仿宋_GB2312" w:hAnsi="仿宋" w:eastAsia="仿宋_GB2312"/>
                <w:sz w:val="21"/>
              </w:rPr>
              <w:t>）</w:t>
            </w:r>
            <w:r>
              <w:rPr>
                <w:rFonts w:ascii="仿宋_GB2312" w:hAnsi="仿宋" w:eastAsia="仿宋_GB2312"/>
                <w:sz w:val="21"/>
              </w:rPr>
              <w:t>导线</w:t>
            </w:r>
            <w:r>
              <w:rPr>
                <w:rFonts w:hint="eastAsia" w:ascii="仿宋_GB2312" w:hAnsi="仿宋" w:eastAsia="仿宋_GB2312"/>
                <w:sz w:val="21"/>
              </w:rPr>
              <w:t>（2</w:t>
            </w:r>
            <w:r>
              <w:rPr>
                <w:rFonts w:ascii="仿宋_GB2312" w:hAnsi="仿宋" w:eastAsia="仿宋_GB2312"/>
                <w:sz w:val="21"/>
              </w:rPr>
              <w:t>.8</w:t>
            </w:r>
            <w:r>
              <w:rPr>
                <w:rFonts w:hint="eastAsia" w:ascii="仿宋_GB2312" w:hAnsi="仿宋" w:eastAsia="仿宋_GB2312"/>
                <w:sz w:val="21"/>
              </w:rPr>
              <w:t>千米），</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千米</w:t>
            </w: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color w:val="000000"/>
                <w:kern w:val="0"/>
                <w:sz w:val="21"/>
              </w:rPr>
              <w:t>2.8</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3</w:t>
            </w:r>
            <w:r>
              <w:rPr>
                <w:rFonts w:ascii="仿宋_GB2312" w:eastAsia="仿宋_GB2312"/>
                <w:color w:val="000000"/>
                <w:kern w:val="0"/>
                <w:sz w:val="21"/>
              </w:rPr>
              <w:t>5</w:t>
            </w: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color w:val="000000"/>
                <w:kern w:val="0"/>
                <w:sz w:val="21"/>
              </w:rPr>
              <w:t>98</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2</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新上开关</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1</w:t>
            </w:r>
            <w:r>
              <w:rPr>
                <w:rFonts w:ascii="仿宋_GB2312" w:eastAsia="仿宋_GB2312"/>
                <w:color w:val="000000"/>
                <w:kern w:val="0"/>
                <w:sz w:val="21"/>
              </w:rPr>
              <w:t>0</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hAnsi="仿宋" w:eastAsia="仿宋_GB2312"/>
                <w:sz w:val="21"/>
              </w:rPr>
              <w:t>新上2台分段开关，1台联络开关</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台</w:t>
            </w: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3</w:t>
            </w: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color w:val="000000"/>
                <w:kern w:val="0"/>
                <w:sz w:val="21"/>
              </w:rPr>
              <w:t>5</w:t>
            </w: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color w:val="000000"/>
                <w:kern w:val="0"/>
                <w:sz w:val="21"/>
              </w:rPr>
              <w:t>1</w:t>
            </w:r>
            <w:r>
              <w:rPr>
                <w:rFonts w:ascii="仿宋_GB2312" w:eastAsia="仿宋_GB2312"/>
                <w:color w:val="000000"/>
                <w:kern w:val="0"/>
                <w:sz w:val="21"/>
              </w:rPr>
              <w:t>5</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二</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六横小郭巨1</w:t>
            </w:r>
            <w:r>
              <w:rPr>
                <w:rFonts w:ascii="仿宋_GB2312" w:eastAsia="仿宋_GB2312"/>
                <w:b/>
                <w:color w:val="000000"/>
                <w:kern w:val="0"/>
                <w:sz w:val="21"/>
                <w:szCs w:val="21"/>
              </w:rPr>
              <w:t>10千伏围垦变输变电工程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5550</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变电站工程</w:t>
            </w:r>
          </w:p>
        </w:tc>
        <w:tc>
          <w:tcPr>
            <w:tcW w:w="99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110</w:t>
            </w:r>
          </w:p>
        </w:tc>
        <w:tc>
          <w:tcPr>
            <w:tcW w:w="368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新上</w:t>
            </w:r>
            <w:r>
              <w:rPr>
                <w:rFonts w:ascii="仿宋_GB2312" w:eastAsia="仿宋_GB2312"/>
                <w:b w:val="0"/>
                <w:color w:val="000000"/>
                <w:kern w:val="0"/>
                <w:sz w:val="21"/>
              </w:rPr>
              <w:t>50MVA主变</w:t>
            </w:r>
            <w:r>
              <w:rPr>
                <w:rFonts w:hint="eastAsia" w:ascii="仿宋_GB2312" w:eastAsia="仿宋_GB2312"/>
                <w:b w:val="0"/>
                <w:color w:val="000000"/>
                <w:kern w:val="0"/>
                <w:sz w:val="21"/>
              </w:rPr>
              <w:t>2台</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兆伏安</w:t>
            </w:r>
          </w:p>
        </w:tc>
        <w:tc>
          <w:tcPr>
            <w:tcW w:w="113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126</w:t>
            </w:r>
          </w:p>
        </w:tc>
        <w:tc>
          <w:tcPr>
            <w:tcW w:w="1135"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27.5</w:t>
            </w:r>
          </w:p>
        </w:tc>
        <w:tc>
          <w:tcPr>
            <w:tcW w:w="932"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2750</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架空线路工程</w:t>
            </w:r>
          </w:p>
        </w:tc>
        <w:tc>
          <w:tcPr>
            <w:tcW w:w="99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110</w:t>
            </w:r>
          </w:p>
        </w:tc>
        <w:tc>
          <w:tcPr>
            <w:tcW w:w="368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新建</w:t>
            </w:r>
            <w:r>
              <w:rPr>
                <w:rFonts w:hint="eastAsia" w:ascii="仿宋_GB2312" w:hAnsi="仿宋" w:eastAsia="仿宋_GB2312"/>
                <w:b w:val="0"/>
                <w:sz w:val="21"/>
              </w:rPr>
              <w:t>JL/G1A-300/25架空线路2×7千米</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千米</w:t>
            </w:r>
          </w:p>
        </w:tc>
        <w:tc>
          <w:tcPr>
            <w:tcW w:w="113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14</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r>
              <w:rPr>
                <w:rFonts w:ascii="仿宋_GB2312" w:eastAsia="仿宋_GB2312"/>
                <w:b w:val="0"/>
                <w:color w:val="000000"/>
                <w:kern w:val="0"/>
                <w:sz w:val="21"/>
              </w:rPr>
              <w:t>00</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r>
              <w:rPr>
                <w:rFonts w:ascii="仿宋_GB2312" w:eastAsia="仿宋_GB2312"/>
                <w:b w:val="0"/>
                <w:color w:val="000000"/>
                <w:kern w:val="0"/>
                <w:sz w:val="21"/>
              </w:rPr>
              <w:t>800</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三</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六横小郭巨五星B</w:t>
            </w:r>
            <w:r>
              <w:rPr>
                <w:rFonts w:ascii="仿宋_GB2312" w:eastAsia="仿宋_GB2312"/>
                <w:b/>
                <w:color w:val="000000"/>
                <w:kern w:val="0"/>
                <w:sz w:val="21"/>
                <w:szCs w:val="21"/>
              </w:rPr>
              <w:t>681线小支支线导线更换</w:t>
            </w:r>
            <w:r>
              <w:rPr>
                <w:rFonts w:hint="eastAsia" w:ascii="仿宋_GB2312" w:eastAsia="仿宋_GB2312"/>
                <w:b/>
                <w:color w:val="000000"/>
                <w:kern w:val="0"/>
                <w:sz w:val="21"/>
                <w:szCs w:val="21"/>
              </w:rPr>
              <w:t>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1</w:t>
            </w:r>
            <w:r>
              <w:rPr>
                <w:rFonts w:ascii="仿宋_GB2312" w:eastAsia="仿宋_GB2312"/>
                <w:b/>
                <w:color w:val="000000"/>
                <w:kern w:val="0"/>
                <w:sz w:val="21"/>
                <w:szCs w:val="21"/>
              </w:rPr>
              <w:t>01.5</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架空线路工程</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10</w:t>
            </w:r>
          </w:p>
        </w:tc>
        <w:tc>
          <w:tcPr>
            <w:tcW w:w="3685" w:type="dxa"/>
            <w:vAlign w:val="center"/>
          </w:tcPr>
          <w:p>
            <w:pPr>
              <w:pStyle w:val="87"/>
              <w:keepNext w:val="0"/>
              <w:rPr>
                <w:rFonts w:ascii="仿宋_GB2312" w:hAnsi="仿宋" w:eastAsia="仿宋_GB2312"/>
                <w:b w:val="0"/>
                <w:sz w:val="21"/>
              </w:rPr>
            </w:pPr>
            <w:r>
              <w:rPr>
                <w:rFonts w:ascii="仿宋_GB2312" w:hAnsi="仿宋" w:eastAsia="仿宋_GB2312"/>
                <w:b w:val="0"/>
                <w:sz w:val="21"/>
              </w:rPr>
              <w:t>更换成</w:t>
            </w:r>
            <w:r>
              <w:rPr>
                <w:rFonts w:hint="eastAsia" w:ascii="仿宋_GB2312" w:hAnsi="仿宋" w:eastAsia="仿宋_GB2312"/>
                <w:b w:val="0"/>
                <w:sz w:val="21"/>
              </w:rPr>
              <w:t>Y</w:t>
            </w:r>
            <w:r>
              <w:rPr>
                <w:rFonts w:ascii="仿宋_GB2312" w:hAnsi="仿宋" w:eastAsia="仿宋_GB2312"/>
                <w:b w:val="0"/>
                <w:sz w:val="21"/>
              </w:rPr>
              <w:t>KLYJ/10-1×240导线</w:t>
            </w:r>
            <w:r>
              <w:rPr>
                <w:rFonts w:hint="eastAsia" w:ascii="仿宋_GB2312" w:hAnsi="仿宋" w:eastAsia="仿宋_GB2312"/>
                <w:b w:val="0"/>
                <w:sz w:val="21"/>
              </w:rPr>
              <w:t>（长度</w:t>
            </w:r>
            <w:r>
              <w:rPr>
                <w:rFonts w:ascii="仿宋_GB2312" w:hAnsi="仿宋" w:eastAsia="仿宋_GB2312"/>
                <w:b w:val="0"/>
                <w:sz w:val="21"/>
              </w:rPr>
              <w:t>2.9</w:t>
            </w:r>
            <w:r>
              <w:rPr>
                <w:rFonts w:hint="eastAsia" w:ascii="仿宋_GB2312" w:hAnsi="仿宋" w:eastAsia="仿宋_GB2312"/>
                <w:b w:val="0"/>
                <w:sz w:val="21"/>
              </w:rPr>
              <w:t>千米）</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千米</w:t>
            </w:r>
          </w:p>
        </w:tc>
        <w:tc>
          <w:tcPr>
            <w:tcW w:w="113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2.9</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3</w:t>
            </w:r>
            <w:r>
              <w:rPr>
                <w:rFonts w:ascii="仿宋_GB2312" w:eastAsia="仿宋_GB2312"/>
                <w:b w:val="0"/>
                <w:color w:val="000000"/>
                <w:kern w:val="0"/>
                <w:sz w:val="21"/>
              </w:rPr>
              <w:t>5</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01.5</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四</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六横小郭巨1</w:t>
            </w:r>
            <w:r>
              <w:rPr>
                <w:rFonts w:ascii="仿宋_GB2312" w:eastAsia="仿宋_GB2312"/>
                <w:b/>
                <w:color w:val="000000"/>
                <w:kern w:val="0"/>
                <w:sz w:val="21"/>
                <w:szCs w:val="21"/>
              </w:rPr>
              <w:t>0千伏</w:t>
            </w:r>
          </w:p>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围垦</w:t>
            </w:r>
            <w:r>
              <w:rPr>
                <w:rFonts w:hint="eastAsia" w:ascii="仿宋_GB2312" w:eastAsia="仿宋_GB2312"/>
                <w:b/>
                <w:color w:val="000000"/>
                <w:kern w:val="0"/>
                <w:sz w:val="21"/>
                <w:szCs w:val="21"/>
              </w:rPr>
              <w:t>0</w:t>
            </w:r>
            <w:r>
              <w:rPr>
                <w:rFonts w:ascii="仿宋_GB2312" w:eastAsia="仿宋_GB2312"/>
                <w:b/>
                <w:color w:val="000000"/>
                <w:kern w:val="0"/>
                <w:sz w:val="21"/>
                <w:szCs w:val="21"/>
              </w:rPr>
              <w:t>2</w:t>
            </w:r>
            <w:r>
              <w:rPr>
                <w:rFonts w:hint="eastAsia" w:ascii="仿宋_GB2312" w:eastAsia="仿宋_GB2312"/>
                <w:b/>
                <w:color w:val="000000"/>
                <w:kern w:val="0"/>
                <w:sz w:val="21"/>
                <w:szCs w:val="21"/>
              </w:rPr>
              <w:t>、0</w:t>
            </w:r>
            <w:r>
              <w:rPr>
                <w:rFonts w:ascii="仿宋_GB2312" w:eastAsia="仿宋_GB2312"/>
                <w:b/>
                <w:color w:val="000000"/>
                <w:kern w:val="0"/>
                <w:sz w:val="21"/>
                <w:szCs w:val="21"/>
              </w:rPr>
              <w:t>3线新建</w:t>
            </w:r>
            <w:r>
              <w:rPr>
                <w:rFonts w:hint="eastAsia" w:ascii="仿宋_GB2312" w:eastAsia="仿宋_GB2312"/>
                <w:b/>
                <w:color w:val="000000"/>
                <w:kern w:val="0"/>
                <w:sz w:val="21"/>
                <w:szCs w:val="21"/>
              </w:rPr>
              <w:t>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10</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1</w:t>
            </w:r>
            <w:r>
              <w:rPr>
                <w:rFonts w:ascii="仿宋_GB2312" w:eastAsia="仿宋_GB2312"/>
                <w:b/>
                <w:color w:val="000000"/>
                <w:kern w:val="0"/>
                <w:sz w:val="21"/>
                <w:szCs w:val="21"/>
              </w:rPr>
              <w:t>67.25</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架空线路工程</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10</w:t>
            </w:r>
          </w:p>
        </w:tc>
        <w:tc>
          <w:tcPr>
            <w:tcW w:w="368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新架设（Y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4.35</w:t>
            </w:r>
            <w:r>
              <w:rPr>
                <w:rFonts w:hint="eastAsia" w:ascii="仿宋_GB2312" w:hAnsi="仿宋" w:eastAsia="仿宋_GB2312"/>
                <w:b w:val="0"/>
                <w:sz w:val="21"/>
              </w:rPr>
              <w:t>千米），</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千米</w:t>
            </w:r>
          </w:p>
        </w:tc>
        <w:tc>
          <w:tcPr>
            <w:tcW w:w="113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4.35</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3</w:t>
            </w:r>
            <w:r>
              <w:rPr>
                <w:rFonts w:ascii="仿宋_GB2312" w:eastAsia="仿宋_GB2312"/>
                <w:b w:val="0"/>
                <w:color w:val="000000"/>
                <w:kern w:val="0"/>
                <w:sz w:val="21"/>
              </w:rPr>
              <w:t>5</w:t>
            </w:r>
          </w:p>
        </w:tc>
        <w:tc>
          <w:tcPr>
            <w:tcW w:w="932"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152.25</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新上开关</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w:t>
            </w: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台</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5</w:t>
            </w:r>
          </w:p>
        </w:tc>
        <w:tc>
          <w:tcPr>
            <w:tcW w:w="1135"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3</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5</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五</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六横小郭巨1</w:t>
            </w:r>
            <w:r>
              <w:rPr>
                <w:rFonts w:ascii="仿宋_GB2312" w:eastAsia="仿宋_GB2312"/>
                <w:b/>
                <w:color w:val="000000"/>
                <w:kern w:val="0"/>
                <w:sz w:val="21"/>
                <w:szCs w:val="21"/>
              </w:rPr>
              <w:t>0千伏</w:t>
            </w:r>
            <w:r>
              <w:rPr>
                <w:rFonts w:hint="eastAsia" w:ascii="仿宋_GB2312" w:eastAsia="仿宋_GB2312"/>
                <w:b/>
                <w:color w:val="000000"/>
                <w:kern w:val="0"/>
                <w:sz w:val="21"/>
                <w:szCs w:val="21"/>
              </w:rPr>
              <w:t>新建</w:t>
            </w:r>
          </w:p>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围垦</w:t>
            </w:r>
            <w:r>
              <w:rPr>
                <w:rFonts w:hint="eastAsia" w:ascii="仿宋_GB2312" w:eastAsia="仿宋_GB2312"/>
                <w:b/>
                <w:color w:val="000000"/>
                <w:kern w:val="0"/>
                <w:sz w:val="21"/>
                <w:szCs w:val="21"/>
              </w:rPr>
              <w:t>0</w:t>
            </w:r>
            <w:r>
              <w:rPr>
                <w:rFonts w:ascii="仿宋_GB2312" w:eastAsia="仿宋_GB2312"/>
                <w:b/>
                <w:color w:val="000000"/>
                <w:kern w:val="0"/>
                <w:sz w:val="21"/>
                <w:szCs w:val="21"/>
              </w:rPr>
              <w:t>6线与围垦</w:t>
            </w:r>
            <w:r>
              <w:rPr>
                <w:rFonts w:hint="eastAsia" w:ascii="仿宋_GB2312" w:eastAsia="仿宋_GB2312"/>
                <w:b/>
                <w:color w:val="000000"/>
                <w:kern w:val="0"/>
                <w:sz w:val="21"/>
                <w:szCs w:val="21"/>
              </w:rPr>
              <w:t>0</w:t>
            </w:r>
            <w:r>
              <w:rPr>
                <w:rFonts w:ascii="仿宋_GB2312" w:eastAsia="仿宋_GB2312"/>
                <w:b/>
                <w:color w:val="000000"/>
                <w:kern w:val="0"/>
                <w:sz w:val="21"/>
                <w:szCs w:val="21"/>
              </w:rPr>
              <w:t>1线</w:t>
            </w:r>
            <w:r>
              <w:rPr>
                <w:rFonts w:hint="eastAsia" w:ascii="仿宋_GB2312" w:eastAsia="仿宋_GB2312"/>
                <w:b/>
                <w:color w:val="000000"/>
                <w:kern w:val="0"/>
                <w:sz w:val="21"/>
                <w:szCs w:val="21"/>
              </w:rPr>
              <w:t>联络工程</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10</w:t>
            </w: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2</w:t>
            </w:r>
            <w:r>
              <w:rPr>
                <w:rFonts w:ascii="仿宋_GB2312" w:eastAsia="仿宋_GB2312"/>
                <w:b/>
                <w:color w:val="000000"/>
                <w:kern w:val="0"/>
                <w:sz w:val="21"/>
                <w:szCs w:val="21"/>
              </w:rPr>
              <w:t>07.75</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架空线路工程</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10</w:t>
            </w:r>
          </w:p>
        </w:tc>
        <w:tc>
          <w:tcPr>
            <w:tcW w:w="3685" w:type="dxa"/>
            <w:vAlign w:val="center"/>
          </w:tcPr>
          <w:p>
            <w:pPr>
              <w:pStyle w:val="87"/>
              <w:keepNext w:val="0"/>
              <w:rPr>
                <w:rFonts w:ascii="仿宋_GB2312" w:hAnsi="仿宋" w:eastAsia="仿宋_GB2312"/>
                <w:b w:val="0"/>
                <w:sz w:val="21"/>
              </w:rPr>
            </w:pPr>
            <w:r>
              <w:rPr>
                <w:rFonts w:hint="eastAsia" w:ascii="仿宋_GB2312" w:hAnsi="仿宋" w:eastAsia="仿宋_GB2312"/>
                <w:b w:val="0"/>
                <w:sz w:val="21"/>
              </w:rPr>
              <w:t>新架设（Y</w:t>
            </w:r>
            <w:r>
              <w:rPr>
                <w:rFonts w:ascii="仿宋_GB2312" w:hAnsi="仿宋" w:eastAsia="仿宋_GB2312"/>
                <w:b w:val="0"/>
                <w:sz w:val="21"/>
              </w:rPr>
              <w:t>KLYJ/10-1×240</w:t>
            </w:r>
            <w:r>
              <w:rPr>
                <w:rFonts w:hint="eastAsia" w:ascii="仿宋_GB2312" w:hAnsi="仿宋" w:eastAsia="仿宋_GB2312"/>
                <w:b w:val="0"/>
                <w:sz w:val="21"/>
              </w:rPr>
              <w:t>）</w:t>
            </w:r>
            <w:r>
              <w:rPr>
                <w:rFonts w:ascii="仿宋_GB2312" w:hAnsi="仿宋" w:eastAsia="仿宋_GB2312"/>
                <w:b w:val="0"/>
                <w:sz w:val="21"/>
              </w:rPr>
              <w:t>导线</w:t>
            </w:r>
            <w:r>
              <w:rPr>
                <w:rFonts w:hint="eastAsia" w:ascii="仿宋_GB2312" w:hAnsi="仿宋" w:eastAsia="仿宋_GB2312"/>
                <w:b w:val="0"/>
                <w:sz w:val="21"/>
              </w:rPr>
              <w:t>（</w:t>
            </w:r>
            <w:r>
              <w:rPr>
                <w:rFonts w:ascii="仿宋_GB2312" w:hAnsi="仿宋" w:eastAsia="仿宋_GB2312"/>
                <w:b w:val="0"/>
                <w:sz w:val="21"/>
              </w:rPr>
              <w:t>5.65</w:t>
            </w:r>
            <w:r>
              <w:rPr>
                <w:rFonts w:hint="eastAsia" w:ascii="仿宋_GB2312" w:hAnsi="仿宋" w:eastAsia="仿宋_GB2312"/>
                <w:b w:val="0"/>
                <w:sz w:val="21"/>
              </w:rPr>
              <w:t>千米），</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千米</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5</w:t>
            </w:r>
            <w:r>
              <w:rPr>
                <w:rFonts w:ascii="仿宋_GB2312" w:eastAsia="仿宋_GB2312"/>
                <w:b w:val="0"/>
                <w:color w:val="000000"/>
                <w:kern w:val="0"/>
                <w:sz w:val="21"/>
              </w:rPr>
              <w:t>.65</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3</w:t>
            </w:r>
            <w:r>
              <w:rPr>
                <w:rFonts w:ascii="仿宋_GB2312" w:eastAsia="仿宋_GB2312"/>
                <w:b w:val="0"/>
                <w:color w:val="000000"/>
                <w:kern w:val="0"/>
                <w:sz w:val="21"/>
              </w:rPr>
              <w:t>5</w:t>
            </w:r>
          </w:p>
        </w:tc>
        <w:tc>
          <w:tcPr>
            <w:tcW w:w="932"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197.75</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新上开关</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w:t>
            </w: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台</w:t>
            </w:r>
          </w:p>
        </w:tc>
        <w:tc>
          <w:tcPr>
            <w:tcW w:w="1133"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2</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5</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ascii="仿宋_GB2312" w:eastAsia="仿宋_GB2312"/>
                <w:b/>
                <w:color w:val="000000"/>
                <w:kern w:val="0"/>
                <w:sz w:val="21"/>
                <w:szCs w:val="21"/>
              </w:rPr>
              <w:t>六</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配电自动化终端</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4</w:t>
            </w:r>
            <w:r>
              <w:rPr>
                <w:rFonts w:ascii="仿宋_GB2312" w:eastAsia="仿宋_GB2312"/>
                <w:b/>
                <w:color w:val="000000"/>
                <w:kern w:val="0"/>
                <w:sz w:val="21"/>
                <w:szCs w:val="21"/>
              </w:rPr>
              <w:t>1.2</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F</w:t>
            </w:r>
            <w:r>
              <w:rPr>
                <w:rFonts w:ascii="仿宋_GB2312" w:eastAsia="仿宋_GB2312"/>
                <w:b w:val="0"/>
                <w:color w:val="000000"/>
                <w:kern w:val="0"/>
                <w:sz w:val="21"/>
              </w:rPr>
              <w:t>TU</w:t>
            </w:r>
            <w:r>
              <w:rPr>
                <w:rFonts w:hint="eastAsia" w:ascii="仿宋_GB2312" w:eastAsia="仿宋_GB2312"/>
                <w:b w:val="0"/>
                <w:color w:val="000000"/>
                <w:kern w:val="0"/>
                <w:sz w:val="21"/>
              </w:rPr>
              <w:t>（就地重合式二遥）</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w:t>
            </w: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套</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8</w:t>
            </w:r>
          </w:p>
        </w:tc>
        <w:tc>
          <w:tcPr>
            <w:tcW w:w="1135"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4.5</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3</w:t>
            </w:r>
            <w:r>
              <w:rPr>
                <w:rFonts w:ascii="仿宋_GB2312" w:eastAsia="仿宋_GB2312"/>
                <w:b w:val="0"/>
                <w:color w:val="000000"/>
                <w:kern w:val="0"/>
                <w:sz w:val="21"/>
              </w:rPr>
              <w:t>6</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ascii="仿宋_GB2312" w:eastAsia="仿宋_GB2312"/>
                <w:b w:val="0"/>
                <w:color w:val="000000"/>
                <w:kern w:val="0"/>
                <w:sz w:val="21"/>
              </w:rPr>
              <w:t>2</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远传型故障指示器</w:t>
            </w:r>
          </w:p>
        </w:tc>
        <w:tc>
          <w:tcPr>
            <w:tcW w:w="99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0</w:t>
            </w: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套</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8</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0</w:t>
            </w:r>
            <w:r>
              <w:rPr>
                <w:rFonts w:ascii="仿宋_GB2312" w:eastAsia="仿宋_GB2312"/>
                <w:b w:val="0"/>
                <w:color w:val="000000"/>
                <w:kern w:val="0"/>
                <w:sz w:val="21"/>
              </w:rPr>
              <w:t>.65</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5</w:t>
            </w:r>
            <w:r>
              <w:rPr>
                <w:rFonts w:ascii="仿宋_GB2312" w:eastAsia="仿宋_GB2312"/>
                <w:b w:val="0"/>
                <w:color w:val="000000"/>
                <w:kern w:val="0"/>
                <w:sz w:val="21"/>
              </w:rPr>
              <w:t>.2</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七</w:t>
            </w:r>
          </w:p>
        </w:tc>
        <w:tc>
          <w:tcPr>
            <w:tcW w:w="3844"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通信部分</w:t>
            </w:r>
          </w:p>
        </w:tc>
        <w:tc>
          <w:tcPr>
            <w:tcW w:w="99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368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3"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1135"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c>
          <w:tcPr>
            <w:tcW w:w="932"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r>
              <w:rPr>
                <w:rFonts w:hint="eastAsia" w:ascii="仿宋_GB2312" w:eastAsia="仿宋_GB2312"/>
                <w:b/>
                <w:color w:val="000000"/>
                <w:kern w:val="0"/>
                <w:sz w:val="21"/>
                <w:szCs w:val="21"/>
              </w:rPr>
              <w:t>9</w:t>
            </w:r>
            <w:r>
              <w:rPr>
                <w:rFonts w:ascii="仿宋_GB2312" w:eastAsia="仿宋_GB2312"/>
                <w:b/>
                <w:color w:val="000000"/>
                <w:kern w:val="0"/>
                <w:sz w:val="21"/>
                <w:szCs w:val="21"/>
              </w:rPr>
              <w:t>5.97</w:t>
            </w:r>
          </w:p>
        </w:tc>
        <w:tc>
          <w:tcPr>
            <w:tcW w:w="547" w:type="dxa"/>
            <w:vAlign w:val="center"/>
          </w:tcPr>
          <w:p>
            <w:pPr>
              <w:keepNext/>
              <w:keepLines/>
              <w:snapToGrid w:val="0"/>
              <w:spacing w:line="240" w:lineRule="auto"/>
              <w:ind w:firstLine="0" w:firstLineChars="0"/>
              <w:jc w:val="center"/>
              <w:rPr>
                <w:rFonts w:ascii="仿宋_GB2312" w:eastAsia="仿宋_GB2312"/>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光缆普缆</w:t>
            </w:r>
          </w:p>
        </w:tc>
        <w:tc>
          <w:tcPr>
            <w:tcW w:w="993" w:type="dxa"/>
            <w:vAlign w:val="center"/>
          </w:tcPr>
          <w:p>
            <w:pPr>
              <w:pStyle w:val="87"/>
              <w:keepNext w:val="0"/>
              <w:rPr>
                <w:rFonts w:ascii="仿宋_GB2312" w:hAnsi="仿宋" w:eastAsia="仿宋_GB2312"/>
                <w:b w:val="0"/>
                <w:sz w:val="21"/>
              </w:rPr>
            </w:pP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千米</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5.47</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4</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6</w:t>
            </w:r>
            <w:r>
              <w:rPr>
                <w:rFonts w:ascii="仿宋_GB2312" w:eastAsia="仿宋_GB2312"/>
                <w:b w:val="0"/>
                <w:color w:val="000000"/>
                <w:kern w:val="0"/>
                <w:sz w:val="21"/>
              </w:rPr>
              <w:t>1.32</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O</w:t>
            </w:r>
            <w:r>
              <w:rPr>
                <w:rFonts w:ascii="仿宋_GB2312" w:eastAsia="仿宋_GB2312"/>
                <w:b w:val="0"/>
                <w:color w:val="000000"/>
                <w:kern w:val="0"/>
                <w:sz w:val="21"/>
              </w:rPr>
              <w:t>NU设备</w:t>
            </w:r>
          </w:p>
        </w:tc>
        <w:tc>
          <w:tcPr>
            <w:tcW w:w="993" w:type="dxa"/>
            <w:vAlign w:val="center"/>
          </w:tcPr>
          <w:p>
            <w:pPr>
              <w:pStyle w:val="87"/>
              <w:keepNext w:val="0"/>
              <w:rPr>
                <w:rFonts w:ascii="仿宋_GB2312" w:hAnsi="仿宋" w:eastAsia="仿宋_GB2312"/>
                <w:b w:val="0"/>
                <w:sz w:val="21"/>
              </w:rPr>
            </w:pP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套</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8</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0</w:t>
            </w:r>
            <w:r>
              <w:rPr>
                <w:rFonts w:ascii="仿宋_GB2312" w:eastAsia="仿宋_GB2312"/>
                <w:b w:val="0"/>
                <w:color w:val="000000"/>
                <w:kern w:val="0"/>
                <w:sz w:val="21"/>
              </w:rPr>
              <w:t>.52</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4</w:t>
            </w:r>
            <w:r>
              <w:rPr>
                <w:rFonts w:ascii="仿宋_GB2312" w:eastAsia="仿宋_GB2312"/>
                <w:b w:val="0"/>
                <w:color w:val="000000"/>
                <w:kern w:val="0"/>
                <w:sz w:val="21"/>
              </w:rPr>
              <w:t>.16</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3</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O</w:t>
            </w:r>
            <w:r>
              <w:rPr>
                <w:rFonts w:ascii="仿宋_GB2312" w:eastAsia="仿宋_GB2312"/>
                <w:b w:val="0"/>
                <w:color w:val="000000"/>
                <w:kern w:val="0"/>
                <w:sz w:val="21"/>
              </w:rPr>
              <w:t>LT48口</w:t>
            </w:r>
          </w:p>
        </w:tc>
        <w:tc>
          <w:tcPr>
            <w:tcW w:w="993" w:type="dxa"/>
            <w:vAlign w:val="center"/>
          </w:tcPr>
          <w:p>
            <w:pPr>
              <w:pStyle w:val="87"/>
              <w:keepNext w:val="0"/>
              <w:rPr>
                <w:rFonts w:ascii="仿宋_GB2312" w:hAnsi="仿宋" w:eastAsia="仿宋_GB2312"/>
                <w:b w:val="0"/>
                <w:sz w:val="21"/>
              </w:rPr>
            </w:pP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台</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r>
              <w:rPr>
                <w:rFonts w:ascii="仿宋_GB2312" w:eastAsia="仿宋_GB2312"/>
                <w:b w:val="0"/>
                <w:color w:val="000000"/>
                <w:kern w:val="0"/>
                <w:sz w:val="21"/>
              </w:rPr>
              <w:t>8</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r>
              <w:rPr>
                <w:rFonts w:ascii="仿宋_GB2312" w:eastAsia="仿宋_GB2312"/>
                <w:b w:val="0"/>
                <w:color w:val="000000"/>
                <w:kern w:val="0"/>
                <w:sz w:val="21"/>
              </w:rPr>
              <w:t>8</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4</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地埋光纤附件</w:t>
            </w:r>
          </w:p>
        </w:tc>
        <w:tc>
          <w:tcPr>
            <w:tcW w:w="993" w:type="dxa"/>
            <w:vAlign w:val="center"/>
          </w:tcPr>
          <w:p>
            <w:pPr>
              <w:pStyle w:val="87"/>
              <w:keepNext w:val="0"/>
              <w:rPr>
                <w:rFonts w:ascii="仿宋_GB2312" w:hAnsi="仿宋" w:eastAsia="仿宋_GB2312"/>
                <w:b w:val="0"/>
                <w:sz w:val="21"/>
              </w:rPr>
            </w:pP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套</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r>
              <w:rPr>
                <w:rFonts w:ascii="仿宋_GB2312" w:eastAsia="仿宋_GB2312"/>
                <w:b w:val="0"/>
                <w:color w:val="000000"/>
                <w:kern w:val="0"/>
                <w:sz w:val="21"/>
              </w:rPr>
              <w:t>4</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0</w:t>
            </w:r>
            <w:r>
              <w:rPr>
                <w:rFonts w:ascii="仿宋_GB2312" w:eastAsia="仿宋_GB2312"/>
                <w:b w:val="0"/>
                <w:color w:val="000000"/>
                <w:kern w:val="0"/>
                <w:sz w:val="21"/>
              </w:rPr>
              <w:t>.02</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0</w:t>
            </w:r>
            <w:r>
              <w:rPr>
                <w:rFonts w:ascii="仿宋_GB2312" w:eastAsia="仿宋_GB2312"/>
                <w:b w:val="0"/>
                <w:color w:val="000000"/>
                <w:kern w:val="0"/>
                <w:sz w:val="21"/>
              </w:rPr>
              <w:t>.28</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5</w:t>
            </w:r>
          </w:p>
        </w:tc>
        <w:tc>
          <w:tcPr>
            <w:tcW w:w="3844"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通信机柜</w:t>
            </w:r>
          </w:p>
        </w:tc>
        <w:tc>
          <w:tcPr>
            <w:tcW w:w="993" w:type="dxa"/>
            <w:vAlign w:val="center"/>
          </w:tcPr>
          <w:p>
            <w:pPr>
              <w:pStyle w:val="87"/>
              <w:keepNext w:val="0"/>
              <w:rPr>
                <w:rFonts w:ascii="仿宋_GB2312" w:hAnsi="仿宋" w:eastAsia="仿宋_GB2312"/>
                <w:b w:val="0"/>
                <w:sz w:val="21"/>
              </w:rPr>
            </w:pPr>
          </w:p>
        </w:tc>
        <w:tc>
          <w:tcPr>
            <w:tcW w:w="3685" w:type="dxa"/>
            <w:vAlign w:val="center"/>
          </w:tcPr>
          <w:p>
            <w:pPr>
              <w:pStyle w:val="87"/>
              <w:keepNext w:val="0"/>
              <w:rPr>
                <w:rFonts w:ascii="仿宋_GB2312" w:hAnsi="仿宋" w:eastAsia="仿宋_GB2312"/>
                <w:b w:val="0"/>
                <w:sz w:val="21"/>
              </w:rPr>
            </w:pP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面</w:t>
            </w:r>
          </w:p>
        </w:tc>
        <w:tc>
          <w:tcPr>
            <w:tcW w:w="1133"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1135"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1</w:t>
            </w:r>
          </w:p>
        </w:tc>
        <w:tc>
          <w:tcPr>
            <w:tcW w:w="932" w:type="dxa"/>
            <w:vAlign w:val="center"/>
          </w:tcPr>
          <w:p>
            <w:pPr>
              <w:pStyle w:val="87"/>
              <w:keepNext w:val="0"/>
              <w:rPr>
                <w:rFonts w:ascii="仿宋_GB2312" w:hAnsi="仿宋" w:eastAsia="仿宋_GB2312"/>
                <w:b w:val="0"/>
                <w:sz w:val="21"/>
              </w:rPr>
            </w:pPr>
            <w:r>
              <w:rPr>
                <w:rFonts w:hint="eastAsia" w:ascii="仿宋_GB2312" w:eastAsia="仿宋_GB2312"/>
                <w:b w:val="0"/>
                <w:color w:val="000000"/>
                <w:kern w:val="0"/>
                <w:sz w:val="21"/>
              </w:rPr>
              <w:t>2</w:t>
            </w:r>
          </w:p>
        </w:tc>
        <w:tc>
          <w:tcPr>
            <w:tcW w:w="547" w:type="dxa"/>
            <w:vAlign w:val="center"/>
          </w:tcPr>
          <w:p>
            <w:pPr>
              <w:pStyle w:val="87"/>
              <w:keepNext w:val="0"/>
              <w:rPr>
                <w:rFonts w:ascii="仿宋_GB2312" w:hAnsi="仿宋" w:eastAsia="仿宋_GB2312"/>
                <w:b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jc w:val="center"/>
        </w:trPr>
        <w:tc>
          <w:tcPr>
            <w:tcW w:w="545" w:type="dxa"/>
            <w:vAlign w:val="center"/>
          </w:tcPr>
          <w:p>
            <w:pPr>
              <w:pStyle w:val="87"/>
              <w:keepNext w:val="0"/>
              <w:rPr>
                <w:rFonts w:ascii="仿宋_GB2312" w:hAnsi="仿宋" w:eastAsia="仿宋_GB2312"/>
                <w:sz w:val="21"/>
              </w:rPr>
            </w:pPr>
          </w:p>
        </w:tc>
        <w:tc>
          <w:tcPr>
            <w:tcW w:w="3844" w:type="dxa"/>
            <w:vAlign w:val="center"/>
          </w:tcPr>
          <w:p>
            <w:pPr>
              <w:pStyle w:val="87"/>
              <w:keepNext w:val="0"/>
              <w:rPr>
                <w:rFonts w:ascii="仿宋_GB2312" w:hAnsi="仿宋" w:eastAsia="仿宋_GB2312"/>
                <w:sz w:val="21"/>
              </w:rPr>
            </w:pPr>
            <w:r>
              <w:rPr>
                <w:rFonts w:hint="eastAsia" w:ascii="仿宋_GB2312" w:eastAsia="仿宋_GB2312"/>
                <w:color w:val="000000"/>
                <w:kern w:val="0"/>
                <w:sz w:val="21"/>
              </w:rPr>
              <w:t>合计</w:t>
            </w:r>
          </w:p>
        </w:tc>
        <w:tc>
          <w:tcPr>
            <w:tcW w:w="993" w:type="dxa"/>
            <w:vAlign w:val="center"/>
          </w:tcPr>
          <w:p>
            <w:pPr>
              <w:pStyle w:val="87"/>
              <w:keepNext w:val="0"/>
              <w:rPr>
                <w:rFonts w:ascii="仿宋_GB2312" w:hAnsi="仿宋" w:eastAsia="仿宋_GB2312"/>
                <w:sz w:val="21"/>
              </w:rPr>
            </w:pPr>
          </w:p>
        </w:tc>
        <w:tc>
          <w:tcPr>
            <w:tcW w:w="3685" w:type="dxa"/>
            <w:vAlign w:val="center"/>
          </w:tcPr>
          <w:p>
            <w:pPr>
              <w:pStyle w:val="87"/>
              <w:keepNext w:val="0"/>
              <w:rPr>
                <w:rFonts w:ascii="仿宋_GB2312" w:hAnsi="仿宋" w:eastAsia="仿宋_GB2312"/>
                <w:sz w:val="21"/>
              </w:rPr>
            </w:pPr>
          </w:p>
        </w:tc>
        <w:tc>
          <w:tcPr>
            <w:tcW w:w="1135" w:type="dxa"/>
            <w:vAlign w:val="center"/>
          </w:tcPr>
          <w:p>
            <w:pPr>
              <w:pStyle w:val="87"/>
              <w:keepNext w:val="0"/>
              <w:rPr>
                <w:rFonts w:ascii="仿宋_GB2312" w:hAnsi="仿宋" w:eastAsia="仿宋_GB2312"/>
                <w:sz w:val="21"/>
              </w:rPr>
            </w:pPr>
          </w:p>
        </w:tc>
        <w:tc>
          <w:tcPr>
            <w:tcW w:w="1133" w:type="dxa"/>
            <w:vAlign w:val="center"/>
          </w:tcPr>
          <w:p>
            <w:pPr>
              <w:pStyle w:val="87"/>
              <w:keepNext w:val="0"/>
              <w:rPr>
                <w:rFonts w:ascii="仿宋_GB2312" w:hAnsi="仿宋" w:eastAsia="仿宋_GB2312"/>
                <w:sz w:val="21"/>
              </w:rPr>
            </w:pPr>
          </w:p>
        </w:tc>
        <w:tc>
          <w:tcPr>
            <w:tcW w:w="1135" w:type="dxa"/>
            <w:vAlign w:val="center"/>
          </w:tcPr>
          <w:p>
            <w:pPr>
              <w:pStyle w:val="87"/>
              <w:keepNext w:val="0"/>
              <w:rPr>
                <w:rFonts w:ascii="仿宋_GB2312" w:hAnsi="仿宋" w:eastAsia="仿宋_GB2312"/>
                <w:sz w:val="21"/>
              </w:rPr>
            </w:pPr>
          </w:p>
        </w:tc>
        <w:tc>
          <w:tcPr>
            <w:tcW w:w="932" w:type="dxa"/>
            <w:vAlign w:val="center"/>
          </w:tcPr>
          <w:p>
            <w:pPr>
              <w:pStyle w:val="87"/>
              <w:keepNext w:val="0"/>
              <w:rPr>
                <w:rFonts w:ascii="仿宋_GB2312" w:hAnsi="仿宋" w:eastAsia="仿宋_GB2312"/>
                <w:sz w:val="21"/>
              </w:rPr>
            </w:pPr>
            <w:r>
              <w:rPr>
                <w:rFonts w:ascii="仿宋_GB2312" w:eastAsia="仿宋_GB2312"/>
                <w:color w:val="000000"/>
                <w:kern w:val="0"/>
                <w:sz w:val="21"/>
              </w:rPr>
              <w:t>6276.27</w:t>
            </w:r>
          </w:p>
        </w:tc>
        <w:tc>
          <w:tcPr>
            <w:tcW w:w="547" w:type="dxa"/>
            <w:vAlign w:val="center"/>
          </w:tcPr>
          <w:p>
            <w:pPr>
              <w:pStyle w:val="87"/>
              <w:keepNext w:val="0"/>
              <w:rPr>
                <w:rFonts w:ascii="仿宋_GB2312" w:hAnsi="仿宋" w:eastAsia="仿宋_GB2312"/>
                <w:sz w:val="21"/>
              </w:rPr>
            </w:pPr>
          </w:p>
        </w:tc>
      </w:tr>
    </w:tbl>
    <w:p>
      <w:pPr>
        <w:rPr>
          <w:rFonts w:hint="eastAsia" w:ascii="黑体" w:hAnsi="宋体" w:eastAsia="黑体"/>
          <w:sz w:val="32"/>
          <w:lang w:val="en-US" w:eastAsia="zh-CN"/>
        </w:rPr>
      </w:pPr>
    </w:p>
    <w:sectPr>
      <w:pgSz w:w="16839" w:h="11907" w:orient="landscape"/>
      <w:pgMar w:top="1797" w:right="1440" w:bottom="1797" w:left="1440" w:header="851" w:footer="992" w:gutter="0"/>
      <w:cols w:space="1200"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仿宋_GBK">
    <w:altName w:val="宋体"/>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细黑">
    <w:altName w:val="微软雅黑"/>
    <w:panose1 w:val="02010600040101010101"/>
    <w:charset w:val="86"/>
    <w:family w:val="auto"/>
    <w:pitch w:val="default"/>
    <w:sig w:usb0="00000000" w:usb1="00000000" w:usb2="00000010" w:usb3="00000000" w:csb0="0004009F" w:csb1="00000000"/>
  </w:font>
  <w:font w:name="新宋体">
    <w:panose1 w:val="02010609030101010101"/>
    <w:charset w:val="86"/>
    <w:family w:val="modern"/>
    <w:pitch w:val="default"/>
    <w:sig w:usb0="00000003" w:usb1="288F0000" w:usb2="00000006" w:usb3="00000000" w:csb0="00040001" w:csb1="00000000"/>
  </w:font>
  <w:font w:name="ヒラギノ角ゴ Pro W3">
    <w:altName w:val="MS Gothic"/>
    <w:panose1 w:val="00000000000000000000"/>
    <w:charset w:val="80"/>
    <w:family w:val="auto"/>
    <w:pitch w:val="default"/>
    <w:sig w:usb0="00000000" w:usb1="00000000" w:usb2="00000012" w:usb3="00000000" w:csb0="0002000D"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p>
    <w:pPr>
      <w:pStyle w:val="27"/>
      <w:tabs>
        <w:tab w:val="clear" w:pos="4153"/>
      </w:tabs>
      <w:ind w:right="360"/>
      <w:jc w:val="right"/>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p>
    <w:pPr>
      <w:pStyle w:val="28"/>
    </w:pPr>
    <w:r>
      <w:rPr>
        <w:rFonts w:hint="eastAsia"/>
      </w:rPr>
      <w:t>嵊州省级高新技术产业园区增量配电网建设发展规</w:t>
    </w:r>
    <w:r>
      <w:t>划</w:t>
    </w:r>
    <w:r>
      <w:rPr>
        <w:rFonts w:hint="eastAsia"/>
      </w:rPr>
      <w:t>（2</w:t>
    </w:r>
    <w:r>
      <w:t>019-2025</w:t>
    </w:r>
    <w:r>
      <w:rPr>
        <w:rFonts w:hint="eastAsia"/>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5C5F"/>
    <w:multiLevelType w:val="multilevel"/>
    <w:tmpl w:val="06675C5F"/>
    <w:lvl w:ilvl="0" w:tentative="0">
      <w:start w:val="1"/>
      <w:numFmt w:val="decimal"/>
      <w:pStyle w:val="2"/>
      <w:lvlText w:val="%1"/>
      <w:lvlJc w:val="left"/>
      <w:pPr>
        <w:ind w:left="480" w:hanging="480"/>
      </w:pPr>
      <w:rPr>
        <w:rFonts w:hint="default"/>
      </w:rPr>
    </w:lvl>
    <w:lvl w:ilvl="1" w:tentative="0">
      <w:start w:val="1"/>
      <w:numFmt w:val="decimal"/>
      <w:pStyle w:val="3"/>
      <w:isLgl/>
      <w:suff w:val="space"/>
      <w:lvlText w:val="%1.%2"/>
      <w:lvlJc w:val="left"/>
      <w:pPr>
        <w:ind w:left="0" w:firstLine="198"/>
      </w:pPr>
      <w:rPr>
        <w:rFonts w:hint="default"/>
      </w:rPr>
    </w:lvl>
    <w:lvl w:ilvl="2" w:tentative="0">
      <w:start w:val="1"/>
      <w:numFmt w:val="decimal"/>
      <w:pStyle w:val="4"/>
      <w:isLgl/>
      <w:suff w:val="space"/>
      <w:lvlText w:val="%1.%2.%3"/>
      <w:lvlJc w:val="left"/>
      <w:pPr>
        <w:ind w:left="0" w:firstLine="400"/>
      </w:pPr>
      <w:rPr>
        <w:rFonts w:hint="default"/>
      </w:rPr>
    </w:lvl>
    <w:lvl w:ilvl="3" w:tentative="0">
      <w:start w:val="1"/>
      <w:numFmt w:val="decimal"/>
      <w:pStyle w:val="5"/>
      <w:isLgl/>
      <w:suff w:val="space"/>
      <w:lvlText w:val="%1.%2.%3.%4"/>
      <w:lvlJc w:val="left"/>
      <w:pPr>
        <w:ind w:left="0" w:firstLine="600"/>
      </w:pPr>
      <w:rPr>
        <w:rFonts w:hint="default"/>
      </w:rPr>
    </w:lvl>
    <w:lvl w:ilvl="4" w:tentative="0">
      <w:start w:val="1"/>
      <w:numFmt w:val="decimal"/>
      <w:lvlRestart w:val="1"/>
      <w:pStyle w:val="113"/>
      <w:isLgl/>
      <w:suff w:val="space"/>
      <w:lvlText w:val="（表）%1-%5"/>
      <w:lvlJc w:val="left"/>
      <w:pPr>
        <w:ind w:left="0" w:firstLine="0"/>
      </w:pPr>
      <w:rPr>
        <w:rFonts w:hint="default"/>
      </w:rPr>
    </w:lvl>
    <w:lvl w:ilvl="5" w:tentative="0">
      <w:start w:val="1"/>
      <w:numFmt w:val="decimal"/>
      <w:lvlRestart w:val="1"/>
      <w:pStyle w:val="86"/>
      <w:isLgl/>
      <w:suff w:val="space"/>
      <w:lvlText w:val="表%1-%6"/>
      <w:lvlJc w:val="left"/>
      <w:pPr>
        <w:ind w:left="0" w:firstLine="0"/>
      </w:pPr>
      <w:rPr>
        <w:rFonts w:hint="default"/>
        <w:color w:val="auto"/>
        <w:lang w:val="en-US"/>
      </w:rPr>
    </w:lvl>
    <w:lvl w:ilvl="6" w:tentative="0">
      <w:start w:val="1"/>
      <w:numFmt w:val="decimal"/>
      <w:lvlRestart w:val="1"/>
      <w:pStyle w:val="94"/>
      <w:isLgl/>
      <w:suff w:val="space"/>
      <w:lvlText w:val="图%1-%7"/>
      <w:lvlJc w:val="center"/>
      <w:pPr>
        <w:ind w:left="0" w:firstLine="0"/>
      </w:pPr>
      <w:rPr>
        <w:rFonts w:hint="default"/>
      </w:rPr>
    </w:lvl>
    <w:lvl w:ilvl="7" w:tentative="0">
      <w:start w:val="1"/>
      <w:numFmt w:val="decimal"/>
      <w:lvlRestart w:val="1"/>
      <w:pStyle w:val="114"/>
      <w:isLgl/>
      <w:suff w:val="space"/>
      <w:lvlText w:val="（图）%1-%8"/>
      <w:lvlJc w:val="center"/>
      <w:pPr>
        <w:ind w:left="0" w:firstLine="0"/>
      </w:pPr>
      <w:rPr>
        <w:rFonts w:hint="default"/>
      </w:rPr>
    </w:lvl>
    <w:lvl w:ilvl="8" w:tentative="0">
      <w:start w:val="1"/>
      <w:numFmt w:val="decimal"/>
      <w:lvlRestart w:val="6"/>
      <w:pStyle w:val="115"/>
      <w:isLgl/>
      <w:suff w:val="space"/>
      <w:lvlText w:val="%9表%1-%6"/>
      <w:lvlJc w:val="left"/>
      <w:pPr>
        <w:ind w:left="0" w:firstLine="0"/>
      </w:pPr>
      <w:rPr>
        <w:rFonts w:hint="default"/>
      </w:rPr>
    </w:lvl>
  </w:abstractNum>
  <w:abstractNum w:abstractNumId="1">
    <w:nsid w:val="1DAB7166"/>
    <w:multiLevelType w:val="multilevel"/>
    <w:tmpl w:val="1DAB7166"/>
    <w:lvl w:ilvl="0" w:tentative="0">
      <w:start w:val="1"/>
      <w:numFmt w:val="bullet"/>
      <w:pStyle w:val="92"/>
      <w:lvlText w:val=""/>
      <w:lvlJc w:val="left"/>
      <w:pPr>
        <w:ind w:left="820" w:hanging="420"/>
      </w:pPr>
      <w:rPr>
        <w:rFonts w:hint="default" w:ascii="Wingdings" w:hAnsi="Wingdings"/>
      </w:rPr>
    </w:lvl>
    <w:lvl w:ilvl="1" w:tentative="0">
      <w:start w:val="1"/>
      <w:numFmt w:val="bullet"/>
      <w:lvlText w:val=""/>
      <w:lvlJc w:val="left"/>
      <w:pPr>
        <w:ind w:left="1696" w:hanging="420"/>
      </w:pPr>
      <w:rPr>
        <w:rFonts w:hint="default" w:ascii="Wingdings" w:hAnsi="Wingdings"/>
      </w:rPr>
    </w:lvl>
    <w:lvl w:ilvl="2" w:tentative="0">
      <w:start w:val="1"/>
      <w:numFmt w:val="bullet"/>
      <w:lvlText w:val=""/>
      <w:lvlJc w:val="left"/>
      <w:pPr>
        <w:ind w:left="2116" w:hanging="420"/>
      </w:pPr>
      <w:rPr>
        <w:rFonts w:hint="default" w:ascii="Wingdings" w:hAnsi="Wingdings"/>
      </w:rPr>
    </w:lvl>
    <w:lvl w:ilvl="3" w:tentative="0">
      <w:start w:val="1"/>
      <w:numFmt w:val="bullet"/>
      <w:lvlText w:val=""/>
      <w:lvlJc w:val="left"/>
      <w:pPr>
        <w:ind w:left="2536" w:hanging="420"/>
      </w:pPr>
      <w:rPr>
        <w:rFonts w:hint="default" w:ascii="Wingdings" w:hAnsi="Wingdings"/>
      </w:rPr>
    </w:lvl>
    <w:lvl w:ilvl="4" w:tentative="0">
      <w:start w:val="1"/>
      <w:numFmt w:val="bullet"/>
      <w:lvlText w:val=""/>
      <w:lvlJc w:val="left"/>
      <w:pPr>
        <w:ind w:left="2956" w:hanging="420"/>
      </w:pPr>
      <w:rPr>
        <w:rFonts w:hint="default" w:ascii="Wingdings" w:hAnsi="Wingdings"/>
      </w:rPr>
    </w:lvl>
    <w:lvl w:ilvl="5" w:tentative="0">
      <w:start w:val="1"/>
      <w:numFmt w:val="bullet"/>
      <w:lvlText w:val=""/>
      <w:lvlJc w:val="left"/>
      <w:pPr>
        <w:ind w:left="3376" w:hanging="420"/>
      </w:pPr>
      <w:rPr>
        <w:rFonts w:hint="default" w:ascii="Wingdings" w:hAnsi="Wingdings"/>
      </w:rPr>
    </w:lvl>
    <w:lvl w:ilvl="6" w:tentative="0">
      <w:start w:val="1"/>
      <w:numFmt w:val="bullet"/>
      <w:lvlText w:val=""/>
      <w:lvlJc w:val="left"/>
      <w:pPr>
        <w:ind w:left="3796" w:hanging="420"/>
      </w:pPr>
      <w:rPr>
        <w:rFonts w:hint="default" w:ascii="Wingdings" w:hAnsi="Wingdings"/>
      </w:rPr>
    </w:lvl>
    <w:lvl w:ilvl="7" w:tentative="0">
      <w:start w:val="1"/>
      <w:numFmt w:val="bullet"/>
      <w:lvlText w:val=""/>
      <w:lvlJc w:val="left"/>
      <w:pPr>
        <w:ind w:left="4216" w:hanging="420"/>
      </w:pPr>
      <w:rPr>
        <w:rFonts w:hint="default" w:ascii="Wingdings" w:hAnsi="Wingdings"/>
      </w:rPr>
    </w:lvl>
    <w:lvl w:ilvl="8" w:tentative="0">
      <w:start w:val="1"/>
      <w:numFmt w:val="bullet"/>
      <w:lvlText w:val=""/>
      <w:lvlJc w:val="left"/>
      <w:pPr>
        <w:ind w:left="4636" w:hanging="420"/>
      </w:pPr>
      <w:rPr>
        <w:rFonts w:hint="default" w:ascii="Wingdings" w:hAnsi="Wingdings"/>
      </w:rPr>
    </w:lvl>
  </w:abstractNum>
  <w:abstractNum w:abstractNumId="2">
    <w:nsid w:val="2013384A"/>
    <w:multiLevelType w:val="multilevel"/>
    <w:tmpl w:val="2013384A"/>
    <w:lvl w:ilvl="0" w:tentative="0">
      <w:start w:val="1"/>
      <w:numFmt w:val="bullet"/>
      <w:pStyle w:val="91"/>
      <w:lvlText w:val=""/>
      <w:lvlJc w:val="left"/>
      <w:pPr>
        <w:ind w:left="620"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
    <w:nsid w:val="41D8505C"/>
    <w:multiLevelType w:val="multilevel"/>
    <w:tmpl w:val="41D8505C"/>
    <w:lvl w:ilvl="0" w:tentative="0">
      <w:start w:val="1"/>
      <w:numFmt w:val="decimal"/>
      <w:pStyle w:val="108"/>
      <w:lvlText w:val="（%1）"/>
      <w:lvlJc w:val="left"/>
      <w:pPr>
        <w:ind w:left="1286" w:hanging="72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
    <w:nsid w:val="4D323A61"/>
    <w:multiLevelType w:val="multilevel"/>
    <w:tmpl w:val="4D323A61"/>
    <w:lvl w:ilvl="0" w:tentative="0">
      <w:start w:val="1"/>
      <w:numFmt w:val="upperRoman"/>
      <w:pStyle w:val="77"/>
      <w:lvlText w:val="附件%1"/>
      <w:lvlJc w:val="left"/>
      <w:pPr>
        <w:ind w:left="425" w:hanging="425"/>
      </w:pPr>
      <w:rPr>
        <w:rFonts w:hint="eastAsia"/>
      </w:rPr>
    </w:lvl>
    <w:lvl w:ilvl="1" w:tentative="0">
      <w:start w:val="1"/>
      <w:numFmt w:val="decimal"/>
      <w:pStyle w:val="78"/>
      <w:lvlText w:val="%1-%2"/>
      <w:lvlJc w:val="left"/>
      <w:pPr>
        <w:ind w:left="567" w:hanging="567"/>
      </w:pPr>
      <w:rPr>
        <w:rFonts w:hint="eastAsia"/>
      </w:rPr>
    </w:lvl>
    <w:lvl w:ilvl="2" w:tentative="0">
      <w:start w:val="1"/>
      <w:numFmt w:val="decimal"/>
      <w:pStyle w:val="79"/>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Restart w:val="1"/>
      <w:pStyle w:val="80"/>
      <w:suff w:val="space"/>
      <w:lvlText w:val="表%1-%6"/>
      <w:lvlJc w:val="left"/>
      <w:pPr>
        <w:ind w:left="0" w:firstLine="400"/>
      </w:pPr>
      <w:rPr>
        <w:rFonts w:hint="eastAsia"/>
      </w:rPr>
    </w:lvl>
    <w:lvl w:ilvl="6" w:tentative="0">
      <w:start w:val="1"/>
      <w:numFmt w:val="decimal"/>
      <w:lvlRestart w:val="1"/>
      <w:pStyle w:val="81"/>
      <w:suff w:val="space"/>
      <w:lvlText w:val="图%1-%7"/>
      <w:lvlJc w:val="center"/>
      <w:pPr>
        <w:ind w:left="0" w:firstLine="0"/>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750928E4"/>
    <w:multiLevelType w:val="multilevel"/>
    <w:tmpl w:val="750928E4"/>
    <w:lvl w:ilvl="0" w:tentative="0">
      <w:start w:val="1"/>
      <w:numFmt w:val="bullet"/>
      <w:pStyle w:val="89"/>
      <w:lvlText w:val=""/>
      <w:lvlJc w:val="left"/>
      <w:pPr>
        <w:ind w:left="420"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8D4"/>
    <w:rsid w:val="000000CD"/>
    <w:rsid w:val="0000040C"/>
    <w:rsid w:val="0000054D"/>
    <w:rsid w:val="00000635"/>
    <w:rsid w:val="000006F5"/>
    <w:rsid w:val="000008C3"/>
    <w:rsid w:val="00000B62"/>
    <w:rsid w:val="00000F68"/>
    <w:rsid w:val="00000F7C"/>
    <w:rsid w:val="0000103B"/>
    <w:rsid w:val="0000113D"/>
    <w:rsid w:val="000015AA"/>
    <w:rsid w:val="000019B7"/>
    <w:rsid w:val="00001A04"/>
    <w:rsid w:val="00001AB2"/>
    <w:rsid w:val="00001BAD"/>
    <w:rsid w:val="00001BBB"/>
    <w:rsid w:val="00001BCD"/>
    <w:rsid w:val="00001EBB"/>
    <w:rsid w:val="00001F37"/>
    <w:rsid w:val="00002109"/>
    <w:rsid w:val="000021CB"/>
    <w:rsid w:val="000022F9"/>
    <w:rsid w:val="000023F2"/>
    <w:rsid w:val="00002473"/>
    <w:rsid w:val="00002665"/>
    <w:rsid w:val="00002679"/>
    <w:rsid w:val="000027FC"/>
    <w:rsid w:val="0000295E"/>
    <w:rsid w:val="00002A33"/>
    <w:rsid w:val="00002B55"/>
    <w:rsid w:val="00003582"/>
    <w:rsid w:val="00003589"/>
    <w:rsid w:val="00003734"/>
    <w:rsid w:val="000037DC"/>
    <w:rsid w:val="000038A3"/>
    <w:rsid w:val="00003AB8"/>
    <w:rsid w:val="00003AD2"/>
    <w:rsid w:val="00003C8E"/>
    <w:rsid w:val="00004757"/>
    <w:rsid w:val="000049B8"/>
    <w:rsid w:val="00004BFC"/>
    <w:rsid w:val="00004C55"/>
    <w:rsid w:val="00004D18"/>
    <w:rsid w:val="000050F2"/>
    <w:rsid w:val="00005366"/>
    <w:rsid w:val="000056DA"/>
    <w:rsid w:val="00005EBA"/>
    <w:rsid w:val="000060A5"/>
    <w:rsid w:val="000062DC"/>
    <w:rsid w:val="000063FB"/>
    <w:rsid w:val="000064E2"/>
    <w:rsid w:val="00006598"/>
    <w:rsid w:val="000068CA"/>
    <w:rsid w:val="00006ABB"/>
    <w:rsid w:val="00006AF9"/>
    <w:rsid w:val="00006C4F"/>
    <w:rsid w:val="00006DD4"/>
    <w:rsid w:val="00006F58"/>
    <w:rsid w:val="000076CC"/>
    <w:rsid w:val="00007764"/>
    <w:rsid w:val="00007AAD"/>
    <w:rsid w:val="00007DE0"/>
    <w:rsid w:val="000100B7"/>
    <w:rsid w:val="0001060B"/>
    <w:rsid w:val="0001075E"/>
    <w:rsid w:val="00010F0A"/>
    <w:rsid w:val="0001103C"/>
    <w:rsid w:val="00011233"/>
    <w:rsid w:val="000114A0"/>
    <w:rsid w:val="00011699"/>
    <w:rsid w:val="000119A3"/>
    <w:rsid w:val="000119D6"/>
    <w:rsid w:val="00011A0D"/>
    <w:rsid w:val="00011E37"/>
    <w:rsid w:val="00012814"/>
    <w:rsid w:val="0001286B"/>
    <w:rsid w:val="00012B5F"/>
    <w:rsid w:val="000130F7"/>
    <w:rsid w:val="000132BE"/>
    <w:rsid w:val="00013457"/>
    <w:rsid w:val="000135C8"/>
    <w:rsid w:val="00013830"/>
    <w:rsid w:val="000139FA"/>
    <w:rsid w:val="00013B44"/>
    <w:rsid w:val="00013C73"/>
    <w:rsid w:val="00014122"/>
    <w:rsid w:val="0001413A"/>
    <w:rsid w:val="00014235"/>
    <w:rsid w:val="00014678"/>
    <w:rsid w:val="00014721"/>
    <w:rsid w:val="00014A64"/>
    <w:rsid w:val="00014B35"/>
    <w:rsid w:val="00014B5B"/>
    <w:rsid w:val="00014C71"/>
    <w:rsid w:val="00014CE2"/>
    <w:rsid w:val="00014F8C"/>
    <w:rsid w:val="00015519"/>
    <w:rsid w:val="00015576"/>
    <w:rsid w:val="00015606"/>
    <w:rsid w:val="00015DE8"/>
    <w:rsid w:val="00015F4D"/>
    <w:rsid w:val="000160CF"/>
    <w:rsid w:val="00016552"/>
    <w:rsid w:val="0001660F"/>
    <w:rsid w:val="00016AA7"/>
    <w:rsid w:val="00016E0B"/>
    <w:rsid w:val="00016E33"/>
    <w:rsid w:val="00016FD2"/>
    <w:rsid w:val="000170CC"/>
    <w:rsid w:val="00017648"/>
    <w:rsid w:val="00017657"/>
    <w:rsid w:val="000176B8"/>
    <w:rsid w:val="000177FF"/>
    <w:rsid w:val="0001788F"/>
    <w:rsid w:val="000178BA"/>
    <w:rsid w:val="00017906"/>
    <w:rsid w:val="00017BB9"/>
    <w:rsid w:val="00017C80"/>
    <w:rsid w:val="00017CF3"/>
    <w:rsid w:val="00017F7E"/>
    <w:rsid w:val="00020C8C"/>
    <w:rsid w:val="00020D96"/>
    <w:rsid w:val="00020E6A"/>
    <w:rsid w:val="0002102B"/>
    <w:rsid w:val="00021890"/>
    <w:rsid w:val="00021AC6"/>
    <w:rsid w:val="00021F64"/>
    <w:rsid w:val="00021F70"/>
    <w:rsid w:val="00022238"/>
    <w:rsid w:val="00022621"/>
    <w:rsid w:val="000227D1"/>
    <w:rsid w:val="00022AE4"/>
    <w:rsid w:val="00022C9E"/>
    <w:rsid w:val="00023040"/>
    <w:rsid w:val="000237ED"/>
    <w:rsid w:val="00023BCE"/>
    <w:rsid w:val="00023C07"/>
    <w:rsid w:val="00023F02"/>
    <w:rsid w:val="000244AB"/>
    <w:rsid w:val="000248EF"/>
    <w:rsid w:val="00024BC1"/>
    <w:rsid w:val="00024E2A"/>
    <w:rsid w:val="00024EEC"/>
    <w:rsid w:val="00024FBB"/>
    <w:rsid w:val="00025209"/>
    <w:rsid w:val="00025352"/>
    <w:rsid w:val="000253A0"/>
    <w:rsid w:val="000254E5"/>
    <w:rsid w:val="00025840"/>
    <w:rsid w:val="00025C12"/>
    <w:rsid w:val="00025E33"/>
    <w:rsid w:val="00025FC9"/>
    <w:rsid w:val="00025FCC"/>
    <w:rsid w:val="00026018"/>
    <w:rsid w:val="00026141"/>
    <w:rsid w:val="0002645E"/>
    <w:rsid w:val="000264FD"/>
    <w:rsid w:val="00026754"/>
    <w:rsid w:val="00026AC0"/>
    <w:rsid w:val="00026C70"/>
    <w:rsid w:val="00026D0F"/>
    <w:rsid w:val="00026F4A"/>
    <w:rsid w:val="000270D0"/>
    <w:rsid w:val="0002715A"/>
    <w:rsid w:val="000271BD"/>
    <w:rsid w:val="000271F3"/>
    <w:rsid w:val="00027250"/>
    <w:rsid w:val="000278C1"/>
    <w:rsid w:val="00027B66"/>
    <w:rsid w:val="00027E17"/>
    <w:rsid w:val="00027EAF"/>
    <w:rsid w:val="000300A9"/>
    <w:rsid w:val="000300F5"/>
    <w:rsid w:val="00030683"/>
    <w:rsid w:val="00030DA7"/>
    <w:rsid w:val="00031140"/>
    <w:rsid w:val="000312C5"/>
    <w:rsid w:val="00031834"/>
    <w:rsid w:val="00031A1E"/>
    <w:rsid w:val="00031B30"/>
    <w:rsid w:val="00031C41"/>
    <w:rsid w:val="00031CB3"/>
    <w:rsid w:val="00031CFC"/>
    <w:rsid w:val="00031E02"/>
    <w:rsid w:val="00031F72"/>
    <w:rsid w:val="00031FF8"/>
    <w:rsid w:val="00032184"/>
    <w:rsid w:val="000321A3"/>
    <w:rsid w:val="00032725"/>
    <w:rsid w:val="00032778"/>
    <w:rsid w:val="00032851"/>
    <w:rsid w:val="00032B75"/>
    <w:rsid w:val="00032BDB"/>
    <w:rsid w:val="00032DAE"/>
    <w:rsid w:val="0003318D"/>
    <w:rsid w:val="00033196"/>
    <w:rsid w:val="000333AC"/>
    <w:rsid w:val="000335AC"/>
    <w:rsid w:val="00033631"/>
    <w:rsid w:val="0003372E"/>
    <w:rsid w:val="0003383C"/>
    <w:rsid w:val="00033869"/>
    <w:rsid w:val="00033C9D"/>
    <w:rsid w:val="00033E12"/>
    <w:rsid w:val="00034129"/>
    <w:rsid w:val="00034151"/>
    <w:rsid w:val="00034F5F"/>
    <w:rsid w:val="0003517D"/>
    <w:rsid w:val="00035292"/>
    <w:rsid w:val="0003530C"/>
    <w:rsid w:val="00035503"/>
    <w:rsid w:val="00035818"/>
    <w:rsid w:val="00035AAF"/>
    <w:rsid w:val="00035AB2"/>
    <w:rsid w:val="00035C4B"/>
    <w:rsid w:val="00035F77"/>
    <w:rsid w:val="00035FDE"/>
    <w:rsid w:val="000362EE"/>
    <w:rsid w:val="0003678C"/>
    <w:rsid w:val="00036A0E"/>
    <w:rsid w:val="00036A65"/>
    <w:rsid w:val="00036DAD"/>
    <w:rsid w:val="00036DC8"/>
    <w:rsid w:val="000371DC"/>
    <w:rsid w:val="000378D8"/>
    <w:rsid w:val="00037D63"/>
    <w:rsid w:val="00037D9D"/>
    <w:rsid w:val="000401D5"/>
    <w:rsid w:val="000402C7"/>
    <w:rsid w:val="0004087B"/>
    <w:rsid w:val="00040BB4"/>
    <w:rsid w:val="00040D9A"/>
    <w:rsid w:val="0004128F"/>
    <w:rsid w:val="000412DE"/>
    <w:rsid w:val="00041348"/>
    <w:rsid w:val="00041661"/>
    <w:rsid w:val="00041699"/>
    <w:rsid w:val="00041897"/>
    <w:rsid w:val="00041CBE"/>
    <w:rsid w:val="00041E03"/>
    <w:rsid w:val="00041E5B"/>
    <w:rsid w:val="00041E69"/>
    <w:rsid w:val="00041F37"/>
    <w:rsid w:val="0004202F"/>
    <w:rsid w:val="000426FA"/>
    <w:rsid w:val="00042956"/>
    <w:rsid w:val="00042960"/>
    <w:rsid w:val="00042D00"/>
    <w:rsid w:val="00042D12"/>
    <w:rsid w:val="00042D2C"/>
    <w:rsid w:val="0004371F"/>
    <w:rsid w:val="000437ED"/>
    <w:rsid w:val="00043C5C"/>
    <w:rsid w:val="00044007"/>
    <w:rsid w:val="00044135"/>
    <w:rsid w:val="00044517"/>
    <w:rsid w:val="000445CF"/>
    <w:rsid w:val="000448AF"/>
    <w:rsid w:val="00044A59"/>
    <w:rsid w:val="00044E82"/>
    <w:rsid w:val="000457F7"/>
    <w:rsid w:val="0004591A"/>
    <w:rsid w:val="00045A03"/>
    <w:rsid w:val="00045C1A"/>
    <w:rsid w:val="00045E3A"/>
    <w:rsid w:val="00045E90"/>
    <w:rsid w:val="000460C1"/>
    <w:rsid w:val="00046678"/>
    <w:rsid w:val="000469C2"/>
    <w:rsid w:val="000469F0"/>
    <w:rsid w:val="00046A43"/>
    <w:rsid w:val="00046ADD"/>
    <w:rsid w:val="00046E42"/>
    <w:rsid w:val="00046E8E"/>
    <w:rsid w:val="0004706E"/>
    <w:rsid w:val="00047261"/>
    <w:rsid w:val="0004741D"/>
    <w:rsid w:val="0004749B"/>
    <w:rsid w:val="000474C4"/>
    <w:rsid w:val="0004761F"/>
    <w:rsid w:val="00047625"/>
    <w:rsid w:val="000477B4"/>
    <w:rsid w:val="00047C7E"/>
    <w:rsid w:val="00050889"/>
    <w:rsid w:val="00050C40"/>
    <w:rsid w:val="00050D4F"/>
    <w:rsid w:val="00050E4B"/>
    <w:rsid w:val="00050F21"/>
    <w:rsid w:val="00051047"/>
    <w:rsid w:val="000511AB"/>
    <w:rsid w:val="000511C6"/>
    <w:rsid w:val="000511CD"/>
    <w:rsid w:val="00051431"/>
    <w:rsid w:val="0005150D"/>
    <w:rsid w:val="000519E8"/>
    <w:rsid w:val="00051D4F"/>
    <w:rsid w:val="00051DA8"/>
    <w:rsid w:val="000520C4"/>
    <w:rsid w:val="0005228C"/>
    <w:rsid w:val="00052695"/>
    <w:rsid w:val="00052AAF"/>
    <w:rsid w:val="000534E4"/>
    <w:rsid w:val="00053936"/>
    <w:rsid w:val="00053CDB"/>
    <w:rsid w:val="00053DEF"/>
    <w:rsid w:val="000540E4"/>
    <w:rsid w:val="00054415"/>
    <w:rsid w:val="00054B39"/>
    <w:rsid w:val="00054D33"/>
    <w:rsid w:val="00054DF2"/>
    <w:rsid w:val="00054FE2"/>
    <w:rsid w:val="0005531D"/>
    <w:rsid w:val="00055843"/>
    <w:rsid w:val="00055AB9"/>
    <w:rsid w:val="00055B92"/>
    <w:rsid w:val="000562A1"/>
    <w:rsid w:val="0005649B"/>
    <w:rsid w:val="000567B1"/>
    <w:rsid w:val="00056E6D"/>
    <w:rsid w:val="00056F7F"/>
    <w:rsid w:val="00056F8D"/>
    <w:rsid w:val="00057017"/>
    <w:rsid w:val="00057182"/>
    <w:rsid w:val="000571A5"/>
    <w:rsid w:val="000571E8"/>
    <w:rsid w:val="000571FE"/>
    <w:rsid w:val="0005744B"/>
    <w:rsid w:val="000574C4"/>
    <w:rsid w:val="00057580"/>
    <w:rsid w:val="000575E3"/>
    <w:rsid w:val="0005775A"/>
    <w:rsid w:val="0005779E"/>
    <w:rsid w:val="0005780C"/>
    <w:rsid w:val="00057825"/>
    <w:rsid w:val="00057829"/>
    <w:rsid w:val="00057CE0"/>
    <w:rsid w:val="00060638"/>
    <w:rsid w:val="00060895"/>
    <w:rsid w:val="00060AD7"/>
    <w:rsid w:val="00061516"/>
    <w:rsid w:val="00061527"/>
    <w:rsid w:val="00061863"/>
    <w:rsid w:val="00061A42"/>
    <w:rsid w:val="00061A6B"/>
    <w:rsid w:val="00061D04"/>
    <w:rsid w:val="00061E65"/>
    <w:rsid w:val="0006255C"/>
    <w:rsid w:val="0006293F"/>
    <w:rsid w:val="00062E70"/>
    <w:rsid w:val="00063369"/>
    <w:rsid w:val="00063624"/>
    <w:rsid w:val="0006391A"/>
    <w:rsid w:val="00063AE8"/>
    <w:rsid w:val="00063D47"/>
    <w:rsid w:val="00063F45"/>
    <w:rsid w:val="00064442"/>
    <w:rsid w:val="000646D9"/>
    <w:rsid w:val="00064850"/>
    <w:rsid w:val="0006497B"/>
    <w:rsid w:val="00064D6B"/>
    <w:rsid w:val="00064D8C"/>
    <w:rsid w:val="00064E43"/>
    <w:rsid w:val="000650DC"/>
    <w:rsid w:val="00065362"/>
    <w:rsid w:val="00065673"/>
    <w:rsid w:val="0006612A"/>
    <w:rsid w:val="00066352"/>
    <w:rsid w:val="00066652"/>
    <w:rsid w:val="000667F9"/>
    <w:rsid w:val="00066896"/>
    <w:rsid w:val="0006699E"/>
    <w:rsid w:val="00066EEA"/>
    <w:rsid w:val="00066F66"/>
    <w:rsid w:val="00067050"/>
    <w:rsid w:val="00067089"/>
    <w:rsid w:val="0006718A"/>
    <w:rsid w:val="0006736E"/>
    <w:rsid w:val="00067766"/>
    <w:rsid w:val="000678B7"/>
    <w:rsid w:val="00067D33"/>
    <w:rsid w:val="0007000A"/>
    <w:rsid w:val="0007003E"/>
    <w:rsid w:val="000706A7"/>
    <w:rsid w:val="000707DB"/>
    <w:rsid w:val="00070953"/>
    <w:rsid w:val="00070E33"/>
    <w:rsid w:val="000712D3"/>
    <w:rsid w:val="00071358"/>
    <w:rsid w:val="00071471"/>
    <w:rsid w:val="0007166D"/>
    <w:rsid w:val="000716E1"/>
    <w:rsid w:val="000717D1"/>
    <w:rsid w:val="000717F5"/>
    <w:rsid w:val="00071DEC"/>
    <w:rsid w:val="000728C0"/>
    <w:rsid w:val="00072FEF"/>
    <w:rsid w:val="00073198"/>
    <w:rsid w:val="00073236"/>
    <w:rsid w:val="0007379F"/>
    <w:rsid w:val="00073833"/>
    <w:rsid w:val="00073B84"/>
    <w:rsid w:val="00073BE5"/>
    <w:rsid w:val="00073DB4"/>
    <w:rsid w:val="00073F95"/>
    <w:rsid w:val="0007430C"/>
    <w:rsid w:val="00074518"/>
    <w:rsid w:val="00074904"/>
    <w:rsid w:val="000749A9"/>
    <w:rsid w:val="00074BCD"/>
    <w:rsid w:val="00074D57"/>
    <w:rsid w:val="00074D5E"/>
    <w:rsid w:val="0007521C"/>
    <w:rsid w:val="00075665"/>
    <w:rsid w:val="000758CD"/>
    <w:rsid w:val="00075949"/>
    <w:rsid w:val="00075BF4"/>
    <w:rsid w:val="000767C6"/>
    <w:rsid w:val="00076F5A"/>
    <w:rsid w:val="00076FE4"/>
    <w:rsid w:val="000772F2"/>
    <w:rsid w:val="000774FB"/>
    <w:rsid w:val="0007766D"/>
    <w:rsid w:val="0007778D"/>
    <w:rsid w:val="00077833"/>
    <w:rsid w:val="00077898"/>
    <w:rsid w:val="00077930"/>
    <w:rsid w:val="00077970"/>
    <w:rsid w:val="00077A1F"/>
    <w:rsid w:val="00077A4C"/>
    <w:rsid w:val="00077E6E"/>
    <w:rsid w:val="00077F25"/>
    <w:rsid w:val="0008013D"/>
    <w:rsid w:val="000801F8"/>
    <w:rsid w:val="00080328"/>
    <w:rsid w:val="0008039E"/>
    <w:rsid w:val="000805E7"/>
    <w:rsid w:val="00080D6F"/>
    <w:rsid w:val="00080F04"/>
    <w:rsid w:val="00080F35"/>
    <w:rsid w:val="00080FEF"/>
    <w:rsid w:val="00081012"/>
    <w:rsid w:val="0008101A"/>
    <w:rsid w:val="00081397"/>
    <w:rsid w:val="0008139E"/>
    <w:rsid w:val="0008155E"/>
    <w:rsid w:val="000815AC"/>
    <w:rsid w:val="00081614"/>
    <w:rsid w:val="0008176C"/>
    <w:rsid w:val="0008184D"/>
    <w:rsid w:val="00081951"/>
    <w:rsid w:val="00081AA2"/>
    <w:rsid w:val="00081C1C"/>
    <w:rsid w:val="00081C24"/>
    <w:rsid w:val="00081F25"/>
    <w:rsid w:val="000822C9"/>
    <w:rsid w:val="00082431"/>
    <w:rsid w:val="00082563"/>
    <w:rsid w:val="00082675"/>
    <w:rsid w:val="0008272B"/>
    <w:rsid w:val="0008275A"/>
    <w:rsid w:val="000827D2"/>
    <w:rsid w:val="00082BC6"/>
    <w:rsid w:val="00082F47"/>
    <w:rsid w:val="00082FC1"/>
    <w:rsid w:val="000832A3"/>
    <w:rsid w:val="000834C3"/>
    <w:rsid w:val="000838FE"/>
    <w:rsid w:val="00084112"/>
    <w:rsid w:val="000842DE"/>
    <w:rsid w:val="0008432E"/>
    <w:rsid w:val="00084A31"/>
    <w:rsid w:val="00084AF5"/>
    <w:rsid w:val="00084C09"/>
    <w:rsid w:val="00085213"/>
    <w:rsid w:val="0008524C"/>
    <w:rsid w:val="00085792"/>
    <w:rsid w:val="00085D08"/>
    <w:rsid w:val="00085E35"/>
    <w:rsid w:val="00085E48"/>
    <w:rsid w:val="00085E5E"/>
    <w:rsid w:val="00085ECB"/>
    <w:rsid w:val="00085EDC"/>
    <w:rsid w:val="00086189"/>
    <w:rsid w:val="00086385"/>
    <w:rsid w:val="000864A9"/>
    <w:rsid w:val="000869D1"/>
    <w:rsid w:val="00086AF3"/>
    <w:rsid w:val="00086DBE"/>
    <w:rsid w:val="000871D2"/>
    <w:rsid w:val="0008788A"/>
    <w:rsid w:val="00087B30"/>
    <w:rsid w:val="00087B38"/>
    <w:rsid w:val="00087F99"/>
    <w:rsid w:val="00090005"/>
    <w:rsid w:val="000903D5"/>
    <w:rsid w:val="000906D6"/>
    <w:rsid w:val="00090919"/>
    <w:rsid w:val="00090A1E"/>
    <w:rsid w:val="00090C7E"/>
    <w:rsid w:val="00091843"/>
    <w:rsid w:val="00091852"/>
    <w:rsid w:val="000928E9"/>
    <w:rsid w:val="00092957"/>
    <w:rsid w:val="00092AB8"/>
    <w:rsid w:val="00092D06"/>
    <w:rsid w:val="00092FBC"/>
    <w:rsid w:val="000930D0"/>
    <w:rsid w:val="0009323B"/>
    <w:rsid w:val="000936EC"/>
    <w:rsid w:val="00093A08"/>
    <w:rsid w:val="0009406A"/>
    <w:rsid w:val="000940FF"/>
    <w:rsid w:val="000941EA"/>
    <w:rsid w:val="000941FE"/>
    <w:rsid w:val="0009420A"/>
    <w:rsid w:val="0009472F"/>
    <w:rsid w:val="00094B39"/>
    <w:rsid w:val="00094DD1"/>
    <w:rsid w:val="000951C4"/>
    <w:rsid w:val="000954BD"/>
    <w:rsid w:val="000954E7"/>
    <w:rsid w:val="000955C8"/>
    <w:rsid w:val="000957A2"/>
    <w:rsid w:val="00095887"/>
    <w:rsid w:val="00095B06"/>
    <w:rsid w:val="00095C78"/>
    <w:rsid w:val="00095CA3"/>
    <w:rsid w:val="00095E6B"/>
    <w:rsid w:val="0009668E"/>
    <w:rsid w:val="00096718"/>
    <w:rsid w:val="00096CA5"/>
    <w:rsid w:val="00096EAC"/>
    <w:rsid w:val="000970AC"/>
    <w:rsid w:val="000972A9"/>
    <w:rsid w:val="00097537"/>
    <w:rsid w:val="000A0139"/>
    <w:rsid w:val="000A0544"/>
    <w:rsid w:val="000A063A"/>
    <w:rsid w:val="000A0745"/>
    <w:rsid w:val="000A0B26"/>
    <w:rsid w:val="000A0C48"/>
    <w:rsid w:val="000A0E58"/>
    <w:rsid w:val="000A100D"/>
    <w:rsid w:val="000A1023"/>
    <w:rsid w:val="000A10B7"/>
    <w:rsid w:val="000A1238"/>
    <w:rsid w:val="000A1627"/>
    <w:rsid w:val="000A164F"/>
    <w:rsid w:val="000A19EF"/>
    <w:rsid w:val="000A210B"/>
    <w:rsid w:val="000A2221"/>
    <w:rsid w:val="000A24B8"/>
    <w:rsid w:val="000A2722"/>
    <w:rsid w:val="000A2AD4"/>
    <w:rsid w:val="000A2B34"/>
    <w:rsid w:val="000A2DB2"/>
    <w:rsid w:val="000A33E4"/>
    <w:rsid w:val="000A35A5"/>
    <w:rsid w:val="000A3927"/>
    <w:rsid w:val="000A4550"/>
    <w:rsid w:val="000A4745"/>
    <w:rsid w:val="000A481F"/>
    <w:rsid w:val="000A49B6"/>
    <w:rsid w:val="000A49FC"/>
    <w:rsid w:val="000A4E1C"/>
    <w:rsid w:val="000A4E83"/>
    <w:rsid w:val="000A50A2"/>
    <w:rsid w:val="000A5195"/>
    <w:rsid w:val="000A5222"/>
    <w:rsid w:val="000A52AF"/>
    <w:rsid w:val="000A53BF"/>
    <w:rsid w:val="000A54DF"/>
    <w:rsid w:val="000A5621"/>
    <w:rsid w:val="000A5D69"/>
    <w:rsid w:val="000A5DC1"/>
    <w:rsid w:val="000A63AF"/>
    <w:rsid w:val="000A675C"/>
    <w:rsid w:val="000A689C"/>
    <w:rsid w:val="000A6B64"/>
    <w:rsid w:val="000A6CAB"/>
    <w:rsid w:val="000A6F65"/>
    <w:rsid w:val="000A72CA"/>
    <w:rsid w:val="000A7869"/>
    <w:rsid w:val="000A7A47"/>
    <w:rsid w:val="000A7A8E"/>
    <w:rsid w:val="000A7D2B"/>
    <w:rsid w:val="000A7E21"/>
    <w:rsid w:val="000A7EC7"/>
    <w:rsid w:val="000A7FF0"/>
    <w:rsid w:val="000B0715"/>
    <w:rsid w:val="000B07E6"/>
    <w:rsid w:val="000B09C3"/>
    <w:rsid w:val="000B0C6F"/>
    <w:rsid w:val="000B1C2C"/>
    <w:rsid w:val="000B202C"/>
    <w:rsid w:val="000B2249"/>
    <w:rsid w:val="000B2789"/>
    <w:rsid w:val="000B2F88"/>
    <w:rsid w:val="000B3292"/>
    <w:rsid w:val="000B3421"/>
    <w:rsid w:val="000B37F9"/>
    <w:rsid w:val="000B381B"/>
    <w:rsid w:val="000B3957"/>
    <w:rsid w:val="000B39A5"/>
    <w:rsid w:val="000B3A80"/>
    <w:rsid w:val="000B3B7E"/>
    <w:rsid w:val="000B3BAF"/>
    <w:rsid w:val="000B434D"/>
    <w:rsid w:val="000B43C0"/>
    <w:rsid w:val="000B43D6"/>
    <w:rsid w:val="000B4760"/>
    <w:rsid w:val="000B48FD"/>
    <w:rsid w:val="000B4B98"/>
    <w:rsid w:val="000B4BD2"/>
    <w:rsid w:val="000B4C26"/>
    <w:rsid w:val="000B4CB7"/>
    <w:rsid w:val="000B50D3"/>
    <w:rsid w:val="000B57BF"/>
    <w:rsid w:val="000B5A2F"/>
    <w:rsid w:val="000B5A36"/>
    <w:rsid w:val="000B5C22"/>
    <w:rsid w:val="000B5C59"/>
    <w:rsid w:val="000B6400"/>
    <w:rsid w:val="000B650F"/>
    <w:rsid w:val="000B661F"/>
    <w:rsid w:val="000B6945"/>
    <w:rsid w:val="000B6A76"/>
    <w:rsid w:val="000B6B14"/>
    <w:rsid w:val="000B6C27"/>
    <w:rsid w:val="000B6E6E"/>
    <w:rsid w:val="000B6ED6"/>
    <w:rsid w:val="000B6F6B"/>
    <w:rsid w:val="000B6F97"/>
    <w:rsid w:val="000B6FFC"/>
    <w:rsid w:val="000B745F"/>
    <w:rsid w:val="000B7919"/>
    <w:rsid w:val="000B7C5B"/>
    <w:rsid w:val="000B7EF8"/>
    <w:rsid w:val="000C0270"/>
    <w:rsid w:val="000C0509"/>
    <w:rsid w:val="000C0818"/>
    <w:rsid w:val="000C0996"/>
    <w:rsid w:val="000C09AF"/>
    <w:rsid w:val="000C0A24"/>
    <w:rsid w:val="000C0A36"/>
    <w:rsid w:val="000C0A71"/>
    <w:rsid w:val="000C0B24"/>
    <w:rsid w:val="000C0B3A"/>
    <w:rsid w:val="000C117F"/>
    <w:rsid w:val="000C122C"/>
    <w:rsid w:val="000C1346"/>
    <w:rsid w:val="000C16BA"/>
    <w:rsid w:val="000C177A"/>
    <w:rsid w:val="000C1F3F"/>
    <w:rsid w:val="000C20FC"/>
    <w:rsid w:val="000C22FF"/>
    <w:rsid w:val="000C2476"/>
    <w:rsid w:val="000C25B0"/>
    <w:rsid w:val="000C262D"/>
    <w:rsid w:val="000C277D"/>
    <w:rsid w:val="000C2894"/>
    <w:rsid w:val="000C29BA"/>
    <w:rsid w:val="000C29C1"/>
    <w:rsid w:val="000C2BF3"/>
    <w:rsid w:val="000C2C1F"/>
    <w:rsid w:val="000C2CC1"/>
    <w:rsid w:val="000C2E74"/>
    <w:rsid w:val="000C3055"/>
    <w:rsid w:val="000C31F3"/>
    <w:rsid w:val="000C32B3"/>
    <w:rsid w:val="000C337F"/>
    <w:rsid w:val="000C389D"/>
    <w:rsid w:val="000C3906"/>
    <w:rsid w:val="000C3BAC"/>
    <w:rsid w:val="000C3E51"/>
    <w:rsid w:val="000C401C"/>
    <w:rsid w:val="000C44AC"/>
    <w:rsid w:val="000C4513"/>
    <w:rsid w:val="000C46A9"/>
    <w:rsid w:val="000C4771"/>
    <w:rsid w:val="000C490A"/>
    <w:rsid w:val="000C4EF1"/>
    <w:rsid w:val="000C4F06"/>
    <w:rsid w:val="000C5091"/>
    <w:rsid w:val="000C53F5"/>
    <w:rsid w:val="000C5503"/>
    <w:rsid w:val="000C550A"/>
    <w:rsid w:val="000C5721"/>
    <w:rsid w:val="000C58D9"/>
    <w:rsid w:val="000C59C6"/>
    <w:rsid w:val="000C59CE"/>
    <w:rsid w:val="000C62AF"/>
    <w:rsid w:val="000C634E"/>
    <w:rsid w:val="000C64C0"/>
    <w:rsid w:val="000C6519"/>
    <w:rsid w:val="000C6601"/>
    <w:rsid w:val="000C6626"/>
    <w:rsid w:val="000C671D"/>
    <w:rsid w:val="000C6761"/>
    <w:rsid w:val="000C67DA"/>
    <w:rsid w:val="000C68C9"/>
    <w:rsid w:val="000C6A4A"/>
    <w:rsid w:val="000C6D65"/>
    <w:rsid w:val="000C6ECB"/>
    <w:rsid w:val="000C78BF"/>
    <w:rsid w:val="000C7A68"/>
    <w:rsid w:val="000C7C89"/>
    <w:rsid w:val="000C7CC8"/>
    <w:rsid w:val="000C7D0D"/>
    <w:rsid w:val="000D041E"/>
    <w:rsid w:val="000D0609"/>
    <w:rsid w:val="000D0748"/>
    <w:rsid w:val="000D0AA8"/>
    <w:rsid w:val="000D0B04"/>
    <w:rsid w:val="000D14DE"/>
    <w:rsid w:val="000D192B"/>
    <w:rsid w:val="000D1B29"/>
    <w:rsid w:val="000D1CFA"/>
    <w:rsid w:val="000D20DA"/>
    <w:rsid w:val="000D27DE"/>
    <w:rsid w:val="000D285D"/>
    <w:rsid w:val="000D334B"/>
    <w:rsid w:val="000D384E"/>
    <w:rsid w:val="000D38AE"/>
    <w:rsid w:val="000D3A43"/>
    <w:rsid w:val="000D3D9C"/>
    <w:rsid w:val="000D3E62"/>
    <w:rsid w:val="000D404C"/>
    <w:rsid w:val="000D408A"/>
    <w:rsid w:val="000D4156"/>
    <w:rsid w:val="000D460D"/>
    <w:rsid w:val="000D487B"/>
    <w:rsid w:val="000D4D35"/>
    <w:rsid w:val="000D5AD6"/>
    <w:rsid w:val="000D61BC"/>
    <w:rsid w:val="000D6752"/>
    <w:rsid w:val="000D67F1"/>
    <w:rsid w:val="000D6BC1"/>
    <w:rsid w:val="000D72E5"/>
    <w:rsid w:val="000D73D6"/>
    <w:rsid w:val="000D790D"/>
    <w:rsid w:val="000D797E"/>
    <w:rsid w:val="000D7A26"/>
    <w:rsid w:val="000D7C44"/>
    <w:rsid w:val="000D7E21"/>
    <w:rsid w:val="000D7FB0"/>
    <w:rsid w:val="000E0598"/>
    <w:rsid w:val="000E073F"/>
    <w:rsid w:val="000E0790"/>
    <w:rsid w:val="000E0A00"/>
    <w:rsid w:val="000E0EDE"/>
    <w:rsid w:val="000E109D"/>
    <w:rsid w:val="000E1114"/>
    <w:rsid w:val="000E1268"/>
    <w:rsid w:val="000E1277"/>
    <w:rsid w:val="000E12CB"/>
    <w:rsid w:val="000E1301"/>
    <w:rsid w:val="000E1437"/>
    <w:rsid w:val="000E149D"/>
    <w:rsid w:val="000E1501"/>
    <w:rsid w:val="000E178E"/>
    <w:rsid w:val="000E1828"/>
    <w:rsid w:val="000E1ADB"/>
    <w:rsid w:val="000E1C2C"/>
    <w:rsid w:val="000E1FA6"/>
    <w:rsid w:val="000E218C"/>
    <w:rsid w:val="000E25B5"/>
    <w:rsid w:val="000E25D9"/>
    <w:rsid w:val="000E2674"/>
    <w:rsid w:val="000E32E5"/>
    <w:rsid w:val="000E32F1"/>
    <w:rsid w:val="000E3AE1"/>
    <w:rsid w:val="000E3F5D"/>
    <w:rsid w:val="000E4399"/>
    <w:rsid w:val="000E49C8"/>
    <w:rsid w:val="000E4A5D"/>
    <w:rsid w:val="000E50C5"/>
    <w:rsid w:val="000E50CC"/>
    <w:rsid w:val="000E5276"/>
    <w:rsid w:val="000E5454"/>
    <w:rsid w:val="000E5824"/>
    <w:rsid w:val="000E5A2D"/>
    <w:rsid w:val="000E6192"/>
    <w:rsid w:val="000E6285"/>
    <w:rsid w:val="000E6356"/>
    <w:rsid w:val="000E65E4"/>
    <w:rsid w:val="000E6763"/>
    <w:rsid w:val="000E6AA4"/>
    <w:rsid w:val="000E6C40"/>
    <w:rsid w:val="000E6D02"/>
    <w:rsid w:val="000E6D97"/>
    <w:rsid w:val="000E7252"/>
    <w:rsid w:val="000E73EF"/>
    <w:rsid w:val="000E751E"/>
    <w:rsid w:val="000E75AB"/>
    <w:rsid w:val="000E778A"/>
    <w:rsid w:val="000E780E"/>
    <w:rsid w:val="000E78F9"/>
    <w:rsid w:val="000E7AE6"/>
    <w:rsid w:val="000E7B60"/>
    <w:rsid w:val="000F013D"/>
    <w:rsid w:val="000F0536"/>
    <w:rsid w:val="000F058D"/>
    <w:rsid w:val="000F071C"/>
    <w:rsid w:val="000F07D2"/>
    <w:rsid w:val="000F11E8"/>
    <w:rsid w:val="000F15A7"/>
    <w:rsid w:val="000F1659"/>
    <w:rsid w:val="000F1734"/>
    <w:rsid w:val="000F17B8"/>
    <w:rsid w:val="000F19B6"/>
    <w:rsid w:val="000F1B68"/>
    <w:rsid w:val="000F1B9A"/>
    <w:rsid w:val="000F1D1D"/>
    <w:rsid w:val="000F2040"/>
    <w:rsid w:val="000F2093"/>
    <w:rsid w:val="000F21E3"/>
    <w:rsid w:val="000F23B8"/>
    <w:rsid w:val="000F296B"/>
    <w:rsid w:val="000F2BDB"/>
    <w:rsid w:val="000F2D92"/>
    <w:rsid w:val="000F2E0E"/>
    <w:rsid w:val="000F2E57"/>
    <w:rsid w:val="000F2F68"/>
    <w:rsid w:val="000F3411"/>
    <w:rsid w:val="000F3563"/>
    <w:rsid w:val="000F3657"/>
    <w:rsid w:val="000F376D"/>
    <w:rsid w:val="000F3908"/>
    <w:rsid w:val="000F3A8E"/>
    <w:rsid w:val="000F3B00"/>
    <w:rsid w:val="000F3CAF"/>
    <w:rsid w:val="000F3EFC"/>
    <w:rsid w:val="000F41D0"/>
    <w:rsid w:val="000F435B"/>
    <w:rsid w:val="000F4404"/>
    <w:rsid w:val="000F4478"/>
    <w:rsid w:val="000F458D"/>
    <w:rsid w:val="000F4984"/>
    <w:rsid w:val="000F49BB"/>
    <w:rsid w:val="000F5072"/>
    <w:rsid w:val="000F50A0"/>
    <w:rsid w:val="000F5159"/>
    <w:rsid w:val="000F52AF"/>
    <w:rsid w:val="000F52BB"/>
    <w:rsid w:val="000F53B8"/>
    <w:rsid w:val="000F5588"/>
    <w:rsid w:val="000F5678"/>
    <w:rsid w:val="000F5782"/>
    <w:rsid w:val="000F5900"/>
    <w:rsid w:val="000F59ED"/>
    <w:rsid w:val="000F5FE2"/>
    <w:rsid w:val="000F600C"/>
    <w:rsid w:val="000F62C2"/>
    <w:rsid w:val="000F6624"/>
    <w:rsid w:val="000F6625"/>
    <w:rsid w:val="000F6704"/>
    <w:rsid w:val="000F6D9C"/>
    <w:rsid w:val="000F6F35"/>
    <w:rsid w:val="000F7499"/>
    <w:rsid w:val="000F750A"/>
    <w:rsid w:val="000F78EE"/>
    <w:rsid w:val="000F79A7"/>
    <w:rsid w:val="000F7D47"/>
    <w:rsid w:val="000F7E34"/>
    <w:rsid w:val="000F7F17"/>
    <w:rsid w:val="00100011"/>
    <w:rsid w:val="00100047"/>
    <w:rsid w:val="001001EF"/>
    <w:rsid w:val="001004D6"/>
    <w:rsid w:val="00100544"/>
    <w:rsid w:val="00100BD3"/>
    <w:rsid w:val="00100C32"/>
    <w:rsid w:val="0010131B"/>
    <w:rsid w:val="0010147B"/>
    <w:rsid w:val="001017FB"/>
    <w:rsid w:val="0010197E"/>
    <w:rsid w:val="00101D55"/>
    <w:rsid w:val="00101E26"/>
    <w:rsid w:val="001020A0"/>
    <w:rsid w:val="00102170"/>
    <w:rsid w:val="0010248E"/>
    <w:rsid w:val="00102498"/>
    <w:rsid w:val="00102835"/>
    <w:rsid w:val="00102ECF"/>
    <w:rsid w:val="00102FFF"/>
    <w:rsid w:val="00103047"/>
    <w:rsid w:val="0010319F"/>
    <w:rsid w:val="0010389F"/>
    <w:rsid w:val="001039F9"/>
    <w:rsid w:val="00103C3C"/>
    <w:rsid w:val="00104050"/>
    <w:rsid w:val="0010425F"/>
    <w:rsid w:val="00104347"/>
    <w:rsid w:val="0010443A"/>
    <w:rsid w:val="001045EA"/>
    <w:rsid w:val="00104632"/>
    <w:rsid w:val="0010489A"/>
    <w:rsid w:val="00104CD6"/>
    <w:rsid w:val="00104F38"/>
    <w:rsid w:val="0010516B"/>
    <w:rsid w:val="001052BD"/>
    <w:rsid w:val="001054DC"/>
    <w:rsid w:val="0010566B"/>
    <w:rsid w:val="00105A24"/>
    <w:rsid w:val="001062EE"/>
    <w:rsid w:val="0010632B"/>
    <w:rsid w:val="0010666E"/>
    <w:rsid w:val="00106CD0"/>
    <w:rsid w:val="00107234"/>
    <w:rsid w:val="0010725E"/>
    <w:rsid w:val="00107433"/>
    <w:rsid w:val="001074DD"/>
    <w:rsid w:val="00107533"/>
    <w:rsid w:val="001075A0"/>
    <w:rsid w:val="001075B0"/>
    <w:rsid w:val="001075CD"/>
    <w:rsid w:val="0010785B"/>
    <w:rsid w:val="00107921"/>
    <w:rsid w:val="00107BAD"/>
    <w:rsid w:val="00107D74"/>
    <w:rsid w:val="00107E90"/>
    <w:rsid w:val="00110BFB"/>
    <w:rsid w:val="00110C13"/>
    <w:rsid w:val="00110E95"/>
    <w:rsid w:val="00110F0A"/>
    <w:rsid w:val="00111147"/>
    <w:rsid w:val="001113C6"/>
    <w:rsid w:val="00111B03"/>
    <w:rsid w:val="00111D38"/>
    <w:rsid w:val="00111ED4"/>
    <w:rsid w:val="00111EF5"/>
    <w:rsid w:val="0011234A"/>
    <w:rsid w:val="001126AD"/>
    <w:rsid w:val="001127CC"/>
    <w:rsid w:val="00112980"/>
    <w:rsid w:val="00112A44"/>
    <w:rsid w:val="00112CC7"/>
    <w:rsid w:val="00112E95"/>
    <w:rsid w:val="00113226"/>
    <w:rsid w:val="001133D8"/>
    <w:rsid w:val="0011346F"/>
    <w:rsid w:val="0011347F"/>
    <w:rsid w:val="00113576"/>
    <w:rsid w:val="001135E7"/>
    <w:rsid w:val="001138F2"/>
    <w:rsid w:val="00113A71"/>
    <w:rsid w:val="00113D19"/>
    <w:rsid w:val="00113DB6"/>
    <w:rsid w:val="00114271"/>
    <w:rsid w:val="001145BF"/>
    <w:rsid w:val="001148E3"/>
    <w:rsid w:val="00114CB6"/>
    <w:rsid w:val="00114EC7"/>
    <w:rsid w:val="00115034"/>
    <w:rsid w:val="00115431"/>
    <w:rsid w:val="001158AE"/>
    <w:rsid w:val="001158BB"/>
    <w:rsid w:val="00115970"/>
    <w:rsid w:val="001159A2"/>
    <w:rsid w:val="00115A02"/>
    <w:rsid w:val="00115A49"/>
    <w:rsid w:val="00115D3C"/>
    <w:rsid w:val="00115EF0"/>
    <w:rsid w:val="001163A3"/>
    <w:rsid w:val="001163DD"/>
    <w:rsid w:val="0011676E"/>
    <w:rsid w:val="00116A04"/>
    <w:rsid w:val="00116DB0"/>
    <w:rsid w:val="0011725F"/>
    <w:rsid w:val="00117416"/>
    <w:rsid w:val="00117ADE"/>
    <w:rsid w:val="00117F39"/>
    <w:rsid w:val="00120315"/>
    <w:rsid w:val="00120681"/>
    <w:rsid w:val="0012076D"/>
    <w:rsid w:val="00120AF1"/>
    <w:rsid w:val="00120B0B"/>
    <w:rsid w:val="00120C6E"/>
    <w:rsid w:val="0012122D"/>
    <w:rsid w:val="00121406"/>
    <w:rsid w:val="00121857"/>
    <w:rsid w:val="001218ED"/>
    <w:rsid w:val="00121BB8"/>
    <w:rsid w:val="00121C67"/>
    <w:rsid w:val="00121DC2"/>
    <w:rsid w:val="00122292"/>
    <w:rsid w:val="001222EE"/>
    <w:rsid w:val="00122705"/>
    <w:rsid w:val="00122A09"/>
    <w:rsid w:val="00122B8C"/>
    <w:rsid w:val="00123315"/>
    <w:rsid w:val="00123382"/>
    <w:rsid w:val="00123474"/>
    <w:rsid w:val="00123865"/>
    <w:rsid w:val="00123869"/>
    <w:rsid w:val="00123A36"/>
    <w:rsid w:val="00123AC0"/>
    <w:rsid w:val="00123DAA"/>
    <w:rsid w:val="00124280"/>
    <w:rsid w:val="0012434C"/>
    <w:rsid w:val="00124915"/>
    <w:rsid w:val="00124BC0"/>
    <w:rsid w:val="00124C6F"/>
    <w:rsid w:val="00124DBE"/>
    <w:rsid w:val="00124FAF"/>
    <w:rsid w:val="0012513B"/>
    <w:rsid w:val="001253EB"/>
    <w:rsid w:val="00125415"/>
    <w:rsid w:val="001254C1"/>
    <w:rsid w:val="001254EE"/>
    <w:rsid w:val="001258DF"/>
    <w:rsid w:val="00125D69"/>
    <w:rsid w:val="00126027"/>
    <w:rsid w:val="001261D3"/>
    <w:rsid w:val="0012677E"/>
    <w:rsid w:val="001267D2"/>
    <w:rsid w:val="001268D6"/>
    <w:rsid w:val="001269D4"/>
    <w:rsid w:val="00126AB7"/>
    <w:rsid w:val="00126CC9"/>
    <w:rsid w:val="00126F08"/>
    <w:rsid w:val="00126F4A"/>
    <w:rsid w:val="0012722E"/>
    <w:rsid w:val="00127246"/>
    <w:rsid w:val="00127278"/>
    <w:rsid w:val="00127639"/>
    <w:rsid w:val="00127715"/>
    <w:rsid w:val="00127A35"/>
    <w:rsid w:val="00127A5B"/>
    <w:rsid w:val="00127FB0"/>
    <w:rsid w:val="00130229"/>
    <w:rsid w:val="001304D1"/>
    <w:rsid w:val="001304E9"/>
    <w:rsid w:val="00130647"/>
    <w:rsid w:val="001309EB"/>
    <w:rsid w:val="00130C22"/>
    <w:rsid w:val="0013105E"/>
    <w:rsid w:val="00131177"/>
    <w:rsid w:val="00131201"/>
    <w:rsid w:val="00131282"/>
    <w:rsid w:val="00131347"/>
    <w:rsid w:val="00131410"/>
    <w:rsid w:val="00131590"/>
    <w:rsid w:val="001318B6"/>
    <w:rsid w:val="001319CC"/>
    <w:rsid w:val="00131B66"/>
    <w:rsid w:val="00131F46"/>
    <w:rsid w:val="001320D0"/>
    <w:rsid w:val="00132181"/>
    <w:rsid w:val="00132565"/>
    <w:rsid w:val="001326ED"/>
    <w:rsid w:val="001326FA"/>
    <w:rsid w:val="00132DF5"/>
    <w:rsid w:val="00132EAA"/>
    <w:rsid w:val="00133178"/>
    <w:rsid w:val="00133362"/>
    <w:rsid w:val="00133554"/>
    <w:rsid w:val="00133BA6"/>
    <w:rsid w:val="00133BBD"/>
    <w:rsid w:val="00133C05"/>
    <w:rsid w:val="00133D1F"/>
    <w:rsid w:val="00133F79"/>
    <w:rsid w:val="0013420D"/>
    <w:rsid w:val="00134AEA"/>
    <w:rsid w:val="00134BF9"/>
    <w:rsid w:val="00135209"/>
    <w:rsid w:val="0013520C"/>
    <w:rsid w:val="00135436"/>
    <w:rsid w:val="0013556E"/>
    <w:rsid w:val="001357A7"/>
    <w:rsid w:val="00135921"/>
    <w:rsid w:val="00135A44"/>
    <w:rsid w:val="00135C17"/>
    <w:rsid w:val="00135CF5"/>
    <w:rsid w:val="001360CA"/>
    <w:rsid w:val="001362C8"/>
    <w:rsid w:val="00136458"/>
    <w:rsid w:val="0013665D"/>
    <w:rsid w:val="001367CA"/>
    <w:rsid w:val="0013705B"/>
    <w:rsid w:val="0013782D"/>
    <w:rsid w:val="00137B5D"/>
    <w:rsid w:val="00137EB4"/>
    <w:rsid w:val="00137EDD"/>
    <w:rsid w:val="00137F4C"/>
    <w:rsid w:val="00140028"/>
    <w:rsid w:val="001400D4"/>
    <w:rsid w:val="001402D3"/>
    <w:rsid w:val="00140391"/>
    <w:rsid w:val="001403C0"/>
    <w:rsid w:val="001404EB"/>
    <w:rsid w:val="00140B87"/>
    <w:rsid w:val="00140D12"/>
    <w:rsid w:val="00140FAA"/>
    <w:rsid w:val="00140FBC"/>
    <w:rsid w:val="00141194"/>
    <w:rsid w:val="00141605"/>
    <w:rsid w:val="00141D0F"/>
    <w:rsid w:val="00142076"/>
    <w:rsid w:val="0014215A"/>
    <w:rsid w:val="00142410"/>
    <w:rsid w:val="00142517"/>
    <w:rsid w:val="001429A8"/>
    <w:rsid w:val="00142AEA"/>
    <w:rsid w:val="00142BEA"/>
    <w:rsid w:val="00142CB7"/>
    <w:rsid w:val="00142D08"/>
    <w:rsid w:val="00142E3A"/>
    <w:rsid w:val="00142E4C"/>
    <w:rsid w:val="00142E98"/>
    <w:rsid w:val="00142F00"/>
    <w:rsid w:val="001430EB"/>
    <w:rsid w:val="0014332A"/>
    <w:rsid w:val="00143BC5"/>
    <w:rsid w:val="00143BDE"/>
    <w:rsid w:val="00143C8C"/>
    <w:rsid w:val="00143F1A"/>
    <w:rsid w:val="00144360"/>
    <w:rsid w:val="00144895"/>
    <w:rsid w:val="00144BE6"/>
    <w:rsid w:val="00144DCC"/>
    <w:rsid w:val="0014504B"/>
    <w:rsid w:val="0014543B"/>
    <w:rsid w:val="00145464"/>
    <w:rsid w:val="001455B1"/>
    <w:rsid w:val="00145872"/>
    <w:rsid w:val="00145A85"/>
    <w:rsid w:val="00145D53"/>
    <w:rsid w:val="00145DC1"/>
    <w:rsid w:val="00145F19"/>
    <w:rsid w:val="00146425"/>
    <w:rsid w:val="00146441"/>
    <w:rsid w:val="00146A24"/>
    <w:rsid w:val="00146B55"/>
    <w:rsid w:val="001470A5"/>
    <w:rsid w:val="001470D1"/>
    <w:rsid w:val="0014713B"/>
    <w:rsid w:val="001473F9"/>
    <w:rsid w:val="00147895"/>
    <w:rsid w:val="001500B6"/>
    <w:rsid w:val="0015044A"/>
    <w:rsid w:val="00150826"/>
    <w:rsid w:val="00150C31"/>
    <w:rsid w:val="00150DF0"/>
    <w:rsid w:val="00150FD6"/>
    <w:rsid w:val="00151049"/>
    <w:rsid w:val="00151140"/>
    <w:rsid w:val="0015116D"/>
    <w:rsid w:val="00151316"/>
    <w:rsid w:val="00151609"/>
    <w:rsid w:val="00151716"/>
    <w:rsid w:val="001518EE"/>
    <w:rsid w:val="00151A35"/>
    <w:rsid w:val="00151BB1"/>
    <w:rsid w:val="00151F3A"/>
    <w:rsid w:val="00152428"/>
    <w:rsid w:val="001524EF"/>
    <w:rsid w:val="00152B61"/>
    <w:rsid w:val="00152D7F"/>
    <w:rsid w:val="00152DB5"/>
    <w:rsid w:val="00152EFD"/>
    <w:rsid w:val="001530C1"/>
    <w:rsid w:val="0015316F"/>
    <w:rsid w:val="00153ECF"/>
    <w:rsid w:val="001543D4"/>
    <w:rsid w:val="0015469C"/>
    <w:rsid w:val="001549B9"/>
    <w:rsid w:val="00154AA0"/>
    <w:rsid w:val="00154B6D"/>
    <w:rsid w:val="00154C89"/>
    <w:rsid w:val="00154EA4"/>
    <w:rsid w:val="00154FC2"/>
    <w:rsid w:val="001550D6"/>
    <w:rsid w:val="001550DD"/>
    <w:rsid w:val="001552D6"/>
    <w:rsid w:val="001552FA"/>
    <w:rsid w:val="00155590"/>
    <w:rsid w:val="0015571D"/>
    <w:rsid w:val="00155720"/>
    <w:rsid w:val="00155792"/>
    <w:rsid w:val="00155889"/>
    <w:rsid w:val="00156098"/>
    <w:rsid w:val="001561E0"/>
    <w:rsid w:val="0015636E"/>
    <w:rsid w:val="001563B2"/>
    <w:rsid w:val="0015642A"/>
    <w:rsid w:val="00156A0B"/>
    <w:rsid w:val="00156A36"/>
    <w:rsid w:val="00156B16"/>
    <w:rsid w:val="00156E60"/>
    <w:rsid w:val="001574EE"/>
    <w:rsid w:val="00157B0E"/>
    <w:rsid w:val="001601DE"/>
    <w:rsid w:val="00160804"/>
    <w:rsid w:val="00160964"/>
    <w:rsid w:val="00160AED"/>
    <w:rsid w:val="00160B2A"/>
    <w:rsid w:val="00160B57"/>
    <w:rsid w:val="00160DB6"/>
    <w:rsid w:val="00160E32"/>
    <w:rsid w:val="00161101"/>
    <w:rsid w:val="00161295"/>
    <w:rsid w:val="00161A2D"/>
    <w:rsid w:val="00161B98"/>
    <w:rsid w:val="00162145"/>
    <w:rsid w:val="001622B8"/>
    <w:rsid w:val="0016258A"/>
    <w:rsid w:val="001625B0"/>
    <w:rsid w:val="001627F2"/>
    <w:rsid w:val="00162846"/>
    <w:rsid w:val="00162E32"/>
    <w:rsid w:val="00162EEE"/>
    <w:rsid w:val="00163730"/>
    <w:rsid w:val="001638FD"/>
    <w:rsid w:val="001639E5"/>
    <w:rsid w:val="00163B52"/>
    <w:rsid w:val="00163BD1"/>
    <w:rsid w:val="00163EAF"/>
    <w:rsid w:val="00164055"/>
    <w:rsid w:val="0016455D"/>
    <w:rsid w:val="001647F5"/>
    <w:rsid w:val="00164AD9"/>
    <w:rsid w:val="00164DD3"/>
    <w:rsid w:val="00164DE4"/>
    <w:rsid w:val="00164F54"/>
    <w:rsid w:val="001652CB"/>
    <w:rsid w:val="00165365"/>
    <w:rsid w:val="001653E7"/>
    <w:rsid w:val="0016572D"/>
    <w:rsid w:val="00165999"/>
    <w:rsid w:val="00165BD7"/>
    <w:rsid w:val="00165CB2"/>
    <w:rsid w:val="00165CC2"/>
    <w:rsid w:val="001661C8"/>
    <w:rsid w:val="0016628C"/>
    <w:rsid w:val="0016646F"/>
    <w:rsid w:val="001664D5"/>
    <w:rsid w:val="00166B79"/>
    <w:rsid w:val="00166D20"/>
    <w:rsid w:val="00167328"/>
    <w:rsid w:val="00167558"/>
    <w:rsid w:val="001676B9"/>
    <w:rsid w:val="00170173"/>
    <w:rsid w:val="00170544"/>
    <w:rsid w:val="001705F9"/>
    <w:rsid w:val="00170666"/>
    <w:rsid w:val="00170698"/>
    <w:rsid w:val="00170C5D"/>
    <w:rsid w:val="00170D61"/>
    <w:rsid w:val="0017114C"/>
    <w:rsid w:val="0017146F"/>
    <w:rsid w:val="00171D42"/>
    <w:rsid w:val="00171E13"/>
    <w:rsid w:val="0017200D"/>
    <w:rsid w:val="00172307"/>
    <w:rsid w:val="0017239A"/>
    <w:rsid w:val="001727FB"/>
    <w:rsid w:val="00172AF3"/>
    <w:rsid w:val="00172BE3"/>
    <w:rsid w:val="00172C66"/>
    <w:rsid w:val="00173735"/>
    <w:rsid w:val="0017373A"/>
    <w:rsid w:val="001738E0"/>
    <w:rsid w:val="00173FC8"/>
    <w:rsid w:val="001741F0"/>
    <w:rsid w:val="0017429D"/>
    <w:rsid w:val="00174534"/>
    <w:rsid w:val="001745B4"/>
    <w:rsid w:val="001748F6"/>
    <w:rsid w:val="00174ADF"/>
    <w:rsid w:val="00174C2B"/>
    <w:rsid w:val="00174DDB"/>
    <w:rsid w:val="0017504F"/>
    <w:rsid w:val="00175173"/>
    <w:rsid w:val="001751CC"/>
    <w:rsid w:val="001751EA"/>
    <w:rsid w:val="00175228"/>
    <w:rsid w:val="00175256"/>
    <w:rsid w:val="001754AC"/>
    <w:rsid w:val="00175644"/>
    <w:rsid w:val="001757C5"/>
    <w:rsid w:val="0017586D"/>
    <w:rsid w:val="00175958"/>
    <w:rsid w:val="00175984"/>
    <w:rsid w:val="00175EF0"/>
    <w:rsid w:val="0017616D"/>
    <w:rsid w:val="0017624F"/>
    <w:rsid w:val="001762BC"/>
    <w:rsid w:val="00176738"/>
    <w:rsid w:val="00176BD2"/>
    <w:rsid w:val="00176F85"/>
    <w:rsid w:val="001770AC"/>
    <w:rsid w:val="00177173"/>
    <w:rsid w:val="00177468"/>
    <w:rsid w:val="001775C5"/>
    <w:rsid w:val="00177620"/>
    <w:rsid w:val="0017786D"/>
    <w:rsid w:val="00177916"/>
    <w:rsid w:val="00177988"/>
    <w:rsid w:val="00177991"/>
    <w:rsid w:val="0018007B"/>
    <w:rsid w:val="00180108"/>
    <w:rsid w:val="00180125"/>
    <w:rsid w:val="0018013A"/>
    <w:rsid w:val="001805C7"/>
    <w:rsid w:val="001807EB"/>
    <w:rsid w:val="00180A3A"/>
    <w:rsid w:val="00180A3E"/>
    <w:rsid w:val="00180AE9"/>
    <w:rsid w:val="00180B6C"/>
    <w:rsid w:val="0018129E"/>
    <w:rsid w:val="001813B8"/>
    <w:rsid w:val="00181497"/>
    <w:rsid w:val="00181666"/>
    <w:rsid w:val="0018169C"/>
    <w:rsid w:val="0018186A"/>
    <w:rsid w:val="001818F4"/>
    <w:rsid w:val="00181F14"/>
    <w:rsid w:val="00181F2C"/>
    <w:rsid w:val="00181F7F"/>
    <w:rsid w:val="001820A6"/>
    <w:rsid w:val="001821AA"/>
    <w:rsid w:val="00182490"/>
    <w:rsid w:val="0018250C"/>
    <w:rsid w:val="00182589"/>
    <w:rsid w:val="0018294B"/>
    <w:rsid w:val="00182C02"/>
    <w:rsid w:val="00182CAE"/>
    <w:rsid w:val="001832B3"/>
    <w:rsid w:val="00183437"/>
    <w:rsid w:val="001834CF"/>
    <w:rsid w:val="0018361C"/>
    <w:rsid w:val="00183637"/>
    <w:rsid w:val="00183A2B"/>
    <w:rsid w:val="00183A81"/>
    <w:rsid w:val="00183BAB"/>
    <w:rsid w:val="00183BF9"/>
    <w:rsid w:val="00183ECB"/>
    <w:rsid w:val="0018403E"/>
    <w:rsid w:val="001844E8"/>
    <w:rsid w:val="00184759"/>
    <w:rsid w:val="00184927"/>
    <w:rsid w:val="00184BA7"/>
    <w:rsid w:val="00184C10"/>
    <w:rsid w:val="00185033"/>
    <w:rsid w:val="00185117"/>
    <w:rsid w:val="00185210"/>
    <w:rsid w:val="0018545F"/>
    <w:rsid w:val="00185686"/>
    <w:rsid w:val="00186001"/>
    <w:rsid w:val="001863DB"/>
    <w:rsid w:val="001864DE"/>
    <w:rsid w:val="001865AE"/>
    <w:rsid w:val="001865B6"/>
    <w:rsid w:val="0018673B"/>
    <w:rsid w:val="00186798"/>
    <w:rsid w:val="001867D8"/>
    <w:rsid w:val="00186A6A"/>
    <w:rsid w:val="00186D57"/>
    <w:rsid w:val="00187124"/>
    <w:rsid w:val="0018758A"/>
    <w:rsid w:val="001878DC"/>
    <w:rsid w:val="00187A4D"/>
    <w:rsid w:val="00187CFA"/>
    <w:rsid w:val="00187D78"/>
    <w:rsid w:val="00187E71"/>
    <w:rsid w:val="0019027C"/>
    <w:rsid w:val="001902E5"/>
    <w:rsid w:val="001904E5"/>
    <w:rsid w:val="00190870"/>
    <w:rsid w:val="00190991"/>
    <w:rsid w:val="00190B81"/>
    <w:rsid w:val="00190B88"/>
    <w:rsid w:val="00190D0D"/>
    <w:rsid w:val="00190DFD"/>
    <w:rsid w:val="00190FF3"/>
    <w:rsid w:val="0019117F"/>
    <w:rsid w:val="00191452"/>
    <w:rsid w:val="00191A7B"/>
    <w:rsid w:val="00191AE7"/>
    <w:rsid w:val="00191DC5"/>
    <w:rsid w:val="00192A62"/>
    <w:rsid w:val="00193112"/>
    <w:rsid w:val="00193525"/>
    <w:rsid w:val="001936BF"/>
    <w:rsid w:val="00193780"/>
    <w:rsid w:val="001938E9"/>
    <w:rsid w:val="0019398D"/>
    <w:rsid w:val="00193F30"/>
    <w:rsid w:val="00194A16"/>
    <w:rsid w:val="00194B28"/>
    <w:rsid w:val="00194D07"/>
    <w:rsid w:val="00194E43"/>
    <w:rsid w:val="001950A8"/>
    <w:rsid w:val="0019534D"/>
    <w:rsid w:val="00195531"/>
    <w:rsid w:val="00195788"/>
    <w:rsid w:val="00195B54"/>
    <w:rsid w:val="00195C13"/>
    <w:rsid w:val="00195CF2"/>
    <w:rsid w:val="00195CF6"/>
    <w:rsid w:val="00195F3A"/>
    <w:rsid w:val="0019624B"/>
    <w:rsid w:val="001965E7"/>
    <w:rsid w:val="001965FF"/>
    <w:rsid w:val="001966AA"/>
    <w:rsid w:val="001967EC"/>
    <w:rsid w:val="00196857"/>
    <w:rsid w:val="00196C9E"/>
    <w:rsid w:val="00196CDC"/>
    <w:rsid w:val="0019711C"/>
    <w:rsid w:val="001971BE"/>
    <w:rsid w:val="0019733D"/>
    <w:rsid w:val="001973E1"/>
    <w:rsid w:val="001974F0"/>
    <w:rsid w:val="00197582"/>
    <w:rsid w:val="00197B65"/>
    <w:rsid w:val="00197BFC"/>
    <w:rsid w:val="001A03BA"/>
    <w:rsid w:val="001A04B8"/>
    <w:rsid w:val="001A05B7"/>
    <w:rsid w:val="001A07BE"/>
    <w:rsid w:val="001A0A6E"/>
    <w:rsid w:val="001A11ED"/>
    <w:rsid w:val="001A14B0"/>
    <w:rsid w:val="001A198F"/>
    <w:rsid w:val="001A1B2D"/>
    <w:rsid w:val="001A1B50"/>
    <w:rsid w:val="001A1B62"/>
    <w:rsid w:val="001A1E81"/>
    <w:rsid w:val="001A1F2F"/>
    <w:rsid w:val="001A1F36"/>
    <w:rsid w:val="001A2071"/>
    <w:rsid w:val="001A21C7"/>
    <w:rsid w:val="001A2365"/>
    <w:rsid w:val="001A29FB"/>
    <w:rsid w:val="001A2A81"/>
    <w:rsid w:val="001A2BE6"/>
    <w:rsid w:val="001A2D91"/>
    <w:rsid w:val="001A2F74"/>
    <w:rsid w:val="001A2F8C"/>
    <w:rsid w:val="001A309C"/>
    <w:rsid w:val="001A3383"/>
    <w:rsid w:val="001A34A4"/>
    <w:rsid w:val="001A3508"/>
    <w:rsid w:val="001A3ABB"/>
    <w:rsid w:val="001A3B15"/>
    <w:rsid w:val="001A3DF3"/>
    <w:rsid w:val="001A3E27"/>
    <w:rsid w:val="001A3E3E"/>
    <w:rsid w:val="001A3E63"/>
    <w:rsid w:val="001A3F42"/>
    <w:rsid w:val="001A4234"/>
    <w:rsid w:val="001A47D8"/>
    <w:rsid w:val="001A4963"/>
    <w:rsid w:val="001A5454"/>
    <w:rsid w:val="001A55B3"/>
    <w:rsid w:val="001A5D12"/>
    <w:rsid w:val="001A5F30"/>
    <w:rsid w:val="001A619F"/>
    <w:rsid w:val="001A6205"/>
    <w:rsid w:val="001A62C9"/>
    <w:rsid w:val="001A6338"/>
    <w:rsid w:val="001A65F8"/>
    <w:rsid w:val="001A69BC"/>
    <w:rsid w:val="001A6A7E"/>
    <w:rsid w:val="001A6B13"/>
    <w:rsid w:val="001A7000"/>
    <w:rsid w:val="001A7068"/>
    <w:rsid w:val="001A706D"/>
    <w:rsid w:val="001A7776"/>
    <w:rsid w:val="001A77AA"/>
    <w:rsid w:val="001A7889"/>
    <w:rsid w:val="001A79D9"/>
    <w:rsid w:val="001B0379"/>
    <w:rsid w:val="001B045A"/>
    <w:rsid w:val="001B1311"/>
    <w:rsid w:val="001B1B58"/>
    <w:rsid w:val="001B1F2C"/>
    <w:rsid w:val="001B20E1"/>
    <w:rsid w:val="001B2369"/>
    <w:rsid w:val="001B2D09"/>
    <w:rsid w:val="001B33A2"/>
    <w:rsid w:val="001B36F7"/>
    <w:rsid w:val="001B3729"/>
    <w:rsid w:val="001B37A9"/>
    <w:rsid w:val="001B3938"/>
    <w:rsid w:val="001B3A4F"/>
    <w:rsid w:val="001B3E13"/>
    <w:rsid w:val="001B4113"/>
    <w:rsid w:val="001B4222"/>
    <w:rsid w:val="001B4563"/>
    <w:rsid w:val="001B4ACF"/>
    <w:rsid w:val="001B4BE5"/>
    <w:rsid w:val="001B4C14"/>
    <w:rsid w:val="001B4D92"/>
    <w:rsid w:val="001B4EA2"/>
    <w:rsid w:val="001B50C1"/>
    <w:rsid w:val="001B50F5"/>
    <w:rsid w:val="001B5104"/>
    <w:rsid w:val="001B5693"/>
    <w:rsid w:val="001B5844"/>
    <w:rsid w:val="001B5AA3"/>
    <w:rsid w:val="001B5B97"/>
    <w:rsid w:val="001B5D02"/>
    <w:rsid w:val="001B5DEB"/>
    <w:rsid w:val="001B6014"/>
    <w:rsid w:val="001B6311"/>
    <w:rsid w:val="001B687F"/>
    <w:rsid w:val="001B6B89"/>
    <w:rsid w:val="001B7091"/>
    <w:rsid w:val="001B7169"/>
    <w:rsid w:val="001B71AB"/>
    <w:rsid w:val="001B72A1"/>
    <w:rsid w:val="001B78F9"/>
    <w:rsid w:val="001B7A04"/>
    <w:rsid w:val="001B7A0D"/>
    <w:rsid w:val="001B7AFA"/>
    <w:rsid w:val="001C04E8"/>
    <w:rsid w:val="001C0A1A"/>
    <w:rsid w:val="001C0A21"/>
    <w:rsid w:val="001C0C5C"/>
    <w:rsid w:val="001C0F99"/>
    <w:rsid w:val="001C1781"/>
    <w:rsid w:val="001C17E4"/>
    <w:rsid w:val="001C183A"/>
    <w:rsid w:val="001C1AF3"/>
    <w:rsid w:val="001C1B5F"/>
    <w:rsid w:val="001C1FC8"/>
    <w:rsid w:val="001C20F9"/>
    <w:rsid w:val="001C2142"/>
    <w:rsid w:val="001C21E1"/>
    <w:rsid w:val="001C21FE"/>
    <w:rsid w:val="001C224C"/>
    <w:rsid w:val="001C24E0"/>
    <w:rsid w:val="001C3355"/>
    <w:rsid w:val="001C355C"/>
    <w:rsid w:val="001C3823"/>
    <w:rsid w:val="001C38F0"/>
    <w:rsid w:val="001C3A90"/>
    <w:rsid w:val="001C3C4C"/>
    <w:rsid w:val="001C3CC7"/>
    <w:rsid w:val="001C3F3A"/>
    <w:rsid w:val="001C3FE3"/>
    <w:rsid w:val="001C4616"/>
    <w:rsid w:val="001C47B8"/>
    <w:rsid w:val="001C486B"/>
    <w:rsid w:val="001C49E5"/>
    <w:rsid w:val="001C4C03"/>
    <w:rsid w:val="001C4DBC"/>
    <w:rsid w:val="001C50F7"/>
    <w:rsid w:val="001C558F"/>
    <w:rsid w:val="001C5700"/>
    <w:rsid w:val="001C5C4E"/>
    <w:rsid w:val="001C6013"/>
    <w:rsid w:val="001C6045"/>
    <w:rsid w:val="001C6A8A"/>
    <w:rsid w:val="001C6C48"/>
    <w:rsid w:val="001C6C61"/>
    <w:rsid w:val="001C6F46"/>
    <w:rsid w:val="001C73A4"/>
    <w:rsid w:val="001C73DB"/>
    <w:rsid w:val="001C78E3"/>
    <w:rsid w:val="001C799E"/>
    <w:rsid w:val="001C7BA1"/>
    <w:rsid w:val="001C7CDF"/>
    <w:rsid w:val="001C7D4E"/>
    <w:rsid w:val="001D0196"/>
    <w:rsid w:val="001D02D0"/>
    <w:rsid w:val="001D040A"/>
    <w:rsid w:val="001D06B2"/>
    <w:rsid w:val="001D0A23"/>
    <w:rsid w:val="001D0A8D"/>
    <w:rsid w:val="001D0AF5"/>
    <w:rsid w:val="001D0CF4"/>
    <w:rsid w:val="001D0F6F"/>
    <w:rsid w:val="001D11C1"/>
    <w:rsid w:val="001D11F7"/>
    <w:rsid w:val="001D120B"/>
    <w:rsid w:val="001D1341"/>
    <w:rsid w:val="001D14D5"/>
    <w:rsid w:val="001D14FD"/>
    <w:rsid w:val="001D1D03"/>
    <w:rsid w:val="001D2240"/>
    <w:rsid w:val="001D25F9"/>
    <w:rsid w:val="001D28C8"/>
    <w:rsid w:val="001D2A36"/>
    <w:rsid w:val="001D2C00"/>
    <w:rsid w:val="001D2D63"/>
    <w:rsid w:val="001D2F43"/>
    <w:rsid w:val="001D3027"/>
    <w:rsid w:val="001D3454"/>
    <w:rsid w:val="001D35F7"/>
    <w:rsid w:val="001D3C20"/>
    <w:rsid w:val="001D4100"/>
    <w:rsid w:val="001D4262"/>
    <w:rsid w:val="001D4273"/>
    <w:rsid w:val="001D429E"/>
    <w:rsid w:val="001D43F2"/>
    <w:rsid w:val="001D455C"/>
    <w:rsid w:val="001D4C27"/>
    <w:rsid w:val="001D5523"/>
    <w:rsid w:val="001D55BB"/>
    <w:rsid w:val="001D58D7"/>
    <w:rsid w:val="001D58EB"/>
    <w:rsid w:val="001D5B33"/>
    <w:rsid w:val="001D5B43"/>
    <w:rsid w:val="001D62AA"/>
    <w:rsid w:val="001D695C"/>
    <w:rsid w:val="001D6A52"/>
    <w:rsid w:val="001D6AAF"/>
    <w:rsid w:val="001D6B10"/>
    <w:rsid w:val="001D6C55"/>
    <w:rsid w:val="001D6D2E"/>
    <w:rsid w:val="001D6E62"/>
    <w:rsid w:val="001D70D6"/>
    <w:rsid w:val="001D7137"/>
    <w:rsid w:val="001D72DD"/>
    <w:rsid w:val="001D73E9"/>
    <w:rsid w:val="001D7489"/>
    <w:rsid w:val="001D74D7"/>
    <w:rsid w:val="001D7585"/>
    <w:rsid w:val="001D77E4"/>
    <w:rsid w:val="001D793D"/>
    <w:rsid w:val="001D7A2B"/>
    <w:rsid w:val="001D7AC6"/>
    <w:rsid w:val="001D7C06"/>
    <w:rsid w:val="001D7C8F"/>
    <w:rsid w:val="001D7F1C"/>
    <w:rsid w:val="001E01C4"/>
    <w:rsid w:val="001E0685"/>
    <w:rsid w:val="001E06C0"/>
    <w:rsid w:val="001E0732"/>
    <w:rsid w:val="001E0B17"/>
    <w:rsid w:val="001E0F6A"/>
    <w:rsid w:val="001E129C"/>
    <w:rsid w:val="001E1335"/>
    <w:rsid w:val="001E1A39"/>
    <w:rsid w:val="001E1A85"/>
    <w:rsid w:val="001E1C89"/>
    <w:rsid w:val="001E2037"/>
    <w:rsid w:val="001E206B"/>
    <w:rsid w:val="001E229C"/>
    <w:rsid w:val="001E240A"/>
    <w:rsid w:val="001E2716"/>
    <w:rsid w:val="001E28D1"/>
    <w:rsid w:val="001E2A05"/>
    <w:rsid w:val="001E2CBF"/>
    <w:rsid w:val="001E2FCA"/>
    <w:rsid w:val="001E33FE"/>
    <w:rsid w:val="001E35B5"/>
    <w:rsid w:val="001E373B"/>
    <w:rsid w:val="001E37B0"/>
    <w:rsid w:val="001E40A7"/>
    <w:rsid w:val="001E435F"/>
    <w:rsid w:val="001E4482"/>
    <w:rsid w:val="001E4732"/>
    <w:rsid w:val="001E4A64"/>
    <w:rsid w:val="001E4BB0"/>
    <w:rsid w:val="001E4F66"/>
    <w:rsid w:val="001E513E"/>
    <w:rsid w:val="001E5270"/>
    <w:rsid w:val="001E5286"/>
    <w:rsid w:val="001E5288"/>
    <w:rsid w:val="001E57BF"/>
    <w:rsid w:val="001E5816"/>
    <w:rsid w:val="001E582F"/>
    <w:rsid w:val="001E596B"/>
    <w:rsid w:val="001E5D2B"/>
    <w:rsid w:val="001E5D68"/>
    <w:rsid w:val="001E5F4A"/>
    <w:rsid w:val="001E607F"/>
    <w:rsid w:val="001E60DF"/>
    <w:rsid w:val="001E6330"/>
    <w:rsid w:val="001E697F"/>
    <w:rsid w:val="001E6B43"/>
    <w:rsid w:val="001E6C93"/>
    <w:rsid w:val="001E6DAA"/>
    <w:rsid w:val="001E7116"/>
    <w:rsid w:val="001E7408"/>
    <w:rsid w:val="001E76B9"/>
    <w:rsid w:val="001E7ABB"/>
    <w:rsid w:val="001E7BEE"/>
    <w:rsid w:val="001F0201"/>
    <w:rsid w:val="001F0396"/>
    <w:rsid w:val="001F05FB"/>
    <w:rsid w:val="001F070A"/>
    <w:rsid w:val="001F079B"/>
    <w:rsid w:val="001F092A"/>
    <w:rsid w:val="001F0BD6"/>
    <w:rsid w:val="001F12F4"/>
    <w:rsid w:val="001F1304"/>
    <w:rsid w:val="001F135D"/>
    <w:rsid w:val="001F1374"/>
    <w:rsid w:val="001F157D"/>
    <w:rsid w:val="001F16D0"/>
    <w:rsid w:val="001F1829"/>
    <w:rsid w:val="001F197C"/>
    <w:rsid w:val="001F1B08"/>
    <w:rsid w:val="001F1B86"/>
    <w:rsid w:val="001F1BC6"/>
    <w:rsid w:val="001F1C42"/>
    <w:rsid w:val="001F1C55"/>
    <w:rsid w:val="001F1C59"/>
    <w:rsid w:val="001F1DEA"/>
    <w:rsid w:val="001F1F4A"/>
    <w:rsid w:val="001F1F62"/>
    <w:rsid w:val="001F25B5"/>
    <w:rsid w:val="001F2842"/>
    <w:rsid w:val="001F297B"/>
    <w:rsid w:val="001F2ABE"/>
    <w:rsid w:val="001F2D5E"/>
    <w:rsid w:val="001F2E28"/>
    <w:rsid w:val="001F3021"/>
    <w:rsid w:val="001F3374"/>
    <w:rsid w:val="001F33E3"/>
    <w:rsid w:val="001F3C05"/>
    <w:rsid w:val="001F3C27"/>
    <w:rsid w:val="001F40D2"/>
    <w:rsid w:val="001F4233"/>
    <w:rsid w:val="001F4875"/>
    <w:rsid w:val="001F4BA9"/>
    <w:rsid w:val="001F4FF8"/>
    <w:rsid w:val="001F5027"/>
    <w:rsid w:val="001F52C4"/>
    <w:rsid w:val="001F55BD"/>
    <w:rsid w:val="001F5662"/>
    <w:rsid w:val="001F56DE"/>
    <w:rsid w:val="001F5BFC"/>
    <w:rsid w:val="001F5E1D"/>
    <w:rsid w:val="001F5FA5"/>
    <w:rsid w:val="001F5FE5"/>
    <w:rsid w:val="001F6583"/>
    <w:rsid w:val="001F6951"/>
    <w:rsid w:val="001F6A77"/>
    <w:rsid w:val="001F6AA3"/>
    <w:rsid w:val="001F6AC8"/>
    <w:rsid w:val="001F6E33"/>
    <w:rsid w:val="001F6E3A"/>
    <w:rsid w:val="001F735F"/>
    <w:rsid w:val="001F743A"/>
    <w:rsid w:val="001F77BF"/>
    <w:rsid w:val="001F7982"/>
    <w:rsid w:val="001F7A27"/>
    <w:rsid w:val="001F7A44"/>
    <w:rsid w:val="001F7CE0"/>
    <w:rsid w:val="001F7EFB"/>
    <w:rsid w:val="001F7F9A"/>
    <w:rsid w:val="001F7FAC"/>
    <w:rsid w:val="0020051A"/>
    <w:rsid w:val="002006AE"/>
    <w:rsid w:val="002011B0"/>
    <w:rsid w:val="00201232"/>
    <w:rsid w:val="002013EB"/>
    <w:rsid w:val="0020179C"/>
    <w:rsid w:val="00201806"/>
    <w:rsid w:val="002020F9"/>
    <w:rsid w:val="00202144"/>
    <w:rsid w:val="002022C9"/>
    <w:rsid w:val="00202477"/>
    <w:rsid w:val="002025FB"/>
    <w:rsid w:val="00202841"/>
    <w:rsid w:val="002028B6"/>
    <w:rsid w:val="002029E1"/>
    <w:rsid w:val="0020348D"/>
    <w:rsid w:val="002035D6"/>
    <w:rsid w:val="00203D34"/>
    <w:rsid w:val="00203DA4"/>
    <w:rsid w:val="00204175"/>
    <w:rsid w:val="0020418C"/>
    <w:rsid w:val="00204408"/>
    <w:rsid w:val="0020440F"/>
    <w:rsid w:val="002048FB"/>
    <w:rsid w:val="00204DA3"/>
    <w:rsid w:val="00204EC2"/>
    <w:rsid w:val="00205028"/>
    <w:rsid w:val="00205183"/>
    <w:rsid w:val="002053A7"/>
    <w:rsid w:val="00205478"/>
    <w:rsid w:val="002054E5"/>
    <w:rsid w:val="0020585A"/>
    <w:rsid w:val="00205E0A"/>
    <w:rsid w:val="00205EC7"/>
    <w:rsid w:val="00206409"/>
    <w:rsid w:val="002064E0"/>
    <w:rsid w:val="00206646"/>
    <w:rsid w:val="00206769"/>
    <w:rsid w:val="00206B24"/>
    <w:rsid w:val="00206D96"/>
    <w:rsid w:val="002073A0"/>
    <w:rsid w:val="002076BE"/>
    <w:rsid w:val="002079ED"/>
    <w:rsid w:val="00207DD4"/>
    <w:rsid w:val="00207FBF"/>
    <w:rsid w:val="002101D9"/>
    <w:rsid w:val="00210581"/>
    <w:rsid w:val="0021078D"/>
    <w:rsid w:val="002107A9"/>
    <w:rsid w:val="00210974"/>
    <w:rsid w:val="00210B20"/>
    <w:rsid w:val="00210C5E"/>
    <w:rsid w:val="00210DF5"/>
    <w:rsid w:val="00210F02"/>
    <w:rsid w:val="002111F5"/>
    <w:rsid w:val="00211365"/>
    <w:rsid w:val="00211816"/>
    <w:rsid w:val="00211959"/>
    <w:rsid w:val="00211984"/>
    <w:rsid w:val="00211A97"/>
    <w:rsid w:val="00211AC6"/>
    <w:rsid w:val="00211C48"/>
    <w:rsid w:val="00211F62"/>
    <w:rsid w:val="00212374"/>
    <w:rsid w:val="00212A0D"/>
    <w:rsid w:val="00212AAE"/>
    <w:rsid w:val="00212EE3"/>
    <w:rsid w:val="00212F03"/>
    <w:rsid w:val="00213133"/>
    <w:rsid w:val="00213165"/>
    <w:rsid w:val="00213379"/>
    <w:rsid w:val="00213651"/>
    <w:rsid w:val="00213663"/>
    <w:rsid w:val="00213D10"/>
    <w:rsid w:val="00213E8C"/>
    <w:rsid w:val="002143C5"/>
    <w:rsid w:val="002143FF"/>
    <w:rsid w:val="002146B2"/>
    <w:rsid w:val="002147E4"/>
    <w:rsid w:val="00214A99"/>
    <w:rsid w:val="0021526B"/>
    <w:rsid w:val="00215330"/>
    <w:rsid w:val="0021545A"/>
    <w:rsid w:val="0021566B"/>
    <w:rsid w:val="00215A0B"/>
    <w:rsid w:val="00215C71"/>
    <w:rsid w:val="00215E53"/>
    <w:rsid w:val="00216035"/>
    <w:rsid w:val="002163E4"/>
    <w:rsid w:val="00216991"/>
    <w:rsid w:val="00216BBB"/>
    <w:rsid w:val="00216BF0"/>
    <w:rsid w:val="00216CB8"/>
    <w:rsid w:val="00216DC2"/>
    <w:rsid w:val="00216FC9"/>
    <w:rsid w:val="0021706F"/>
    <w:rsid w:val="00217077"/>
    <w:rsid w:val="00217394"/>
    <w:rsid w:val="00217574"/>
    <w:rsid w:val="00217A90"/>
    <w:rsid w:val="00217C93"/>
    <w:rsid w:val="00217E0D"/>
    <w:rsid w:val="00217E34"/>
    <w:rsid w:val="00217F12"/>
    <w:rsid w:val="002200D6"/>
    <w:rsid w:val="00220618"/>
    <w:rsid w:val="0022073E"/>
    <w:rsid w:val="002209D8"/>
    <w:rsid w:val="00220B7B"/>
    <w:rsid w:val="00220BDF"/>
    <w:rsid w:val="00220D75"/>
    <w:rsid w:val="00221372"/>
    <w:rsid w:val="00221694"/>
    <w:rsid w:val="00221B34"/>
    <w:rsid w:val="00221F4B"/>
    <w:rsid w:val="00222418"/>
    <w:rsid w:val="00222760"/>
    <w:rsid w:val="00222882"/>
    <w:rsid w:val="00222DA0"/>
    <w:rsid w:val="00222E7D"/>
    <w:rsid w:val="00222F1F"/>
    <w:rsid w:val="00222F62"/>
    <w:rsid w:val="00223085"/>
    <w:rsid w:val="0022349C"/>
    <w:rsid w:val="002235EC"/>
    <w:rsid w:val="0022394E"/>
    <w:rsid w:val="00223A4A"/>
    <w:rsid w:val="00223B78"/>
    <w:rsid w:val="00223B98"/>
    <w:rsid w:val="00223BF2"/>
    <w:rsid w:val="00223C16"/>
    <w:rsid w:val="00223EBE"/>
    <w:rsid w:val="0022428F"/>
    <w:rsid w:val="00224506"/>
    <w:rsid w:val="00224585"/>
    <w:rsid w:val="00224A86"/>
    <w:rsid w:val="00224F92"/>
    <w:rsid w:val="00225081"/>
    <w:rsid w:val="0022512A"/>
    <w:rsid w:val="002253F8"/>
    <w:rsid w:val="002255DD"/>
    <w:rsid w:val="00225748"/>
    <w:rsid w:val="00225AF7"/>
    <w:rsid w:val="00225C0C"/>
    <w:rsid w:val="00225CD1"/>
    <w:rsid w:val="00226756"/>
    <w:rsid w:val="00226A10"/>
    <w:rsid w:val="00226B8C"/>
    <w:rsid w:val="00226B94"/>
    <w:rsid w:val="00226ECB"/>
    <w:rsid w:val="00226EEA"/>
    <w:rsid w:val="00227255"/>
    <w:rsid w:val="002272AD"/>
    <w:rsid w:val="002275A5"/>
    <w:rsid w:val="0022763F"/>
    <w:rsid w:val="002279B1"/>
    <w:rsid w:val="002279DA"/>
    <w:rsid w:val="00227B22"/>
    <w:rsid w:val="00230058"/>
    <w:rsid w:val="002301C0"/>
    <w:rsid w:val="002302B9"/>
    <w:rsid w:val="002302EA"/>
    <w:rsid w:val="0023036B"/>
    <w:rsid w:val="0023045E"/>
    <w:rsid w:val="00230548"/>
    <w:rsid w:val="00230B56"/>
    <w:rsid w:val="00230EA2"/>
    <w:rsid w:val="00230F19"/>
    <w:rsid w:val="002314C6"/>
    <w:rsid w:val="002314FE"/>
    <w:rsid w:val="00231555"/>
    <w:rsid w:val="00231B2C"/>
    <w:rsid w:val="00231E0B"/>
    <w:rsid w:val="00231FE1"/>
    <w:rsid w:val="00231FED"/>
    <w:rsid w:val="002320C6"/>
    <w:rsid w:val="00232360"/>
    <w:rsid w:val="002323C1"/>
    <w:rsid w:val="0023246C"/>
    <w:rsid w:val="002325C6"/>
    <w:rsid w:val="002327CE"/>
    <w:rsid w:val="0023281A"/>
    <w:rsid w:val="00232959"/>
    <w:rsid w:val="00232A23"/>
    <w:rsid w:val="00232BBC"/>
    <w:rsid w:val="00232D34"/>
    <w:rsid w:val="00232E1A"/>
    <w:rsid w:val="00233047"/>
    <w:rsid w:val="002330FC"/>
    <w:rsid w:val="00233273"/>
    <w:rsid w:val="0023336C"/>
    <w:rsid w:val="002333B8"/>
    <w:rsid w:val="002334D6"/>
    <w:rsid w:val="0023358F"/>
    <w:rsid w:val="002338E0"/>
    <w:rsid w:val="00233BD6"/>
    <w:rsid w:val="00233BDB"/>
    <w:rsid w:val="00233C44"/>
    <w:rsid w:val="00233F4F"/>
    <w:rsid w:val="0023406E"/>
    <w:rsid w:val="002342E7"/>
    <w:rsid w:val="002347B5"/>
    <w:rsid w:val="0023483A"/>
    <w:rsid w:val="00234DE7"/>
    <w:rsid w:val="00234EB2"/>
    <w:rsid w:val="00234FA2"/>
    <w:rsid w:val="0023511B"/>
    <w:rsid w:val="002358EA"/>
    <w:rsid w:val="00235922"/>
    <w:rsid w:val="00235BAF"/>
    <w:rsid w:val="00236030"/>
    <w:rsid w:val="0023603E"/>
    <w:rsid w:val="0023622A"/>
    <w:rsid w:val="002364A4"/>
    <w:rsid w:val="00236775"/>
    <w:rsid w:val="00236788"/>
    <w:rsid w:val="00236BB9"/>
    <w:rsid w:val="00236D21"/>
    <w:rsid w:val="00236D45"/>
    <w:rsid w:val="00236E29"/>
    <w:rsid w:val="00237653"/>
    <w:rsid w:val="00237A5A"/>
    <w:rsid w:val="00237AFD"/>
    <w:rsid w:val="00237EDC"/>
    <w:rsid w:val="002402A2"/>
    <w:rsid w:val="002403DE"/>
    <w:rsid w:val="002406CF"/>
    <w:rsid w:val="002406E7"/>
    <w:rsid w:val="00240721"/>
    <w:rsid w:val="002407AA"/>
    <w:rsid w:val="002407F9"/>
    <w:rsid w:val="00240B4E"/>
    <w:rsid w:val="00240E82"/>
    <w:rsid w:val="00240E93"/>
    <w:rsid w:val="00241183"/>
    <w:rsid w:val="0024134C"/>
    <w:rsid w:val="002414F2"/>
    <w:rsid w:val="00241AE5"/>
    <w:rsid w:val="00241B7C"/>
    <w:rsid w:val="00241D22"/>
    <w:rsid w:val="00241D72"/>
    <w:rsid w:val="00241D7E"/>
    <w:rsid w:val="00241F0E"/>
    <w:rsid w:val="0024294A"/>
    <w:rsid w:val="00242A25"/>
    <w:rsid w:val="00242C11"/>
    <w:rsid w:val="00242ED6"/>
    <w:rsid w:val="002430EF"/>
    <w:rsid w:val="0024331A"/>
    <w:rsid w:val="0024334B"/>
    <w:rsid w:val="00243372"/>
    <w:rsid w:val="00243385"/>
    <w:rsid w:val="002433B6"/>
    <w:rsid w:val="002435A2"/>
    <w:rsid w:val="0024381C"/>
    <w:rsid w:val="00243BD6"/>
    <w:rsid w:val="00243F38"/>
    <w:rsid w:val="00243FCE"/>
    <w:rsid w:val="002440CC"/>
    <w:rsid w:val="00244356"/>
    <w:rsid w:val="002444FF"/>
    <w:rsid w:val="002445F9"/>
    <w:rsid w:val="002448B5"/>
    <w:rsid w:val="00244A2A"/>
    <w:rsid w:val="00245641"/>
    <w:rsid w:val="00245674"/>
    <w:rsid w:val="002457DF"/>
    <w:rsid w:val="00245957"/>
    <w:rsid w:val="00245985"/>
    <w:rsid w:val="00245B0D"/>
    <w:rsid w:val="00245CB7"/>
    <w:rsid w:val="00245D1E"/>
    <w:rsid w:val="00245D95"/>
    <w:rsid w:val="00245F28"/>
    <w:rsid w:val="00246246"/>
    <w:rsid w:val="00246680"/>
    <w:rsid w:val="002468B6"/>
    <w:rsid w:val="00246A05"/>
    <w:rsid w:val="002473AE"/>
    <w:rsid w:val="00247793"/>
    <w:rsid w:val="00247827"/>
    <w:rsid w:val="002479B0"/>
    <w:rsid w:val="00247E9D"/>
    <w:rsid w:val="00247FFD"/>
    <w:rsid w:val="0025016E"/>
    <w:rsid w:val="00250658"/>
    <w:rsid w:val="002506B3"/>
    <w:rsid w:val="0025092A"/>
    <w:rsid w:val="00250DB7"/>
    <w:rsid w:val="00250F07"/>
    <w:rsid w:val="00250F16"/>
    <w:rsid w:val="00251135"/>
    <w:rsid w:val="00251473"/>
    <w:rsid w:val="002515A6"/>
    <w:rsid w:val="0025161A"/>
    <w:rsid w:val="00251835"/>
    <w:rsid w:val="00251A9C"/>
    <w:rsid w:val="00251B9C"/>
    <w:rsid w:val="00251CE0"/>
    <w:rsid w:val="00251DC7"/>
    <w:rsid w:val="00252382"/>
    <w:rsid w:val="00252775"/>
    <w:rsid w:val="00252AC7"/>
    <w:rsid w:val="00252C06"/>
    <w:rsid w:val="00252D05"/>
    <w:rsid w:val="00252E0E"/>
    <w:rsid w:val="002534D9"/>
    <w:rsid w:val="002536A0"/>
    <w:rsid w:val="0025396E"/>
    <w:rsid w:val="00253AAC"/>
    <w:rsid w:val="00253F39"/>
    <w:rsid w:val="00254162"/>
    <w:rsid w:val="0025442A"/>
    <w:rsid w:val="002546E6"/>
    <w:rsid w:val="00254892"/>
    <w:rsid w:val="00254B43"/>
    <w:rsid w:val="00254C11"/>
    <w:rsid w:val="00254E62"/>
    <w:rsid w:val="00254EC0"/>
    <w:rsid w:val="002550C4"/>
    <w:rsid w:val="0025540B"/>
    <w:rsid w:val="00255C27"/>
    <w:rsid w:val="00255DE3"/>
    <w:rsid w:val="00256183"/>
    <w:rsid w:val="0025629A"/>
    <w:rsid w:val="00256341"/>
    <w:rsid w:val="00256344"/>
    <w:rsid w:val="00256839"/>
    <w:rsid w:val="002568E6"/>
    <w:rsid w:val="00256C9B"/>
    <w:rsid w:val="00256ECB"/>
    <w:rsid w:val="00257025"/>
    <w:rsid w:val="00257659"/>
    <w:rsid w:val="00257877"/>
    <w:rsid w:val="00257E82"/>
    <w:rsid w:val="0026011F"/>
    <w:rsid w:val="00260231"/>
    <w:rsid w:val="00261366"/>
    <w:rsid w:val="0026148A"/>
    <w:rsid w:val="0026191F"/>
    <w:rsid w:val="00261C45"/>
    <w:rsid w:val="00261E55"/>
    <w:rsid w:val="00262190"/>
    <w:rsid w:val="00262484"/>
    <w:rsid w:val="002625A3"/>
    <w:rsid w:val="002625FA"/>
    <w:rsid w:val="00262769"/>
    <w:rsid w:val="00262809"/>
    <w:rsid w:val="002628C4"/>
    <w:rsid w:val="00262A69"/>
    <w:rsid w:val="002633D1"/>
    <w:rsid w:val="0026345F"/>
    <w:rsid w:val="002639B7"/>
    <w:rsid w:val="00263B20"/>
    <w:rsid w:val="00263E1A"/>
    <w:rsid w:val="00264155"/>
    <w:rsid w:val="0026439F"/>
    <w:rsid w:val="002645A9"/>
    <w:rsid w:val="002648D5"/>
    <w:rsid w:val="002649D3"/>
    <w:rsid w:val="00264A59"/>
    <w:rsid w:val="00264B13"/>
    <w:rsid w:val="00264B83"/>
    <w:rsid w:val="00264D8F"/>
    <w:rsid w:val="00264DB9"/>
    <w:rsid w:val="00264E14"/>
    <w:rsid w:val="002653A1"/>
    <w:rsid w:val="00265401"/>
    <w:rsid w:val="002655EA"/>
    <w:rsid w:val="0026563C"/>
    <w:rsid w:val="002656DF"/>
    <w:rsid w:val="002657B8"/>
    <w:rsid w:val="002659C2"/>
    <w:rsid w:val="00265D05"/>
    <w:rsid w:val="00265EB3"/>
    <w:rsid w:val="0026632B"/>
    <w:rsid w:val="0026643B"/>
    <w:rsid w:val="00266531"/>
    <w:rsid w:val="00266748"/>
    <w:rsid w:val="002669BB"/>
    <w:rsid w:val="00266FC9"/>
    <w:rsid w:val="00267238"/>
    <w:rsid w:val="0026750E"/>
    <w:rsid w:val="00267855"/>
    <w:rsid w:val="00267857"/>
    <w:rsid w:val="002703B5"/>
    <w:rsid w:val="00270827"/>
    <w:rsid w:val="00270884"/>
    <w:rsid w:val="00270B46"/>
    <w:rsid w:val="00270C3F"/>
    <w:rsid w:val="00270CF2"/>
    <w:rsid w:val="00270DA6"/>
    <w:rsid w:val="0027104C"/>
    <w:rsid w:val="00271084"/>
    <w:rsid w:val="00271226"/>
    <w:rsid w:val="0027185D"/>
    <w:rsid w:val="002718D4"/>
    <w:rsid w:val="00271EA1"/>
    <w:rsid w:val="00271FFB"/>
    <w:rsid w:val="00272011"/>
    <w:rsid w:val="002722C5"/>
    <w:rsid w:val="002726EC"/>
    <w:rsid w:val="00272A3E"/>
    <w:rsid w:val="00272CE8"/>
    <w:rsid w:val="00272F94"/>
    <w:rsid w:val="0027343A"/>
    <w:rsid w:val="002734AC"/>
    <w:rsid w:val="002737FA"/>
    <w:rsid w:val="0027386D"/>
    <w:rsid w:val="002738AA"/>
    <w:rsid w:val="0027401E"/>
    <w:rsid w:val="002740FB"/>
    <w:rsid w:val="0027439D"/>
    <w:rsid w:val="00274483"/>
    <w:rsid w:val="002745DA"/>
    <w:rsid w:val="002746C2"/>
    <w:rsid w:val="00274AB6"/>
    <w:rsid w:val="00274CFF"/>
    <w:rsid w:val="00274D22"/>
    <w:rsid w:val="00274EDA"/>
    <w:rsid w:val="00274EEC"/>
    <w:rsid w:val="00275574"/>
    <w:rsid w:val="00275675"/>
    <w:rsid w:val="00275C08"/>
    <w:rsid w:val="00275D3E"/>
    <w:rsid w:val="0027623A"/>
    <w:rsid w:val="002764C4"/>
    <w:rsid w:val="002766B8"/>
    <w:rsid w:val="002766E1"/>
    <w:rsid w:val="00276800"/>
    <w:rsid w:val="00276AD4"/>
    <w:rsid w:val="00276B14"/>
    <w:rsid w:val="002777D7"/>
    <w:rsid w:val="00277981"/>
    <w:rsid w:val="00277B64"/>
    <w:rsid w:val="00277D58"/>
    <w:rsid w:val="00277ED1"/>
    <w:rsid w:val="002800ED"/>
    <w:rsid w:val="0028016C"/>
    <w:rsid w:val="002805EE"/>
    <w:rsid w:val="00280740"/>
    <w:rsid w:val="002808B0"/>
    <w:rsid w:val="0028093C"/>
    <w:rsid w:val="00280A2E"/>
    <w:rsid w:val="00280CD7"/>
    <w:rsid w:val="00280DB2"/>
    <w:rsid w:val="00281047"/>
    <w:rsid w:val="002811DD"/>
    <w:rsid w:val="00281317"/>
    <w:rsid w:val="00281318"/>
    <w:rsid w:val="002813E7"/>
    <w:rsid w:val="00281443"/>
    <w:rsid w:val="00281937"/>
    <w:rsid w:val="00281B8D"/>
    <w:rsid w:val="00281E79"/>
    <w:rsid w:val="002821E7"/>
    <w:rsid w:val="00282261"/>
    <w:rsid w:val="00282531"/>
    <w:rsid w:val="00282633"/>
    <w:rsid w:val="00282653"/>
    <w:rsid w:val="00282906"/>
    <w:rsid w:val="00282B19"/>
    <w:rsid w:val="00282B21"/>
    <w:rsid w:val="00282B32"/>
    <w:rsid w:val="00282E84"/>
    <w:rsid w:val="00282F6D"/>
    <w:rsid w:val="0028341E"/>
    <w:rsid w:val="00283428"/>
    <w:rsid w:val="002835A1"/>
    <w:rsid w:val="00283D0E"/>
    <w:rsid w:val="00283F73"/>
    <w:rsid w:val="002844AC"/>
    <w:rsid w:val="002844EF"/>
    <w:rsid w:val="00284AFE"/>
    <w:rsid w:val="00284E40"/>
    <w:rsid w:val="002850F5"/>
    <w:rsid w:val="002857DA"/>
    <w:rsid w:val="00285A74"/>
    <w:rsid w:val="00285BB0"/>
    <w:rsid w:val="00285CE9"/>
    <w:rsid w:val="00285E8A"/>
    <w:rsid w:val="00286310"/>
    <w:rsid w:val="00286346"/>
    <w:rsid w:val="00286466"/>
    <w:rsid w:val="00287099"/>
    <w:rsid w:val="0028726D"/>
    <w:rsid w:val="002874D7"/>
    <w:rsid w:val="002879EC"/>
    <w:rsid w:val="00287BA8"/>
    <w:rsid w:val="00287C5F"/>
    <w:rsid w:val="00287D81"/>
    <w:rsid w:val="00290148"/>
    <w:rsid w:val="002904CF"/>
    <w:rsid w:val="002908A9"/>
    <w:rsid w:val="00290CCD"/>
    <w:rsid w:val="00290D28"/>
    <w:rsid w:val="002910CC"/>
    <w:rsid w:val="002910E8"/>
    <w:rsid w:val="00291196"/>
    <w:rsid w:val="002911BC"/>
    <w:rsid w:val="00291577"/>
    <w:rsid w:val="00291704"/>
    <w:rsid w:val="00291725"/>
    <w:rsid w:val="002921A0"/>
    <w:rsid w:val="0029223E"/>
    <w:rsid w:val="002922BA"/>
    <w:rsid w:val="002926F5"/>
    <w:rsid w:val="0029291D"/>
    <w:rsid w:val="00292B12"/>
    <w:rsid w:val="002932D0"/>
    <w:rsid w:val="0029334F"/>
    <w:rsid w:val="00293639"/>
    <w:rsid w:val="002938B9"/>
    <w:rsid w:val="00293C08"/>
    <w:rsid w:val="00293C96"/>
    <w:rsid w:val="00294174"/>
    <w:rsid w:val="002948DA"/>
    <w:rsid w:val="00294B10"/>
    <w:rsid w:val="00294D65"/>
    <w:rsid w:val="00295135"/>
    <w:rsid w:val="00295162"/>
    <w:rsid w:val="002953EE"/>
    <w:rsid w:val="00295842"/>
    <w:rsid w:val="0029585C"/>
    <w:rsid w:val="0029600A"/>
    <w:rsid w:val="002964AA"/>
    <w:rsid w:val="0029658E"/>
    <w:rsid w:val="00296735"/>
    <w:rsid w:val="00296D27"/>
    <w:rsid w:val="00297134"/>
    <w:rsid w:val="00297D09"/>
    <w:rsid w:val="00297E1C"/>
    <w:rsid w:val="00297E97"/>
    <w:rsid w:val="00297EF1"/>
    <w:rsid w:val="00297F07"/>
    <w:rsid w:val="002A01A4"/>
    <w:rsid w:val="002A0234"/>
    <w:rsid w:val="002A0280"/>
    <w:rsid w:val="002A03EF"/>
    <w:rsid w:val="002A079B"/>
    <w:rsid w:val="002A086F"/>
    <w:rsid w:val="002A08F7"/>
    <w:rsid w:val="002A0AA5"/>
    <w:rsid w:val="002A0C33"/>
    <w:rsid w:val="002A0EF7"/>
    <w:rsid w:val="002A1637"/>
    <w:rsid w:val="002A1792"/>
    <w:rsid w:val="002A1A3A"/>
    <w:rsid w:val="002A1AAF"/>
    <w:rsid w:val="002A1BA6"/>
    <w:rsid w:val="002A1D6C"/>
    <w:rsid w:val="002A1F61"/>
    <w:rsid w:val="002A21E7"/>
    <w:rsid w:val="002A2406"/>
    <w:rsid w:val="002A2ABF"/>
    <w:rsid w:val="002A2B37"/>
    <w:rsid w:val="002A2E64"/>
    <w:rsid w:val="002A2EA1"/>
    <w:rsid w:val="002A3278"/>
    <w:rsid w:val="002A334E"/>
    <w:rsid w:val="002A3543"/>
    <w:rsid w:val="002A3575"/>
    <w:rsid w:val="002A3705"/>
    <w:rsid w:val="002A37F1"/>
    <w:rsid w:val="002A3901"/>
    <w:rsid w:val="002A3B39"/>
    <w:rsid w:val="002A3DAB"/>
    <w:rsid w:val="002A4593"/>
    <w:rsid w:val="002A4B59"/>
    <w:rsid w:val="002A4BEC"/>
    <w:rsid w:val="002A4C8B"/>
    <w:rsid w:val="002A4E67"/>
    <w:rsid w:val="002A4E7A"/>
    <w:rsid w:val="002A4FFE"/>
    <w:rsid w:val="002A50FB"/>
    <w:rsid w:val="002A58E9"/>
    <w:rsid w:val="002A59E2"/>
    <w:rsid w:val="002A5CF1"/>
    <w:rsid w:val="002A5DE5"/>
    <w:rsid w:val="002A5F11"/>
    <w:rsid w:val="002A5F4E"/>
    <w:rsid w:val="002A60A5"/>
    <w:rsid w:val="002A6178"/>
    <w:rsid w:val="002A631A"/>
    <w:rsid w:val="002A63DC"/>
    <w:rsid w:val="002A6D97"/>
    <w:rsid w:val="002A712F"/>
    <w:rsid w:val="002A73A8"/>
    <w:rsid w:val="002A74A7"/>
    <w:rsid w:val="002A767B"/>
    <w:rsid w:val="002A7A45"/>
    <w:rsid w:val="002A7ED1"/>
    <w:rsid w:val="002A7EEF"/>
    <w:rsid w:val="002B1016"/>
    <w:rsid w:val="002B1549"/>
    <w:rsid w:val="002B1568"/>
    <w:rsid w:val="002B1BEA"/>
    <w:rsid w:val="002B1D11"/>
    <w:rsid w:val="002B1D9C"/>
    <w:rsid w:val="002B1F89"/>
    <w:rsid w:val="002B1FB2"/>
    <w:rsid w:val="002B2751"/>
    <w:rsid w:val="002B296B"/>
    <w:rsid w:val="002B2AB6"/>
    <w:rsid w:val="002B2B11"/>
    <w:rsid w:val="002B2F06"/>
    <w:rsid w:val="002B2F9F"/>
    <w:rsid w:val="002B2FFE"/>
    <w:rsid w:val="002B310B"/>
    <w:rsid w:val="002B31AD"/>
    <w:rsid w:val="002B3831"/>
    <w:rsid w:val="002B391D"/>
    <w:rsid w:val="002B3F99"/>
    <w:rsid w:val="002B42F6"/>
    <w:rsid w:val="002B47E1"/>
    <w:rsid w:val="002B4884"/>
    <w:rsid w:val="002B490F"/>
    <w:rsid w:val="002B4C87"/>
    <w:rsid w:val="002B4D63"/>
    <w:rsid w:val="002B4EC8"/>
    <w:rsid w:val="002B503E"/>
    <w:rsid w:val="002B50AA"/>
    <w:rsid w:val="002B51EA"/>
    <w:rsid w:val="002B52BD"/>
    <w:rsid w:val="002B53AB"/>
    <w:rsid w:val="002B53CB"/>
    <w:rsid w:val="002B54A4"/>
    <w:rsid w:val="002B57C2"/>
    <w:rsid w:val="002B5993"/>
    <w:rsid w:val="002B5A16"/>
    <w:rsid w:val="002B5C96"/>
    <w:rsid w:val="002B5E75"/>
    <w:rsid w:val="002B5ECA"/>
    <w:rsid w:val="002B65C2"/>
    <w:rsid w:val="002B68DE"/>
    <w:rsid w:val="002B6F83"/>
    <w:rsid w:val="002B7123"/>
    <w:rsid w:val="002B75CD"/>
    <w:rsid w:val="002B7C3E"/>
    <w:rsid w:val="002B7E15"/>
    <w:rsid w:val="002B7E4F"/>
    <w:rsid w:val="002B7EF2"/>
    <w:rsid w:val="002C0450"/>
    <w:rsid w:val="002C0639"/>
    <w:rsid w:val="002C07FD"/>
    <w:rsid w:val="002C088A"/>
    <w:rsid w:val="002C088F"/>
    <w:rsid w:val="002C0CCC"/>
    <w:rsid w:val="002C16EB"/>
    <w:rsid w:val="002C18C9"/>
    <w:rsid w:val="002C1D02"/>
    <w:rsid w:val="002C1DF4"/>
    <w:rsid w:val="002C1F28"/>
    <w:rsid w:val="002C2224"/>
    <w:rsid w:val="002C240F"/>
    <w:rsid w:val="002C2B49"/>
    <w:rsid w:val="002C3452"/>
    <w:rsid w:val="002C3766"/>
    <w:rsid w:val="002C37E4"/>
    <w:rsid w:val="002C3B69"/>
    <w:rsid w:val="002C3EFA"/>
    <w:rsid w:val="002C400D"/>
    <w:rsid w:val="002C410C"/>
    <w:rsid w:val="002C41EC"/>
    <w:rsid w:val="002C4217"/>
    <w:rsid w:val="002C442A"/>
    <w:rsid w:val="002C4476"/>
    <w:rsid w:val="002C45B6"/>
    <w:rsid w:val="002C45B9"/>
    <w:rsid w:val="002C469D"/>
    <w:rsid w:val="002C4B80"/>
    <w:rsid w:val="002C4BA4"/>
    <w:rsid w:val="002C4C4D"/>
    <w:rsid w:val="002C523B"/>
    <w:rsid w:val="002C5261"/>
    <w:rsid w:val="002C52AF"/>
    <w:rsid w:val="002C530C"/>
    <w:rsid w:val="002C5628"/>
    <w:rsid w:val="002C5BCE"/>
    <w:rsid w:val="002C5D80"/>
    <w:rsid w:val="002C5EFE"/>
    <w:rsid w:val="002C6012"/>
    <w:rsid w:val="002C619A"/>
    <w:rsid w:val="002C62BE"/>
    <w:rsid w:val="002C6357"/>
    <w:rsid w:val="002C6362"/>
    <w:rsid w:val="002C636B"/>
    <w:rsid w:val="002C64E8"/>
    <w:rsid w:val="002C67AA"/>
    <w:rsid w:val="002C6959"/>
    <w:rsid w:val="002C69B5"/>
    <w:rsid w:val="002C69ED"/>
    <w:rsid w:val="002C6CDC"/>
    <w:rsid w:val="002C6F69"/>
    <w:rsid w:val="002C7007"/>
    <w:rsid w:val="002C70A0"/>
    <w:rsid w:val="002C7454"/>
    <w:rsid w:val="002C7485"/>
    <w:rsid w:val="002C777A"/>
    <w:rsid w:val="002C78C4"/>
    <w:rsid w:val="002C795C"/>
    <w:rsid w:val="002C79E4"/>
    <w:rsid w:val="002C7A54"/>
    <w:rsid w:val="002C7A6C"/>
    <w:rsid w:val="002C7B4F"/>
    <w:rsid w:val="002D0223"/>
    <w:rsid w:val="002D0286"/>
    <w:rsid w:val="002D0443"/>
    <w:rsid w:val="002D05EF"/>
    <w:rsid w:val="002D066D"/>
    <w:rsid w:val="002D06FB"/>
    <w:rsid w:val="002D075E"/>
    <w:rsid w:val="002D0DB7"/>
    <w:rsid w:val="002D10FF"/>
    <w:rsid w:val="002D1218"/>
    <w:rsid w:val="002D187B"/>
    <w:rsid w:val="002D19A6"/>
    <w:rsid w:val="002D1A7F"/>
    <w:rsid w:val="002D1ACC"/>
    <w:rsid w:val="002D1BBB"/>
    <w:rsid w:val="002D1DAB"/>
    <w:rsid w:val="002D1E78"/>
    <w:rsid w:val="002D1FBC"/>
    <w:rsid w:val="002D1FEB"/>
    <w:rsid w:val="002D221E"/>
    <w:rsid w:val="002D2431"/>
    <w:rsid w:val="002D26F8"/>
    <w:rsid w:val="002D2ABB"/>
    <w:rsid w:val="002D2FBF"/>
    <w:rsid w:val="002D2FE3"/>
    <w:rsid w:val="002D321A"/>
    <w:rsid w:val="002D3448"/>
    <w:rsid w:val="002D3505"/>
    <w:rsid w:val="002D3A32"/>
    <w:rsid w:val="002D3AD5"/>
    <w:rsid w:val="002D4043"/>
    <w:rsid w:val="002D40DB"/>
    <w:rsid w:val="002D4153"/>
    <w:rsid w:val="002D4173"/>
    <w:rsid w:val="002D424C"/>
    <w:rsid w:val="002D4256"/>
    <w:rsid w:val="002D4346"/>
    <w:rsid w:val="002D43DE"/>
    <w:rsid w:val="002D4D7F"/>
    <w:rsid w:val="002D517B"/>
    <w:rsid w:val="002D54AB"/>
    <w:rsid w:val="002D5F33"/>
    <w:rsid w:val="002D606F"/>
    <w:rsid w:val="002D6144"/>
    <w:rsid w:val="002D63F5"/>
    <w:rsid w:val="002D65FC"/>
    <w:rsid w:val="002D6C31"/>
    <w:rsid w:val="002D6D05"/>
    <w:rsid w:val="002D6DDD"/>
    <w:rsid w:val="002D7679"/>
    <w:rsid w:val="002E035B"/>
    <w:rsid w:val="002E035F"/>
    <w:rsid w:val="002E04EF"/>
    <w:rsid w:val="002E0509"/>
    <w:rsid w:val="002E08EA"/>
    <w:rsid w:val="002E0F0C"/>
    <w:rsid w:val="002E0FC7"/>
    <w:rsid w:val="002E18EE"/>
    <w:rsid w:val="002E1A65"/>
    <w:rsid w:val="002E1D5B"/>
    <w:rsid w:val="002E223D"/>
    <w:rsid w:val="002E232E"/>
    <w:rsid w:val="002E25A3"/>
    <w:rsid w:val="002E25B4"/>
    <w:rsid w:val="002E272B"/>
    <w:rsid w:val="002E2761"/>
    <w:rsid w:val="002E2D2B"/>
    <w:rsid w:val="002E3120"/>
    <w:rsid w:val="002E31F8"/>
    <w:rsid w:val="002E341F"/>
    <w:rsid w:val="002E3A30"/>
    <w:rsid w:val="002E3AFA"/>
    <w:rsid w:val="002E3BF0"/>
    <w:rsid w:val="002E3C39"/>
    <w:rsid w:val="002E3D3A"/>
    <w:rsid w:val="002E40FF"/>
    <w:rsid w:val="002E4136"/>
    <w:rsid w:val="002E42D1"/>
    <w:rsid w:val="002E4389"/>
    <w:rsid w:val="002E4548"/>
    <w:rsid w:val="002E4891"/>
    <w:rsid w:val="002E4C85"/>
    <w:rsid w:val="002E4FF5"/>
    <w:rsid w:val="002E51B5"/>
    <w:rsid w:val="002E596F"/>
    <w:rsid w:val="002E59EA"/>
    <w:rsid w:val="002E5D26"/>
    <w:rsid w:val="002E5E32"/>
    <w:rsid w:val="002E61C4"/>
    <w:rsid w:val="002E6277"/>
    <w:rsid w:val="002E675D"/>
    <w:rsid w:val="002E69D0"/>
    <w:rsid w:val="002E6AB1"/>
    <w:rsid w:val="002E6FAE"/>
    <w:rsid w:val="002E7740"/>
    <w:rsid w:val="002E78F5"/>
    <w:rsid w:val="002E7BAD"/>
    <w:rsid w:val="002E7D00"/>
    <w:rsid w:val="002E7DED"/>
    <w:rsid w:val="002E7EE2"/>
    <w:rsid w:val="002E7FB1"/>
    <w:rsid w:val="002F01D5"/>
    <w:rsid w:val="002F052B"/>
    <w:rsid w:val="002F07C9"/>
    <w:rsid w:val="002F088E"/>
    <w:rsid w:val="002F0C4D"/>
    <w:rsid w:val="002F0F10"/>
    <w:rsid w:val="002F0FF9"/>
    <w:rsid w:val="002F125D"/>
    <w:rsid w:val="002F138F"/>
    <w:rsid w:val="002F1723"/>
    <w:rsid w:val="002F179E"/>
    <w:rsid w:val="002F1876"/>
    <w:rsid w:val="002F1886"/>
    <w:rsid w:val="002F1913"/>
    <w:rsid w:val="002F1914"/>
    <w:rsid w:val="002F1991"/>
    <w:rsid w:val="002F2082"/>
    <w:rsid w:val="002F2808"/>
    <w:rsid w:val="002F2887"/>
    <w:rsid w:val="002F2CA5"/>
    <w:rsid w:val="002F2CC6"/>
    <w:rsid w:val="002F2DD0"/>
    <w:rsid w:val="002F2E0E"/>
    <w:rsid w:val="002F3085"/>
    <w:rsid w:val="002F36E2"/>
    <w:rsid w:val="002F3A2D"/>
    <w:rsid w:val="002F3D49"/>
    <w:rsid w:val="002F3E75"/>
    <w:rsid w:val="002F3F01"/>
    <w:rsid w:val="002F420E"/>
    <w:rsid w:val="002F4570"/>
    <w:rsid w:val="002F45A5"/>
    <w:rsid w:val="002F47CC"/>
    <w:rsid w:val="002F4AFD"/>
    <w:rsid w:val="002F4BA8"/>
    <w:rsid w:val="002F4D00"/>
    <w:rsid w:val="002F4E98"/>
    <w:rsid w:val="002F53B9"/>
    <w:rsid w:val="002F53CA"/>
    <w:rsid w:val="002F5B03"/>
    <w:rsid w:val="002F5D41"/>
    <w:rsid w:val="002F5ED3"/>
    <w:rsid w:val="002F62B2"/>
    <w:rsid w:val="002F6321"/>
    <w:rsid w:val="002F68A5"/>
    <w:rsid w:val="002F6A21"/>
    <w:rsid w:val="002F6A77"/>
    <w:rsid w:val="002F6B3C"/>
    <w:rsid w:val="002F6E5D"/>
    <w:rsid w:val="002F6F17"/>
    <w:rsid w:val="002F6FCB"/>
    <w:rsid w:val="002F7492"/>
    <w:rsid w:val="002F78C5"/>
    <w:rsid w:val="002F791F"/>
    <w:rsid w:val="002F79E0"/>
    <w:rsid w:val="00300189"/>
    <w:rsid w:val="00300DBB"/>
    <w:rsid w:val="00300E09"/>
    <w:rsid w:val="00300F28"/>
    <w:rsid w:val="003016B3"/>
    <w:rsid w:val="00301BC4"/>
    <w:rsid w:val="0030215A"/>
    <w:rsid w:val="0030216A"/>
    <w:rsid w:val="0030223A"/>
    <w:rsid w:val="0030242A"/>
    <w:rsid w:val="003029D6"/>
    <w:rsid w:val="00302A2D"/>
    <w:rsid w:val="00302B23"/>
    <w:rsid w:val="00302DD6"/>
    <w:rsid w:val="00303126"/>
    <w:rsid w:val="003032E6"/>
    <w:rsid w:val="00303E27"/>
    <w:rsid w:val="003047E5"/>
    <w:rsid w:val="00304F9E"/>
    <w:rsid w:val="003054EF"/>
    <w:rsid w:val="00305C75"/>
    <w:rsid w:val="00305E99"/>
    <w:rsid w:val="00305F5B"/>
    <w:rsid w:val="0030610D"/>
    <w:rsid w:val="00306F61"/>
    <w:rsid w:val="00307324"/>
    <w:rsid w:val="00307424"/>
    <w:rsid w:val="00307D50"/>
    <w:rsid w:val="003100DA"/>
    <w:rsid w:val="00310436"/>
    <w:rsid w:val="0031076E"/>
    <w:rsid w:val="00310770"/>
    <w:rsid w:val="00310951"/>
    <w:rsid w:val="003109A4"/>
    <w:rsid w:val="00310AD8"/>
    <w:rsid w:val="00310E59"/>
    <w:rsid w:val="00311360"/>
    <w:rsid w:val="00311710"/>
    <w:rsid w:val="00311CDE"/>
    <w:rsid w:val="00311FAE"/>
    <w:rsid w:val="00312066"/>
    <w:rsid w:val="0031294C"/>
    <w:rsid w:val="003129A5"/>
    <w:rsid w:val="003129D8"/>
    <w:rsid w:val="00312DC0"/>
    <w:rsid w:val="0031321E"/>
    <w:rsid w:val="0031327A"/>
    <w:rsid w:val="003135BE"/>
    <w:rsid w:val="003135CC"/>
    <w:rsid w:val="00313A6D"/>
    <w:rsid w:val="00313C5A"/>
    <w:rsid w:val="00313D90"/>
    <w:rsid w:val="00313E64"/>
    <w:rsid w:val="00313F4C"/>
    <w:rsid w:val="00314134"/>
    <w:rsid w:val="003149F3"/>
    <w:rsid w:val="00314B0E"/>
    <w:rsid w:val="00314BE4"/>
    <w:rsid w:val="00314FAA"/>
    <w:rsid w:val="00315014"/>
    <w:rsid w:val="00315144"/>
    <w:rsid w:val="003151A3"/>
    <w:rsid w:val="003154B9"/>
    <w:rsid w:val="003155A1"/>
    <w:rsid w:val="003156BE"/>
    <w:rsid w:val="003158CA"/>
    <w:rsid w:val="00315D2B"/>
    <w:rsid w:val="00315EF1"/>
    <w:rsid w:val="0031606F"/>
    <w:rsid w:val="003160C1"/>
    <w:rsid w:val="003163BF"/>
    <w:rsid w:val="00316BD4"/>
    <w:rsid w:val="003172C3"/>
    <w:rsid w:val="003178B2"/>
    <w:rsid w:val="00317DC8"/>
    <w:rsid w:val="00320133"/>
    <w:rsid w:val="00320371"/>
    <w:rsid w:val="0032058A"/>
    <w:rsid w:val="00320697"/>
    <w:rsid w:val="00320862"/>
    <w:rsid w:val="00320A4B"/>
    <w:rsid w:val="00320ACC"/>
    <w:rsid w:val="00320B37"/>
    <w:rsid w:val="00320BFC"/>
    <w:rsid w:val="00320CC6"/>
    <w:rsid w:val="00320F18"/>
    <w:rsid w:val="00321392"/>
    <w:rsid w:val="00321531"/>
    <w:rsid w:val="003215C9"/>
    <w:rsid w:val="00321632"/>
    <w:rsid w:val="00321641"/>
    <w:rsid w:val="00321786"/>
    <w:rsid w:val="003217C7"/>
    <w:rsid w:val="00321847"/>
    <w:rsid w:val="00321A1E"/>
    <w:rsid w:val="0032254B"/>
    <w:rsid w:val="0032263C"/>
    <w:rsid w:val="00322819"/>
    <w:rsid w:val="00322A4A"/>
    <w:rsid w:val="00322CFD"/>
    <w:rsid w:val="00322E54"/>
    <w:rsid w:val="00323146"/>
    <w:rsid w:val="00323184"/>
    <w:rsid w:val="00323345"/>
    <w:rsid w:val="00323842"/>
    <w:rsid w:val="00323ADB"/>
    <w:rsid w:val="00323C25"/>
    <w:rsid w:val="003240F9"/>
    <w:rsid w:val="00324172"/>
    <w:rsid w:val="00324291"/>
    <w:rsid w:val="003246FC"/>
    <w:rsid w:val="003249F4"/>
    <w:rsid w:val="00324B0F"/>
    <w:rsid w:val="00325005"/>
    <w:rsid w:val="003250DE"/>
    <w:rsid w:val="003252EB"/>
    <w:rsid w:val="00325718"/>
    <w:rsid w:val="00325908"/>
    <w:rsid w:val="00325949"/>
    <w:rsid w:val="00325A9C"/>
    <w:rsid w:val="00325BE2"/>
    <w:rsid w:val="00325BE4"/>
    <w:rsid w:val="003260BA"/>
    <w:rsid w:val="003261AA"/>
    <w:rsid w:val="003261C0"/>
    <w:rsid w:val="00326848"/>
    <w:rsid w:val="00326C48"/>
    <w:rsid w:val="00326E18"/>
    <w:rsid w:val="00326E41"/>
    <w:rsid w:val="003270B0"/>
    <w:rsid w:val="003277D9"/>
    <w:rsid w:val="003279C6"/>
    <w:rsid w:val="003279EE"/>
    <w:rsid w:val="00327E30"/>
    <w:rsid w:val="00327F50"/>
    <w:rsid w:val="003303E2"/>
    <w:rsid w:val="003303FA"/>
    <w:rsid w:val="00330771"/>
    <w:rsid w:val="00330C46"/>
    <w:rsid w:val="00330F6A"/>
    <w:rsid w:val="0033116F"/>
    <w:rsid w:val="003312C0"/>
    <w:rsid w:val="00331627"/>
    <w:rsid w:val="00331639"/>
    <w:rsid w:val="00331B69"/>
    <w:rsid w:val="00331D2D"/>
    <w:rsid w:val="00332402"/>
    <w:rsid w:val="00332466"/>
    <w:rsid w:val="003327C6"/>
    <w:rsid w:val="00332845"/>
    <w:rsid w:val="0033292D"/>
    <w:rsid w:val="00332E82"/>
    <w:rsid w:val="0033309A"/>
    <w:rsid w:val="003332BF"/>
    <w:rsid w:val="00333586"/>
    <w:rsid w:val="00333642"/>
    <w:rsid w:val="00333CD2"/>
    <w:rsid w:val="003341CE"/>
    <w:rsid w:val="0033448F"/>
    <w:rsid w:val="003344B4"/>
    <w:rsid w:val="00334905"/>
    <w:rsid w:val="0033524B"/>
    <w:rsid w:val="003355F1"/>
    <w:rsid w:val="00335A9D"/>
    <w:rsid w:val="00335ACD"/>
    <w:rsid w:val="0033602D"/>
    <w:rsid w:val="00336202"/>
    <w:rsid w:val="003362F5"/>
    <w:rsid w:val="0033632D"/>
    <w:rsid w:val="00336347"/>
    <w:rsid w:val="003365C3"/>
    <w:rsid w:val="003365C4"/>
    <w:rsid w:val="003365C6"/>
    <w:rsid w:val="003367EC"/>
    <w:rsid w:val="00336A4D"/>
    <w:rsid w:val="00336AEF"/>
    <w:rsid w:val="00336B5A"/>
    <w:rsid w:val="00336F37"/>
    <w:rsid w:val="00337245"/>
    <w:rsid w:val="003372BF"/>
    <w:rsid w:val="00337309"/>
    <w:rsid w:val="00337317"/>
    <w:rsid w:val="00337A59"/>
    <w:rsid w:val="00340246"/>
    <w:rsid w:val="003402BF"/>
    <w:rsid w:val="003402EB"/>
    <w:rsid w:val="003403AA"/>
    <w:rsid w:val="003406C6"/>
    <w:rsid w:val="003407D3"/>
    <w:rsid w:val="003408D1"/>
    <w:rsid w:val="00340B9E"/>
    <w:rsid w:val="00340FCD"/>
    <w:rsid w:val="0034137E"/>
    <w:rsid w:val="003416FF"/>
    <w:rsid w:val="0034170E"/>
    <w:rsid w:val="0034210F"/>
    <w:rsid w:val="0034216B"/>
    <w:rsid w:val="003421FC"/>
    <w:rsid w:val="003423D7"/>
    <w:rsid w:val="00342523"/>
    <w:rsid w:val="00342781"/>
    <w:rsid w:val="003427A1"/>
    <w:rsid w:val="00343082"/>
    <w:rsid w:val="00343088"/>
    <w:rsid w:val="00343285"/>
    <w:rsid w:val="0034334D"/>
    <w:rsid w:val="00343833"/>
    <w:rsid w:val="00343A63"/>
    <w:rsid w:val="00343B01"/>
    <w:rsid w:val="00343B6E"/>
    <w:rsid w:val="00343BDF"/>
    <w:rsid w:val="00343BF5"/>
    <w:rsid w:val="00343C00"/>
    <w:rsid w:val="0034415F"/>
    <w:rsid w:val="0034453D"/>
    <w:rsid w:val="003446CA"/>
    <w:rsid w:val="003447EF"/>
    <w:rsid w:val="00344B57"/>
    <w:rsid w:val="00344E0D"/>
    <w:rsid w:val="00344ECB"/>
    <w:rsid w:val="00345073"/>
    <w:rsid w:val="003450CA"/>
    <w:rsid w:val="003456D6"/>
    <w:rsid w:val="00345732"/>
    <w:rsid w:val="0034590E"/>
    <w:rsid w:val="003459C3"/>
    <w:rsid w:val="00345AFC"/>
    <w:rsid w:val="003460AC"/>
    <w:rsid w:val="003463F9"/>
    <w:rsid w:val="003469BD"/>
    <w:rsid w:val="003469E8"/>
    <w:rsid w:val="00346A12"/>
    <w:rsid w:val="00346EDD"/>
    <w:rsid w:val="0034713D"/>
    <w:rsid w:val="003473E6"/>
    <w:rsid w:val="0034750B"/>
    <w:rsid w:val="00347648"/>
    <w:rsid w:val="0034768E"/>
    <w:rsid w:val="00347823"/>
    <w:rsid w:val="00347AFE"/>
    <w:rsid w:val="00347B15"/>
    <w:rsid w:val="00347C54"/>
    <w:rsid w:val="00350342"/>
    <w:rsid w:val="00350645"/>
    <w:rsid w:val="00350CD4"/>
    <w:rsid w:val="00350F22"/>
    <w:rsid w:val="00351147"/>
    <w:rsid w:val="003511F6"/>
    <w:rsid w:val="003512A7"/>
    <w:rsid w:val="003512FE"/>
    <w:rsid w:val="003512FF"/>
    <w:rsid w:val="00351406"/>
    <w:rsid w:val="003515CE"/>
    <w:rsid w:val="00351B85"/>
    <w:rsid w:val="00351C53"/>
    <w:rsid w:val="00352207"/>
    <w:rsid w:val="003522C5"/>
    <w:rsid w:val="00352393"/>
    <w:rsid w:val="00352469"/>
    <w:rsid w:val="00352753"/>
    <w:rsid w:val="003529B2"/>
    <w:rsid w:val="00352C22"/>
    <w:rsid w:val="003532BF"/>
    <w:rsid w:val="003534E2"/>
    <w:rsid w:val="0035354E"/>
    <w:rsid w:val="00353C15"/>
    <w:rsid w:val="003541E6"/>
    <w:rsid w:val="003543A1"/>
    <w:rsid w:val="003543B8"/>
    <w:rsid w:val="003545B3"/>
    <w:rsid w:val="00354E51"/>
    <w:rsid w:val="00354E58"/>
    <w:rsid w:val="003551B8"/>
    <w:rsid w:val="00355593"/>
    <w:rsid w:val="0035581F"/>
    <w:rsid w:val="00355C23"/>
    <w:rsid w:val="00355D10"/>
    <w:rsid w:val="00356876"/>
    <w:rsid w:val="003568F1"/>
    <w:rsid w:val="003569B4"/>
    <w:rsid w:val="00357081"/>
    <w:rsid w:val="0035766F"/>
    <w:rsid w:val="0035771F"/>
    <w:rsid w:val="003577A8"/>
    <w:rsid w:val="00357B3C"/>
    <w:rsid w:val="00357CAF"/>
    <w:rsid w:val="00357E5F"/>
    <w:rsid w:val="00357F7A"/>
    <w:rsid w:val="00360105"/>
    <w:rsid w:val="003605BE"/>
    <w:rsid w:val="00360751"/>
    <w:rsid w:val="003608BF"/>
    <w:rsid w:val="00360904"/>
    <w:rsid w:val="00360AC6"/>
    <w:rsid w:val="00360D0D"/>
    <w:rsid w:val="00360E3C"/>
    <w:rsid w:val="003610AF"/>
    <w:rsid w:val="003612D4"/>
    <w:rsid w:val="00361413"/>
    <w:rsid w:val="003616F7"/>
    <w:rsid w:val="0036183A"/>
    <w:rsid w:val="00361A86"/>
    <w:rsid w:val="00361B14"/>
    <w:rsid w:val="00362001"/>
    <w:rsid w:val="003620DB"/>
    <w:rsid w:val="003621DA"/>
    <w:rsid w:val="00362341"/>
    <w:rsid w:val="003624F2"/>
    <w:rsid w:val="003625AD"/>
    <w:rsid w:val="003625BB"/>
    <w:rsid w:val="0036280A"/>
    <w:rsid w:val="00362A8C"/>
    <w:rsid w:val="00362C6D"/>
    <w:rsid w:val="003632A7"/>
    <w:rsid w:val="003633F1"/>
    <w:rsid w:val="00363A39"/>
    <w:rsid w:val="00363B00"/>
    <w:rsid w:val="00363B86"/>
    <w:rsid w:val="00363C8E"/>
    <w:rsid w:val="00363DA4"/>
    <w:rsid w:val="00363E8C"/>
    <w:rsid w:val="00363F11"/>
    <w:rsid w:val="0036417E"/>
    <w:rsid w:val="00364498"/>
    <w:rsid w:val="003644A0"/>
    <w:rsid w:val="00364781"/>
    <w:rsid w:val="003649DC"/>
    <w:rsid w:val="00364A31"/>
    <w:rsid w:val="00364BF8"/>
    <w:rsid w:val="00364D4A"/>
    <w:rsid w:val="00364E3F"/>
    <w:rsid w:val="00364ED4"/>
    <w:rsid w:val="0036515E"/>
    <w:rsid w:val="003655D4"/>
    <w:rsid w:val="0036564F"/>
    <w:rsid w:val="00365A15"/>
    <w:rsid w:val="00365C86"/>
    <w:rsid w:val="00365D84"/>
    <w:rsid w:val="00365DB8"/>
    <w:rsid w:val="00365DC3"/>
    <w:rsid w:val="00365F0B"/>
    <w:rsid w:val="00365F7F"/>
    <w:rsid w:val="00365FBA"/>
    <w:rsid w:val="003661C7"/>
    <w:rsid w:val="00366512"/>
    <w:rsid w:val="0036672A"/>
    <w:rsid w:val="00366AF8"/>
    <w:rsid w:val="00366B6E"/>
    <w:rsid w:val="00366DEC"/>
    <w:rsid w:val="003670D8"/>
    <w:rsid w:val="0036744E"/>
    <w:rsid w:val="0036760B"/>
    <w:rsid w:val="0036774F"/>
    <w:rsid w:val="00367777"/>
    <w:rsid w:val="003677FD"/>
    <w:rsid w:val="003707DB"/>
    <w:rsid w:val="00370823"/>
    <w:rsid w:val="00370969"/>
    <w:rsid w:val="00370AC7"/>
    <w:rsid w:val="00370B5A"/>
    <w:rsid w:val="00370DC3"/>
    <w:rsid w:val="00370EE9"/>
    <w:rsid w:val="00370F0A"/>
    <w:rsid w:val="0037124A"/>
    <w:rsid w:val="003713AD"/>
    <w:rsid w:val="00371788"/>
    <w:rsid w:val="00371879"/>
    <w:rsid w:val="003719EC"/>
    <w:rsid w:val="00371B05"/>
    <w:rsid w:val="00371C27"/>
    <w:rsid w:val="00371EA6"/>
    <w:rsid w:val="0037263A"/>
    <w:rsid w:val="00372708"/>
    <w:rsid w:val="00372AC5"/>
    <w:rsid w:val="00372BF3"/>
    <w:rsid w:val="00372CFB"/>
    <w:rsid w:val="00372D03"/>
    <w:rsid w:val="003732A2"/>
    <w:rsid w:val="003732C5"/>
    <w:rsid w:val="0037333C"/>
    <w:rsid w:val="0037338A"/>
    <w:rsid w:val="003736B1"/>
    <w:rsid w:val="003737F6"/>
    <w:rsid w:val="0037394C"/>
    <w:rsid w:val="003739B6"/>
    <w:rsid w:val="003743C9"/>
    <w:rsid w:val="00374563"/>
    <w:rsid w:val="00374BC1"/>
    <w:rsid w:val="003750E4"/>
    <w:rsid w:val="00375113"/>
    <w:rsid w:val="0037541F"/>
    <w:rsid w:val="00375729"/>
    <w:rsid w:val="00375D20"/>
    <w:rsid w:val="00375D74"/>
    <w:rsid w:val="003760B4"/>
    <w:rsid w:val="00376296"/>
    <w:rsid w:val="003764BC"/>
    <w:rsid w:val="003769E6"/>
    <w:rsid w:val="00376B38"/>
    <w:rsid w:val="00377079"/>
    <w:rsid w:val="003773B6"/>
    <w:rsid w:val="00377562"/>
    <w:rsid w:val="003775FF"/>
    <w:rsid w:val="00377879"/>
    <w:rsid w:val="00377F8E"/>
    <w:rsid w:val="0038032E"/>
    <w:rsid w:val="0038052B"/>
    <w:rsid w:val="003805B9"/>
    <w:rsid w:val="003808AF"/>
    <w:rsid w:val="00380ADA"/>
    <w:rsid w:val="00380D25"/>
    <w:rsid w:val="00380DEF"/>
    <w:rsid w:val="00380F3E"/>
    <w:rsid w:val="00381173"/>
    <w:rsid w:val="0038169A"/>
    <w:rsid w:val="0038171F"/>
    <w:rsid w:val="003819E5"/>
    <w:rsid w:val="00381BDB"/>
    <w:rsid w:val="00381DB6"/>
    <w:rsid w:val="00381E95"/>
    <w:rsid w:val="00381FF3"/>
    <w:rsid w:val="0038203F"/>
    <w:rsid w:val="00382314"/>
    <w:rsid w:val="003823B4"/>
    <w:rsid w:val="00382B0D"/>
    <w:rsid w:val="00382E44"/>
    <w:rsid w:val="00383059"/>
    <w:rsid w:val="0038313B"/>
    <w:rsid w:val="00383251"/>
    <w:rsid w:val="00383282"/>
    <w:rsid w:val="0038328F"/>
    <w:rsid w:val="00383374"/>
    <w:rsid w:val="0038399E"/>
    <w:rsid w:val="00383FBA"/>
    <w:rsid w:val="00384064"/>
    <w:rsid w:val="0038406B"/>
    <w:rsid w:val="00384167"/>
    <w:rsid w:val="003841D0"/>
    <w:rsid w:val="003841D5"/>
    <w:rsid w:val="00384BC1"/>
    <w:rsid w:val="00384C66"/>
    <w:rsid w:val="00384CC8"/>
    <w:rsid w:val="00384E6B"/>
    <w:rsid w:val="00384EDB"/>
    <w:rsid w:val="0038501F"/>
    <w:rsid w:val="003851CC"/>
    <w:rsid w:val="0038523D"/>
    <w:rsid w:val="00385290"/>
    <w:rsid w:val="0038567D"/>
    <w:rsid w:val="003856AE"/>
    <w:rsid w:val="003858A5"/>
    <w:rsid w:val="003858B6"/>
    <w:rsid w:val="003859EB"/>
    <w:rsid w:val="00385D23"/>
    <w:rsid w:val="00385EB6"/>
    <w:rsid w:val="00385F30"/>
    <w:rsid w:val="003862BC"/>
    <w:rsid w:val="003866BD"/>
    <w:rsid w:val="003866FB"/>
    <w:rsid w:val="00386747"/>
    <w:rsid w:val="0038679B"/>
    <w:rsid w:val="00386DF6"/>
    <w:rsid w:val="00386EB8"/>
    <w:rsid w:val="003871A4"/>
    <w:rsid w:val="003871E1"/>
    <w:rsid w:val="00387B01"/>
    <w:rsid w:val="00387BCD"/>
    <w:rsid w:val="00390088"/>
    <w:rsid w:val="003901D2"/>
    <w:rsid w:val="003902F4"/>
    <w:rsid w:val="003903D5"/>
    <w:rsid w:val="003906C4"/>
    <w:rsid w:val="00390CD8"/>
    <w:rsid w:val="00390D73"/>
    <w:rsid w:val="00391095"/>
    <w:rsid w:val="003912D8"/>
    <w:rsid w:val="003918AD"/>
    <w:rsid w:val="00391969"/>
    <w:rsid w:val="00391B9E"/>
    <w:rsid w:val="00391F5E"/>
    <w:rsid w:val="00392339"/>
    <w:rsid w:val="003924AE"/>
    <w:rsid w:val="003925D9"/>
    <w:rsid w:val="0039269B"/>
    <w:rsid w:val="003926B0"/>
    <w:rsid w:val="003928D7"/>
    <w:rsid w:val="00392B51"/>
    <w:rsid w:val="00392ECF"/>
    <w:rsid w:val="00392F0B"/>
    <w:rsid w:val="003932C9"/>
    <w:rsid w:val="0039330D"/>
    <w:rsid w:val="003933AC"/>
    <w:rsid w:val="003937C4"/>
    <w:rsid w:val="00393823"/>
    <w:rsid w:val="00393AEF"/>
    <w:rsid w:val="00393E05"/>
    <w:rsid w:val="003944A5"/>
    <w:rsid w:val="003944BA"/>
    <w:rsid w:val="00394557"/>
    <w:rsid w:val="003946B6"/>
    <w:rsid w:val="00394BB2"/>
    <w:rsid w:val="00394D9F"/>
    <w:rsid w:val="00394F8A"/>
    <w:rsid w:val="003950DB"/>
    <w:rsid w:val="003951C3"/>
    <w:rsid w:val="003951FA"/>
    <w:rsid w:val="0039581C"/>
    <w:rsid w:val="00395A6B"/>
    <w:rsid w:val="00395B0A"/>
    <w:rsid w:val="00395B8D"/>
    <w:rsid w:val="00395C49"/>
    <w:rsid w:val="00395C70"/>
    <w:rsid w:val="0039609A"/>
    <w:rsid w:val="003961B7"/>
    <w:rsid w:val="003962F2"/>
    <w:rsid w:val="003965C9"/>
    <w:rsid w:val="0039666C"/>
    <w:rsid w:val="003967BA"/>
    <w:rsid w:val="003967F1"/>
    <w:rsid w:val="00396824"/>
    <w:rsid w:val="00396CC8"/>
    <w:rsid w:val="00396D3F"/>
    <w:rsid w:val="00396D68"/>
    <w:rsid w:val="00397207"/>
    <w:rsid w:val="00397BBC"/>
    <w:rsid w:val="003A00D4"/>
    <w:rsid w:val="003A0153"/>
    <w:rsid w:val="003A05E5"/>
    <w:rsid w:val="003A06E8"/>
    <w:rsid w:val="003A084E"/>
    <w:rsid w:val="003A0916"/>
    <w:rsid w:val="003A0B78"/>
    <w:rsid w:val="003A163A"/>
    <w:rsid w:val="003A180A"/>
    <w:rsid w:val="003A18E8"/>
    <w:rsid w:val="003A1BCC"/>
    <w:rsid w:val="003A1C77"/>
    <w:rsid w:val="003A1D5B"/>
    <w:rsid w:val="003A1E16"/>
    <w:rsid w:val="003A1E1F"/>
    <w:rsid w:val="003A2387"/>
    <w:rsid w:val="003A2A0E"/>
    <w:rsid w:val="003A2E84"/>
    <w:rsid w:val="003A3471"/>
    <w:rsid w:val="003A3584"/>
    <w:rsid w:val="003A3CE3"/>
    <w:rsid w:val="003A4212"/>
    <w:rsid w:val="003A430B"/>
    <w:rsid w:val="003A49BE"/>
    <w:rsid w:val="003A49DD"/>
    <w:rsid w:val="003A4B2A"/>
    <w:rsid w:val="003A4BF7"/>
    <w:rsid w:val="003A503F"/>
    <w:rsid w:val="003A52FE"/>
    <w:rsid w:val="003A541D"/>
    <w:rsid w:val="003A544C"/>
    <w:rsid w:val="003A5774"/>
    <w:rsid w:val="003A579B"/>
    <w:rsid w:val="003A57AF"/>
    <w:rsid w:val="003A5996"/>
    <w:rsid w:val="003A5ADE"/>
    <w:rsid w:val="003A5AE1"/>
    <w:rsid w:val="003A5B87"/>
    <w:rsid w:val="003A5DF3"/>
    <w:rsid w:val="003A5E0E"/>
    <w:rsid w:val="003A61D2"/>
    <w:rsid w:val="003A63FC"/>
    <w:rsid w:val="003A6475"/>
    <w:rsid w:val="003A67D4"/>
    <w:rsid w:val="003A68F7"/>
    <w:rsid w:val="003A6C6C"/>
    <w:rsid w:val="003A6CA3"/>
    <w:rsid w:val="003A6F10"/>
    <w:rsid w:val="003A715D"/>
    <w:rsid w:val="003A7265"/>
    <w:rsid w:val="003A7C63"/>
    <w:rsid w:val="003A7DB6"/>
    <w:rsid w:val="003A7FAC"/>
    <w:rsid w:val="003B063A"/>
    <w:rsid w:val="003B06E7"/>
    <w:rsid w:val="003B0942"/>
    <w:rsid w:val="003B0C5E"/>
    <w:rsid w:val="003B0CF2"/>
    <w:rsid w:val="003B10E8"/>
    <w:rsid w:val="003B1966"/>
    <w:rsid w:val="003B1E9B"/>
    <w:rsid w:val="003B214C"/>
    <w:rsid w:val="003B2167"/>
    <w:rsid w:val="003B21D5"/>
    <w:rsid w:val="003B24F9"/>
    <w:rsid w:val="003B2689"/>
    <w:rsid w:val="003B2766"/>
    <w:rsid w:val="003B2BF8"/>
    <w:rsid w:val="003B2C4B"/>
    <w:rsid w:val="003B3013"/>
    <w:rsid w:val="003B34C8"/>
    <w:rsid w:val="003B350D"/>
    <w:rsid w:val="003B394A"/>
    <w:rsid w:val="003B3A94"/>
    <w:rsid w:val="003B3CEC"/>
    <w:rsid w:val="003B3E9C"/>
    <w:rsid w:val="003B46D6"/>
    <w:rsid w:val="003B4744"/>
    <w:rsid w:val="003B49C5"/>
    <w:rsid w:val="003B4C77"/>
    <w:rsid w:val="003B4D6C"/>
    <w:rsid w:val="003B4F05"/>
    <w:rsid w:val="003B5256"/>
    <w:rsid w:val="003B58B0"/>
    <w:rsid w:val="003B59AA"/>
    <w:rsid w:val="003B5F6C"/>
    <w:rsid w:val="003B5FE6"/>
    <w:rsid w:val="003B61B3"/>
    <w:rsid w:val="003B61B6"/>
    <w:rsid w:val="003B6529"/>
    <w:rsid w:val="003B680C"/>
    <w:rsid w:val="003B681B"/>
    <w:rsid w:val="003B6974"/>
    <w:rsid w:val="003B6B7F"/>
    <w:rsid w:val="003B6C70"/>
    <w:rsid w:val="003B6D55"/>
    <w:rsid w:val="003B718B"/>
    <w:rsid w:val="003B7268"/>
    <w:rsid w:val="003B7379"/>
    <w:rsid w:val="003B7677"/>
    <w:rsid w:val="003B7767"/>
    <w:rsid w:val="003B7776"/>
    <w:rsid w:val="003B7A0E"/>
    <w:rsid w:val="003B7DA0"/>
    <w:rsid w:val="003B7DE6"/>
    <w:rsid w:val="003C004F"/>
    <w:rsid w:val="003C08F6"/>
    <w:rsid w:val="003C0960"/>
    <w:rsid w:val="003C0FA9"/>
    <w:rsid w:val="003C11BB"/>
    <w:rsid w:val="003C133C"/>
    <w:rsid w:val="003C1392"/>
    <w:rsid w:val="003C13BE"/>
    <w:rsid w:val="003C1AAB"/>
    <w:rsid w:val="003C1E64"/>
    <w:rsid w:val="003C1FCA"/>
    <w:rsid w:val="003C222E"/>
    <w:rsid w:val="003C29A2"/>
    <w:rsid w:val="003C2BBE"/>
    <w:rsid w:val="003C2D1E"/>
    <w:rsid w:val="003C2E0D"/>
    <w:rsid w:val="003C2E3A"/>
    <w:rsid w:val="003C36C9"/>
    <w:rsid w:val="003C3923"/>
    <w:rsid w:val="003C3A4E"/>
    <w:rsid w:val="003C3D09"/>
    <w:rsid w:val="003C3DC0"/>
    <w:rsid w:val="003C3DDF"/>
    <w:rsid w:val="003C40A2"/>
    <w:rsid w:val="003C416B"/>
    <w:rsid w:val="003C444B"/>
    <w:rsid w:val="003C47CB"/>
    <w:rsid w:val="003C484C"/>
    <w:rsid w:val="003C4970"/>
    <w:rsid w:val="003C4D44"/>
    <w:rsid w:val="003C4F1C"/>
    <w:rsid w:val="003C513D"/>
    <w:rsid w:val="003C5645"/>
    <w:rsid w:val="003C56E0"/>
    <w:rsid w:val="003C5976"/>
    <w:rsid w:val="003C5991"/>
    <w:rsid w:val="003C5AB4"/>
    <w:rsid w:val="003C5B93"/>
    <w:rsid w:val="003C6026"/>
    <w:rsid w:val="003C66EC"/>
    <w:rsid w:val="003C6B99"/>
    <w:rsid w:val="003C6C04"/>
    <w:rsid w:val="003C6C06"/>
    <w:rsid w:val="003C6EF9"/>
    <w:rsid w:val="003C731A"/>
    <w:rsid w:val="003C7664"/>
    <w:rsid w:val="003C7A0C"/>
    <w:rsid w:val="003D00C1"/>
    <w:rsid w:val="003D0498"/>
    <w:rsid w:val="003D08AB"/>
    <w:rsid w:val="003D0CD7"/>
    <w:rsid w:val="003D1179"/>
    <w:rsid w:val="003D1589"/>
    <w:rsid w:val="003D15F8"/>
    <w:rsid w:val="003D1734"/>
    <w:rsid w:val="003D1951"/>
    <w:rsid w:val="003D263B"/>
    <w:rsid w:val="003D268A"/>
    <w:rsid w:val="003D2AC7"/>
    <w:rsid w:val="003D2D4A"/>
    <w:rsid w:val="003D2D6E"/>
    <w:rsid w:val="003D2D98"/>
    <w:rsid w:val="003D2E2D"/>
    <w:rsid w:val="003D32EB"/>
    <w:rsid w:val="003D3755"/>
    <w:rsid w:val="003D3CE2"/>
    <w:rsid w:val="003D3E5A"/>
    <w:rsid w:val="003D4084"/>
    <w:rsid w:val="003D4225"/>
    <w:rsid w:val="003D44D4"/>
    <w:rsid w:val="003D4660"/>
    <w:rsid w:val="003D4A6F"/>
    <w:rsid w:val="003D4C68"/>
    <w:rsid w:val="003D4F18"/>
    <w:rsid w:val="003D54E0"/>
    <w:rsid w:val="003D551C"/>
    <w:rsid w:val="003D5942"/>
    <w:rsid w:val="003D6177"/>
    <w:rsid w:val="003D6569"/>
    <w:rsid w:val="003D65DB"/>
    <w:rsid w:val="003D676F"/>
    <w:rsid w:val="003D6D36"/>
    <w:rsid w:val="003D7781"/>
    <w:rsid w:val="003D7A95"/>
    <w:rsid w:val="003D7B4A"/>
    <w:rsid w:val="003D7D51"/>
    <w:rsid w:val="003D7F18"/>
    <w:rsid w:val="003E059B"/>
    <w:rsid w:val="003E0BD7"/>
    <w:rsid w:val="003E1306"/>
    <w:rsid w:val="003E1519"/>
    <w:rsid w:val="003E154B"/>
    <w:rsid w:val="003E155E"/>
    <w:rsid w:val="003E1655"/>
    <w:rsid w:val="003E1788"/>
    <w:rsid w:val="003E1832"/>
    <w:rsid w:val="003E18C8"/>
    <w:rsid w:val="003E1B24"/>
    <w:rsid w:val="003E1BE0"/>
    <w:rsid w:val="003E1C89"/>
    <w:rsid w:val="003E1D40"/>
    <w:rsid w:val="003E1FED"/>
    <w:rsid w:val="003E23D5"/>
    <w:rsid w:val="003E2483"/>
    <w:rsid w:val="003E2593"/>
    <w:rsid w:val="003E26EA"/>
    <w:rsid w:val="003E26FF"/>
    <w:rsid w:val="003E2C0D"/>
    <w:rsid w:val="003E2C7D"/>
    <w:rsid w:val="003E2EB4"/>
    <w:rsid w:val="003E3136"/>
    <w:rsid w:val="003E314A"/>
    <w:rsid w:val="003E35A4"/>
    <w:rsid w:val="003E36D5"/>
    <w:rsid w:val="003E3765"/>
    <w:rsid w:val="003E396F"/>
    <w:rsid w:val="003E409E"/>
    <w:rsid w:val="003E411E"/>
    <w:rsid w:val="003E4235"/>
    <w:rsid w:val="003E4698"/>
    <w:rsid w:val="003E48D6"/>
    <w:rsid w:val="003E521A"/>
    <w:rsid w:val="003E5501"/>
    <w:rsid w:val="003E56C6"/>
    <w:rsid w:val="003E5A2D"/>
    <w:rsid w:val="003E5AE9"/>
    <w:rsid w:val="003E5C1C"/>
    <w:rsid w:val="003E606F"/>
    <w:rsid w:val="003E61EE"/>
    <w:rsid w:val="003E64F9"/>
    <w:rsid w:val="003E6892"/>
    <w:rsid w:val="003E6917"/>
    <w:rsid w:val="003E6C3D"/>
    <w:rsid w:val="003E70B0"/>
    <w:rsid w:val="003E780D"/>
    <w:rsid w:val="003E7C96"/>
    <w:rsid w:val="003F02D0"/>
    <w:rsid w:val="003F06CC"/>
    <w:rsid w:val="003F0D45"/>
    <w:rsid w:val="003F0DE8"/>
    <w:rsid w:val="003F0E4A"/>
    <w:rsid w:val="003F116C"/>
    <w:rsid w:val="003F13DF"/>
    <w:rsid w:val="003F1680"/>
    <w:rsid w:val="003F1956"/>
    <w:rsid w:val="003F1A5F"/>
    <w:rsid w:val="003F1C1D"/>
    <w:rsid w:val="003F1CCE"/>
    <w:rsid w:val="003F21CF"/>
    <w:rsid w:val="003F21D0"/>
    <w:rsid w:val="003F29DB"/>
    <w:rsid w:val="003F2F1E"/>
    <w:rsid w:val="003F3103"/>
    <w:rsid w:val="003F32C7"/>
    <w:rsid w:val="003F37C9"/>
    <w:rsid w:val="003F37EE"/>
    <w:rsid w:val="003F4122"/>
    <w:rsid w:val="003F416D"/>
    <w:rsid w:val="003F4573"/>
    <w:rsid w:val="003F4783"/>
    <w:rsid w:val="003F4B25"/>
    <w:rsid w:val="003F4E39"/>
    <w:rsid w:val="003F52B4"/>
    <w:rsid w:val="003F52BC"/>
    <w:rsid w:val="003F53DF"/>
    <w:rsid w:val="003F580E"/>
    <w:rsid w:val="003F5A35"/>
    <w:rsid w:val="003F60AC"/>
    <w:rsid w:val="003F612F"/>
    <w:rsid w:val="003F65C4"/>
    <w:rsid w:val="003F6708"/>
    <w:rsid w:val="003F6A3D"/>
    <w:rsid w:val="003F6B32"/>
    <w:rsid w:val="003F6B33"/>
    <w:rsid w:val="003F6F8C"/>
    <w:rsid w:val="003F7068"/>
    <w:rsid w:val="003F712C"/>
    <w:rsid w:val="003F74DA"/>
    <w:rsid w:val="003F792A"/>
    <w:rsid w:val="003F7E69"/>
    <w:rsid w:val="00400421"/>
    <w:rsid w:val="0040051E"/>
    <w:rsid w:val="00400599"/>
    <w:rsid w:val="0040076F"/>
    <w:rsid w:val="00400923"/>
    <w:rsid w:val="00400B49"/>
    <w:rsid w:val="00400EF5"/>
    <w:rsid w:val="0040137D"/>
    <w:rsid w:val="004013D7"/>
    <w:rsid w:val="0040147F"/>
    <w:rsid w:val="00401627"/>
    <w:rsid w:val="0040167C"/>
    <w:rsid w:val="00401799"/>
    <w:rsid w:val="0040191B"/>
    <w:rsid w:val="00401DE2"/>
    <w:rsid w:val="004022FE"/>
    <w:rsid w:val="00402436"/>
    <w:rsid w:val="004025EC"/>
    <w:rsid w:val="00402691"/>
    <w:rsid w:val="00402884"/>
    <w:rsid w:val="00402960"/>
    <w:rsid w:val="00402AD5"/>
    <w:rsid w:val="00402B2F"/>
    <w:rsid w:val="00402E62"/>
    <w:rsid w:val="00402F35"/>
    <w:rsid w:val="004031E5"/>
    <w:rsid w:val="00403462"/>
    <w:rsid w:val="00403687"/>
    <w:rsid w:val="00403697"/>
    <w:rsid w:val="0040379F"/>
    <w:rsid w:val="0040387C"/>
    <w:rsid w:val="004038E9"/>
    <w:rsid w:val="00403F8E"/>
    <w:rsid w:val="0040407E"/>
    <w:rsid w:val="00404119"/>
    <w:rsid w:val="0040441D"/>
    <w:rsid w:val="00404788"/>
    <w:rsid w:val="00404A0D"/>
    <w:rsid w:val="00404A46"/>
    <w:rsid w:val="00404B32"/>
    <w:rsid w:val="00404EDB"/>
    <w:rsid w:val="00405076"/>
    <w:rsid w:val="00405578"/>
    <w:rsid w:val="004056B2"/>
    <w:rsid w:val="00405887"/>
    <w:rsid w:val="00405B44"/>
    <w:rsid w:val="00405C5D"/>
    <w:rsid w:val="004060D5"/>
    <w:rsid w:val="004063B4"/>
    <w:rsid w:val="004063DB"/>
    <w:rsid w:val="004064FB"/>
    <w:rsid w:val="00406666"/>
    <w:rsid w:val="0040666B"/>
    <w:rsid w:val="00406700"/>
    <w:rsid w:val="00406C1C"/>
    <w:rsid w:val="00406EA3"/>
    <w:rsid w:val="004070A4"/>
    <w:rsid w:val="004072FD"/>
    <w:rsid w:val="004073B1"/>
    <w:rsid w:val="00407699"/>
    <w:rsid w:val="00407713"/>
    <w:rsid w:val="004078FB"/>
    <w:rsid w:val="004079FA"/>
    <w:rsid w:val="0041012B"/>
    <w:rsid w:val="004101D9"/>
    <w:rsid w:val="0041046C"/>
    <w:rsid w:val="004106C5"/>
    <w:rsid w:val="00410800"/>
    <w:rsid w:val="00410894"/>
    <w:rsid w:val="00410B10"/>
    <w:rsid w:val="00410BB9"/>
    <w:rsid w:val="00410F11"/>
    <w:rsid w:val="00411088"/>
    <w:rsid w:val="00411387"/>
    <w:rsid w:val="004114AA"/>
    <w:rsid w:val="004116F4"/>
    <w:rsid w:val="00411B07"/>
    <w:rsid w:val="00411B68"/>
    <w:rsid w:val="00411D9B"/>
    <w:rsid w:val="00412116"/>
    <w:rsid w:val="004121B3"/>
    <w:rsid w:val="004123A5"/>
    <w:rsid w:val="004125AB"/>
    <w:rsid w:val="00412688"/>
    <w:rsid w:val="004126DB"/>
    <w:rsid w:val="004128E3"/>
    <w:rsid w:val="00412BA9"/>
    <w:rsid w:val="00412FBD"/>
    <w:rsid w:val="00413093"/>
    <w:rsid w:val="00413386"/>
    <w:rsid w:val="004134AF"/>
    <w:rsid w:val="00413830"/>
    <w:rsid w:val="00413CCD"/>
    <w:rsid w:val="00413D4E"/>
    <w:rsid w:val="0041401D"/>
    <w:rsid w:val="004140AC"/>
    <w:rsid w:val="0041454E"/>
    <w:rsid w:val="004147AE"/>
    <w:rsid w:val="00414E0F"/>
    <w:rsid w:val="00414E78"/>
    <w:rsid w:val="00414E97"/>
    <w:rsid w:val="004150F8"/>
    <w:rsid w:val="00415288"/>
    <w:rsid w:val="00415361"/>
    <w:rsid w:val="00415A4A"/>
    <w:rsid w:val="00415A7F"/>
    <w:rsid w:val="00415AA6"/>
    <w:rsid w:val="00415B37"/>
    <w:rsid w:val="004163BA"/>
    <w:rsid w:val="00416531"/>
    <w:rsid w:val="00416CB5"/>
    <w:rsid w:val="00416D7A"/>
    <w:rsid w:val="0041700F"/>
    <w:rsid w:val="00417076"/>
    <w:rsid w:val="004175BD"/>
    <w:rsid w:val="00417617"/>
    <w:rsid w:val="0041769F"/>
    <w:rsid w:val="00417D28"/>
    <w:rsid w:val="00420328"/>
    <w:rsid w:val="0042035B"/>
    <w:rsid w:val="00420426"/>
    <w:rsid w:val="00420499"/>
    <w:rsid w:val="00420700"/>
    <w:rsid w:val="00420911"/>
    <w:rsid w:val="0042105A"/>
    <w:rsid w:val="00421196"/>
    <w:rsid w:val="004218DF"/>
    <w:rsid w:val="00421CBC"/>
    <w:rsid w:val="00421F59"/>
    <w:rsid w:val="00421F60"/>
    <w:rsid w:val="00421FDA"/>
    <w:rsid w:val="004220D4"/>
    <w:rsid w:val="00422200"/>
    <w:rsid w:val="00422BA2"/>
    <w:rsid w:val="00422BD5"/>
    <w:rsid w:val="00422E34"/>
    <w:rsid w:val="00422F99"/>
    <w:rsid w:val="0042332D"/>
    <w:rsid w:val="00423428"/>
    <w:rsid w:val="004234C6"/>
    <w:rsid w:val="00423741"/>
    <w:rsid w:val="0042429F"/>
    <w:rsid w:val="004243A5"/>
    <w:rsid w:val="0042468B"/>
    <w:rsid w:val="00424779"/>
    <w:rsid w:val="00424AF0"/>
    <w:rsid w:val="00424C2A"/>
    <w:rsid w:val="0042537F"/>
    <w:rsid w:val="00425410"/>
    <w:rsid w:val="0042553D"/>
    <w:rsid w:val="00425981"/>
    <w:rsid w:val="004259DB"/>
    <w:rsid w:val="00426011"/>
    <w:rsid w:val="0042625C"/>
    <w:rsid w:val="004266EE"/>
    <w:rsid w:val="00426844"/>
    <w:rsid w:val="00426B0B"/>
    <w:rsid w:val="00426C19"/>
    <w:rsid w:val="0042722B"/>
    <w:rsid w:val="00427542"/>
    <w:rsid w:val="004275F6"/>
    <w:rsid w:val="00427D7F"/>
    <w:rsid w:val="00427E13"/>
    <w:rsid w:val="00427E44"/>
    <w:rsid w:val="00430044"/>
    <w:rsid w:val="0043035B"/>
    <w:rsid w:val="00430418"/>
    <w:rsid w:val="00430445"/>
    <w:rsid w:val="0043085A"/>
    <w:rsid w:val="00430CAB"/>
    <w:rsid w:val="00430D45"/>
    <w:rsid w:val="00431029"/>
    <w:rsid w:val="0043158B"/>
    <w:rsid w:val="004318F1"/>
    <w:rsid w:val="00431D4D"/>
    <w:rsid w:val="00431DCA"/>
    <w:rsid w:val="004320DF"/>
    <w:rsid w:val="00432281"/>
    <w:rsid w:val="00432621"/>
    <w:rsid w:val="00432C19"/>
    <w:rsid w:val="00432D0F"/>
    <w:rsid w:val="00432EDC"/>
    <w:rsid w:val="00433126"/>
    <w:rsid w:val="00433747"/>
    <w:rsid w:val="00433A86"/>
    <w:rsid w:val="00433B4B"/>
    <w:rsid w:val="00433B7C"/>
    <w:rsid w:val="00433EFA"/>
    <w:rsid w:val="00434095"/>
    <w:rsid w:val="004344EE"/>
    <w:rsid w:val="00434588"/>
    <w:rsid w:val="004345F4"/>
    <w:rsid w:val="00434691"/>
    <w:rsid w:val="00434875"/>
    <w:rsid w:val="0043497B"/>
    <w:rsid w:val="004349DF"/>
    <w:rsid w:val="00434D38"/>
    <w:rsid w:val="00434D5E"/>
    <w:rsid w:val="00434E46"/>
    <w:rsid w:val="004351AB"/>
    <w:rsid w:val="004354EE"/>
    <w:rsid w:val="004359FF"/>
    <w:rsid w:val="00435BC4"/>
    <w:rsid w:val="00435C8E"/>
    <w:rsid w:val="00435C9E"/>
    <w:rsid w:val="00435CEC"/>
    <w:rsid w:val="0043621E"/>
    <w:rsid w:val="004365A0"/>
    <w:rsid w:val="004366B0"/>
    <w:rsid w:val="00436774"/>
    <w:rsid w:val="004368AB"/>
    <w:rsid w:val="004369BC"/>
    <w:rsid w:val="00436C9F"/>
    <w:rsid w:val="00436F31"/>
    <w:rsid w:val="004375F5"/>
    <w:rsid w:val="0044017E"/>
    <w:rsid w:val="0044035D"/>
    <w:rsid w:val="00440360"/>
    <w:rsid w:val="00440469"/>
    <w:rsid w:val="00440878"/>
    <w:rsid w:val="004408A5"/>
    <w:rsid w:val="004408C1"/>
    <w:rsid w:val="004409FE"/>
    <w:rsid w:val="00440E31"/>
    <w:rsid w:val="00441024"/>
    <w:rsid w:val="004410D2"/>
    <w:rsid w:val="004411CD"/>
    <w:rsid w:val="00441422"/>
    <w:rsid w:val="0044142E"/>
    <w:rsid w:val="004417A6"/>
    <w:rsid w:val="00441879"/>
    <w:rsid w:val="00441A06"/>
    <w:rsid w:val="00441B3A"/>
    <w:rsid w:val="00441C57"/>
    <w:rsid w:val="00441CE9"/>
    <w:rsid w:val="00442285"/>
    <w:rsid w:val="0044242F"/>
    <w:rsid w:val="00442459"/>
    <w:rsid w:val="0044274A"/>
    <w:rsid w:val="004428E7"/>
    <w:rsid w:val="00442AFC"/>
    <w:rsid w:val="00442D23"/>
    <w:rsid w:val="00442DD3"/>
    <w:rsid w:val="00442E48"/>
    <w:rsid w:val="00442E8E"/>
    <w:rsid w:val="00442E8F"/>
    <w:rsid w:val="0044309C"/>
    <w:rsid w:val="004433DE"/>
    <w:rsid w:val="0044361A"/>
    <w:rsid w:val="00443DE0"/>
    <w:rsid w:val="00444067"/>
    <w:rsid w:val="0044446C"/>
    <w:rsid w:val="00444536"/>
    <w:rsid w:val="004446A6"/>
    <w:rsid w:val="00444AA4"/>
    <w:rsid w:val="00444D97"/>
    <w:rsid w:val="00445006"/>
    <w:rsid w:val="004455FC"/>
    <w:rsid w:val="00445A08"/>
    <w:rsid w:val="00445B40"/>
    <w:rsid w:val="00445C26"/>
    <w:rsid w:val="00445D60"/>
    <w:rsid w:val="00445D8F"/>
    <w:rsid w:val="00445F44"/>
    <w:rsid w:val="004465BF"/>
    <w:rsid w:val="004467B7"/>
    <w:rsid w:val="00446B12"/>
    <w:rsid w:val="00446E7E"/>
    <w:rsid w:val="00446FB2"/>
    <w:rsid w:val="0044736E"/>
    <w:rsid w:val="00447406"/>
    <w:rsid w:val="00447CF6"/>
    <w:rsid w:val="00447EF1"/>
    <w:rsid w:val="004503DA"/>
    <w:rsid w:val="004507FB"/>
    <w:rsid w:val="00450A07"/>
    <w:rsid w:val="00450AC4"/>
    <w:rsid w:val="00450B8D"/>
    <w:rsid w:val="00450C5F"/>
    <w:rsid w:val="00450D24"/>
    <w:rsid w:val="004510A1"/>
    <w:rsid w:val="004512AC"/>
    <w:rsid w:val="00451341"/>
    <w:rsid w:val="004513C8"/>
    <w:rsid w:val="004518D1"/>
    <w:rsid w:val="00451C5A"/>
    <w:rsid w:val="00451F51"/>
    <w:rsid w:val="004520AB"/>
    <w:rsid w:val="0045252B"/>
    <w:rsid w:val="004527F3"/>
    <w:rsid w:val="00452D4D"/>
    <w:rsid w:val="00452D70"/>
    <w:rsid w:val="00452E60"/>
    <w:rsid w:val="00452ECE"/>
    <w:rsid w:val="00453007"/>
    <w:rsid w:val="004531BA"/>
    <w:rsid w:val="004531EE"/>
    <w:rsid w:val="0045334E"/>
    <w:rsid w:val="00453550"/>
    <w:rsid w:val="004535F9"/>
    <w:rsid w:val="00453697"/>
    <w:rsid w:val="00453CD8"/>
    <w:rsid w:val="00454036"/>
    <w:rsid w:val="0045422A"/>
    <w:rsid w:val="0045435D"/>
    <w:rsid w:val="004544FC"/>
    <w:rsid w:val="0045458B"/>
    <w:rsid w:val="00454AD6"/>
    <w:rsid w:val="00454C09"/>
    <w:rsid w:val="00454D4C"/>
    <w:rsid w:val="00454DE0"/>
    <w:rsid w:val="00454F86"/>
    <w:rsid w:val="00455304"/>
    <w:rsid w:val="00455C65"/>
    <w:rsid w:val="00455F8B"/>
    <w:rsid w:val="00456331"/>
    <w:rsid w:val="004564B7"/>
    <w:rsid w:val="004567A7"/>
    <w:rsid w:val="004569AD"/>
    <w:rsid w:val="00456DD4"/>
    <w:rsid w:val="00456F25"/>
    <w:rsid w:val="004570ED"/>
    <w:rsid w:val="0045713F"/>
    <w:rsid w:val="004571E8"/>
    <w:rsid w:val="00457274"/>
    <w:rsid w:val="00457681"/>
    <w:rsid w:val="00457AD9"/>
    <w:rsid w:val="00460BA2"/>
    <w:rsid w:val="00460E96"/>
    <w:rsid w:val="00460FCB"/>
    <w:rsid w:val="0046137B"/>
    <w:rsid w:val="00461413"/>
    <w:rsid w:val="00461527"/>
    <w:rsid w:val="004615B0"/>
    <w:rsid w:val="00461809"/>
    <w:rsid w:val="00461A70"/>
    <w:rsid w:val="00461AFE"/>
    <w:rsid w:val="00461BF8"/>
    <w:rsid w:val="00461EE6"/>
    <w:rsid w:val="004621CE"/>
    <w:rsid w:val="0046259C"/>
    <w:rsid w:val="00462765"/>
    <w:rsid w:val="00462D5D"/>
    <w:rsid w:val="00462E74"/>
    <w:rsid w:val="00462EA7"/>
    <w:rsid w:val="00463327"/>
    <w:rsid w:val="004633E6"/>
    <w:rsid w:val="00463410"/>
    <w:rsid w:val="0046385A"/>
    <w:rsid w:val="0046387E"/>
    <w:rsid w:val="00463B4E"/>
    <w:rsid w:val="00463CB4"/>
    <w:rsid w:val="00464094"/>
    <w:rsid w:val="0046413C"/>
    <w:rsid w:val="00464289"/>
    <w:rsid w:val="004642FD"/>
    <w:rsid w:val="00464365"/>
    <w:rsid w:val="00464382"/>
    <w:rsid w:val="0046439B"/>
    <w:rsid w:val="00464524"/>
    <w:rsid w:val="00464E7A"/>
    <w:rsid w:val="00465072"/>
    <w:rsid w:val="004651B8"/>
    <w:rsid w:val="004651C0"/>
    <w:rsid w:val="004652B2"/>
    <w:rsid w:val="00465339"/>
    <w:rsid w:val="004654A7"/>
    <w:rsid w:val="004655A0"/>
    <w:rsid w:val="0046562B"/>
    <w:rsid w:val="004656AF"/>
    <w:rsid w:val="0046582B"/>
    <w:rsid w:val="00465FCE"/>
    <w:rsid w:val="00466016"/>
    <w:rsid w:val="004662BA"/>
    <w:rsid w:val="00466459"/>
    <w:rsid w:val="004668B9"/>
    <w:rsid w:val="0046698D"/>
    <w:rsid w:val="00466A57"/>
    <w:rsid w:val="00466DAF"/>
    <w:rsid w:val="004670DC"/>
    <w:rsid w:val="00467125"/>
    <w:rsid w:val="004676D4"/>
    <w:rsid w:val="0046773F"/>
    <w:rsid w:val="0046779D"/>
    <w:rsid w:val="004677EB"/>
    <w:rsid w:val="0046780C"/>
    <w:rsid w:val="00467BFC"/>
    <w:rsid w:val="00467D71"/>
    <w:rsid w:val="004702C8"/>
    <w:rsid w:val="004702D5"/>
    <w:rsid w:val="00470642"/>
    <w:rsid w:val="004706B0"/>
    <w:rsid w:val="00470A46"/>
    <w:rsid w:val="00470C9C"/>
    <w:rsid w:val="00471368"/>
    <w:rsid w:val="00471380"/>
    <w:rsid w:val="0047141C"/>
    <w:rsid w:val="004714CB"/>
    <w:rsid w:val="00471958"/>
    <w:rsid w:val="00471C79"/>
    <w:rsid w:val="00471F6A"/>
    <w:rsid w:val="00471F75"/>
    <w:rsid w:val="00472027"/>
    <w:rsid w:val="00472454"/>
    <w:rsid w:val="00472625"/>
    <w:rsid w:val="00472790"/>
    <w:rsid w:val="00472928"/>
    <w:rsid w:val="00472ACF"/>
    <w:rsid w:val="00472C36"/>
    <w:rsid w:val="00472D05"/>
    <w:rsid w:val="00473155"/>
    <w:rsid w:val="00473875"/>
    <w:rsid w:val="00473886"/>
    <w:rsid w:val="00473968"/>
    <w:rsid w:val="00473BAA"/>
    <w:rsid w:val="00473E10"/>
    <w:rsid w:val="0047405F"/>
    <w:rsid w:val="00474387"/>
    <w:rsid w:val="00474685"/>
    <w:rsid w:val="004746DE"/>
    <w:rsid w:val="00474851"/>
    <w:rsid w:val="00474898"/>
    <w:rsid w:val="00475513"/>
    <w:rsid w:val="004756AE"/>
    <w:rsid w:val="004757CE"/>
    <w:rsid w:val="004757E1"/>
    <w:rsid w:val="00475968"/>
    <w:rsid w:val="00475A27"/>
    <w:rsid w:val="00475AB7"/>
    <w:rsid w:val="00475EC9"/>
    <w:rsid w:val="0047606B"/>
    <w:rsid w:val="0047609F"/>
    <w:rsid w:val="00476308"/>
    <w:rsid w:val="004767D0"/>
    <w:rsid w:val="004767F2"/>
    <w:rsid w:val="0047690B"/>
    <w:rsid w:val="00476D68"/>
    <w:rsid w:val="004775AC"/>
    <w:rsid w:val="00477604"/>
    <w:rsid w:val="0047786D"/>
    <w:rsid w:val="00477D85"/>
    <w:rsid w:val="00477E4E"/>
    <w:rsid w:val="00477EC1"/>
    <w:rsid w:val="004801E1"/>
    <w:rsid w:val="0048044B"/>
    <w:rsid w:val="004805C6"/>
    <w:rsid w:val="00480898"/>
    <w:rsid w:val="00480BCB"/>
    <w:rsid w:val="004812C5"/>
    <w:rsid w:val="00481735"/>
    <w:rsid w:val="004817B4"/>
    <w:rsid w:val="004817E3"/>
    <w:rsid w:val="00481DF4"/>
    <w:rsid w:val="00481EB9"/>
    <w:rsid w:val="004821C6"/>
    <w:rsid w:val="00482656"/>
    <w:rsid w:val="0048295E"/>
    <w:rsid w:val="00482D95"/>
    <w:rsid w:val="00483648"/>
    <w:rsid w:val="00483818"/>
    <w:rsid w:val="00483AF1"/>
    <w:rsid w:val="0048449F"/>
    <w:rsid w:val="004844A7"/>
    <w:rsid w:val="004847FE"/>
    <w:rsid w:val="00484D62"/>
    <w:rsid w:val="00484EC5"/>
    <w:rsid w:val="004850A9"/>
    <w:rsid w:val="0048552F"/>
    <w:rsid w:val="004856B5"/>
    <w:rsid w:val="00485C5C"/>
    <w:rsid w:val="00485D92"/>
    <w:rsid w:val="004862D7"/>
    <w:rsid w:val="0048656F"/>
    <w:rsid w:val="0048669E"/>
    <w:rsid w:val="004866DE"/>
    <w:rsid w:val="00486CAB"/>
    <w:rsid w:val="00486D94"/>
    <w:rsid w:val="00486F71"/>
    <w:rsid w:val="004870BE"/>
    <w:rsid w:val="00487A05"/>
    <w:rsid w:val="00487AE9"/>
    <w:rsid w:val="00487C6E"/>
    <w:rsid w:val="00487E06"/>
    <w:rsid w:val="00487E8E"/>
    <w:rsid w:val="00487F5A"/>
    <w:rsid w:val="00487F79"/>
    <w:rsid w:val="00490435"/>
    <w:rsid w:val="00490537"/>
    <w:rsid w:val="004905BE"/>
    <w:rsid w:val="004906A0"/>
    <w:rsid w:val="00490799"/>
    <w:rsid w:val="00490CD5"/>
    <w:rsid w:val="00490DF4"/>
    <w:rsid w:val="00490E32"/>
    <w:rsid w:val="004913DA"/>
    <w:rsid w:val="0049152B"/>
    <w:rsid w:val="0049199E"/>
    <w:rsid w:val="004919CC"/>
    <w:rsid w:val="00491A69"/>
    <w:rsid w:val="00491B81"/>
    <w:rsid w:val="00491BA9"/>
    <w:rsid w:val="00491BAB"/>
    <w:rsid w:val="00491C37"/>
    <w:rsid w:val="00491E8B"/>
    <w:rsid w:val="00491EE5"/>
    <w:rsid w:val="00492026"/>
    <w:rsid w:val="004920A6"/>
    <w:rsid w:val="00492108"/>
    <w:rsid w:val="00492238"/>
    <w:rsid w:val="004928D4"/>
    <w:rsid w:val="004928E0"/>
    <w:rsid w:val="00492A58"/>
    <w:rsid w:val="00492B31"/>
    <w:rsid w:val="00492D6A"/>
    <w:rsid w:val="00492DD6"/>
    <w:rsid w:val="00492EDE"/>
    <w:rsid w:val="0049314B"/>
    <w:rsid w:val="004931C2"/>
    <w:rsid w:val="004939CE"/>
    <w:rsid w:val="00493FAA"/>
    <w:rsid w:val="00493FBA"/>
    <w:rsid w:val="004940E8"/>
    <w:rsid w:val="004942C6"/>
    <w:rsid w:val="004944CE"/>
    <w:rsid w:val="0049452F"/>
    <w:rsid w:val="0049458E"/>
    <w:rsid w:val="0049506E"/>
    <w:rsid w:val="00495132"/>
    <w:rsid w:val="0049524F"/>
    <w:rsid w:val="004952CE"/>
    <w:rsid w:val="00495331"/>
    <w:rsid w:val="004953F6"/>
    <w:rsid w:val="004954B0"/>
    <w:rsid w:val="0049575E"/>
    <w:rsid w:val="004959C0"/>
    <w:rsid w:val="00495E09"/>
    <w:rsid w:val="00495FCE"/>
    <w:rsid w:val="004962D7"/>
    <w:rsid w:val="0049688B"/>
    <w:rsid w:val="004968BD"/>
    <w:rsid w:val="0049699E"/>
    <w:rsid w:val="00496DD1"/>
    <w:rsid w:val="00497495"/>
    <w:rsid w:val="00497890"/>
    <w:rsid w:val="00497AAF"/>
    <w:rsid w:val="00497BC2"/>
    <w:rsid w:val="00497EA3"/>
    <w:rsid w:val="004A052D"/>
    <w:rsid w:val="004A0A40"/>
    <w:rsid w:val="004A0CFC"/>
    <w:rsid w:val="004A10F9"/>
    <w:rsid w:val="004A1557"/>
    <w:rsid w:val="004A1A5F"/>
    <w:rsid w:val="004A1C5E"/>
    <w:rsid w:val="004A1CAB"/>
    <w:rsid w:val="004A1E4A"/>
    <w:rsid w:val="004A20C8"/>
    <w:rsid w:val="004A20D8"/>
    <w:rsid w:val="004A25D4"/>
    <w:rsid w:val="004A2846"/>
    <w:rsid w:val="004A2B7E"/>
    <w:rsid w:val="004A2DDC"/>
    <w:rsid w:val="004A30BC"/>
    <w:rsid w:val="004A3184"/>
    <w:rsid w:val="004A3446"/>
    <w:rsid w:val="004A3568"/>
    <w:rsid w:val="004A3934"/>
    <w:rsid w:val="004A48CF"/>
    <w:rsid w:val="004A49DD"/>
    <w:rsid w:val="004A4A6B"/>
    <w:rsid w:val="004A4A6D"/>
    <w:rsid w:val="004A4A80"/>
    <w:rsid w:val="004A4AF0"/>
    <w:rsid w:val="004A4C59"/>
    <w:rsid w:val="004A4EED"/>
    <w:rsid w:val="004A4F06"/>
    <w:rsid w:val="004A4FDF"/>
    <w:rsid w:val="004A53DC"/>
    <w:rsid w:val="004A5433"/>
    <w:rsid w:val="004A55C7"/>
    <w:rsid w:val="004A5A52"/>
    <w:rsid w:val="004A5B5A"/>
    <w:rsid w:val="004A5B8E"/>
    <w:rsid w:val="004A5D03"/>
    <w:rsid w:val="004A5D0B"/>
    <w:rsid w:val="004A65BB"/>
    <w:rsid w:val="004A66D4"/>
    <w:rsid w:val="004A6A66"/>
    <w:rsid w:val="004A6E49"/>
    <w:rsid w:val="004A7075"/>
    <w:rsid w:val="004A718D"/>
    <w:rsid w:val="004A733E"/>
    <w:rsid w:val="004A746B"/>
    <w:rsid w:val="004A782C"/>
    <w:rsid w:val="004A7C05"/>
    <w:rsid w:val="004A7EDC"/>
    <w:rsid w:val="004B0113"/>
    <w:rsid w:val="004B04D4"/>
    <w:rsid w:val="004B0B74"/>
    <w:rsid w:val="004B0C44"/>
    <w:rsid w:val="004B102C"/>
    <w:rsid w:val="004B1083"/>
    <w:rsid w:val="004B1183"/>
    <w:rsid w:val="004B1290"/>
    <w:rsid w:val="004B16C9"/>
    <w:rsid w:val="004B19EA"/>
    <w:rsid w:val="004B1C11"/>
    <w:rsid w:val="004B1EBE"/>
    <w:rsid w:val="004B1F5B"/>
    <w:rsid w:val="004B1FD7"/>
    <w:rsid w:val="004B2569"/>
    <w:rsid w:val="004B29C4"/>
    <w:rsid w:val="004B2B54"/>
    <w:rsid w:val="004B2C16"/>
    <w:rsid w:val="004B3252"/>
    <w:rsid w:val="004B3652"/>
    <w:rsid w:val="004B36CB"/>
    <w:rsid w:val="004B384A"/>
    <w:rsid w:val="004B3ADE"/>
    <w:rsid w:val="004B441A"/>
    <w:rsid w:val="004B46F1"/>
    <w:rsid w:val="004B4974"/>
    <w:rsid w:val="004B49D6"/>
    <w:rsid w:val="004B4D32"/>
    <w:rsid w:val="004B5006"/>
    <w:rsid w:val="004B58ED"/>
    <w:rsid w:val="004B5E28"/>
    <w:rsid w:val="004B5F53"/>
    <w:rsid w:val="004B6239"/>
    <w:rsid w:val="004B6857"/>
    <w:rsid w:val="004B688A"/>
    <w:rsid w:val="004B6BFD"/>
    <w:rsid w:val="004B6C40"/>
    <w:rsid w:val="004B6F0F"/>
    <w:rsid w:val="004B707B"/>
    <w:rsid w:val="004B730B"/>
    <w:rsid w:val="004B7510"/>
    <w:rsid w:val="004B7693"/>
    <w:rsid w:val="004B786C"/>
    <w:rsid w:val="004B7948"/>
    <w:rsid w:val="004B7B50"/>
    <w:rsid w:val="004B7E99"/>
    <w:rsid w:val="004B7FF3"/>
    <w:rsid w:val="004B7FF4"/>
    <w:rsid w:val="004C01A6"/>
    <w:rsid w:val="004C0610"/>
    <w:rsid w:val="004C064F"/>
    <w:rsid w:val="004C1275"/>
    <w:rsid w:val="004C1353"/>
    <w:rsid w:val="004C1529"/>
    <w:rsid w:val="004C1822"/>
    <w:rsid w:val="004C1C8F"/>
    <w:rsid w:val="004C1DF6"/>
    <w:rsid w:val="004C1E45"/>
    <w:rsid w:val="004C2165"/>
    <w:rsid w:val="004C238A"/>
    <w:rsid w:val="004C2524"/>
    <w:rsid w:val="004C2593"/>
    <w:rsid w:val="004C2A32"/>
    <w:rsid w:val="004C2B38"/>
    <w:rsid w:val="004C2C17"/>
    <w:rsid w:val="004C2EBE"/>
    <w:rsid w:val="004C3173"/>
    <w:rsid w:val="004C33F4"/>
    <w:rsid w:val="004C34C1"/>
    <w:rsid w:val="004C3598"/>
    <w:rsid w:val="004C35ED"/>
    <w:rsid w:val="004C36E7"/>
    <w:rsid w:val="004C372E"/>
    <w:rsid w:val="004C3943"/>
    <w:rsid w:val="004C398C"/>
    <w:rsid w:val="004C3AE7"/>
    <w:rsid w:val="004C3E83"/>
    <w:rsid w:val="004C47D5"/>
    <w:rsid w:val="004C4932"/>
    <w:rsid w:val="004C4951"/>
    <w:rsid w:val="004C4A99"/>
    <w:rsid w:val="004C4B9E"/>
    <w:rsid w:val="004C4CB2"/>
    <w:rsid w:val="004C4E18"/>
    <w:rsid w:val="004C4EA9"/>
    <w:rsid w:val="004C4FD7"/>
    <w:rsid w:val="004C51AF"/>
    <w:rsid w:val="004C54CF"/>
    <w:rsid w:val="004C5778"/>
    <w:rsid w:val="004C58DA"/>
    <w:rsid w:val="004C5F56"/>
    <w:rsid w:val="004C5F94"/>
    <w:rsid w:val="004C607B"/>
    <w:rsid w:val="004C60F5"/>
    <w:rsid w:val="004C6316"/>
    <w:rsid w:val="004C6764"/>
    <w:rsid w:val="004C6D00"/>
    <w:rsid w:val="004C6FB2"/>
    <w:rsid w:val="004C70D1"/>
    <w:rsid w:val="004C742E"/>
    <w:rsid w:val="004C75C4"/>
    <w:rsid w:val="004C78A5"/>
    <w:rsid w:val="004C797A"/>
    <w:rsid w:val="004C7992"/>
    <w:rsid w:val="004C7A41"/>
    <w:rsid w:val="004C7D4A"/>
    <w:rsid w:val="004C7D5C"/>
    <w:rsid w:val="004C7ED0"/>
    <w:rsid w:val="004D0192"/>
    <w:rsid w:val="004D0C2E"/>
    <w:rsid w:val="004D0E63"/>
    <w:rsid w:val="004D1157"/>
    <w:rsid w:val="004D12E0"/>
    <w:rsid w:val="004D156B"/>
    <w:rsid w:val="004D1940"/>
    <w:rsid w:val="004D1BB9"/>
    <w:rsid w:val="004D1D3A"/>
    <w:rsid w:val="004D1F3B"/>
    <w:rsid w:val="004D20F5"/>
    <w:rsid w:val="004D2285"/>
    <w:rsid w:val="004D2348"/>
    <w:rsid w:val="004D2371"/>
    <w:rsid w:val="004D26B4"/>
    <w:rsid w:val="004D2903"/>
    <w:rsid w:val="004D2AA3"/>
    <w:rsid w:val="004D2DF3"/>
    <w:rsid w:val="004D2EFC"/>
    <w:rsid w:val="004D3057"/>
    <w:rsid w:val="004D33D5"/>
    <w:rsid w:val="004D377A"/>
    <w:rsid w:val="004D39AC"/>
    <w:rsid w:val="004D3B88"/>
    <w:rsid w:val="004D3D52"/>
    <w:rsid w:val="004D4101"/>
    <w:rsid w:val="004D413A"/>
    <w:rsid w:val="004D436A"/>
    <w:rsid w:val="004D4406"/>
    <w:rsid w:val="004D464E"/>
    <w:rsid w:val="004D4A28"/>
    <w:rsid w:val="004D4B69"/>
    <w:rsid w:val="004D4BB0"/>
    <w:rsid w:val="004D4E8F"/>
    <w:rsid w:val="004D4F83"/>
    <w:rsid w:val="004D5223"/>
    <w:rsid w:val="004D5370"/>
    <w:rsid w:val="004D54CE"/>
    <w:rsid w:val="004D5629"/>
    <w:rsid w:val="004D5897"/>
    <w:rsid w:val="004D5A37"/>
    <w:rsid w:val="004D5C7D"/>
    <w:rsid w:val="004D5F3D"/>
    <w:rsid w:val="004D602E"/>
    <w:rsid w:val="004D6369"/>
    <w:rsid w:val="004D669A"/>
    <w:rsid w:val="004D6873"/>
    <w:rsid w:val="004D6C77"/>
    <w:rsid w:val="004D6F35"/>
    <w:rsid w:val="004D71EE"/>
    <w:rsid w:val="004D726A"/>
    <w:rsid w:val="004D72E5"/>
    <w:rsid w:val="004D7493"/>
    <w:rsid w:val="004D74F5"/>
    <w:rsid w:val="004D762C"/>
    <w:rsid w:val="004D76D7"/>
    <w:rsid w:val="004D77FB"/>
    <w:rsid w:val="004D786B"/>
    <w:rsid w:val="004D7A73"/>
    <w:rsid w:val="004E047F"/>
    <w:rsid w:val="004E04F7"/>
    <w:rsid w:val="004E05C2"/>
    <w:rsid w:val="004E069D"/>
    <w:rsid w:val="004E0A8D"/>
    <w:rsid w:val="004E0BB1"/>
    <w:rsid w:val="004E124C"/>
    <w:rsid w:val="004E20F1"/>
    <w:rsid w:val="004E2CC8"/>
    <w:rsid w:val="004E33AC"/>
    <w:rsid w:val="004E3484"/>
    <w:rsid w:val="004E35EF"/>
    <w:rsid w:val="004E360D"/>
    <w:rsid w:val="004E3712"/>
    <w:rsid w:val="004E375B"/>
    <w:rsid w:val="004E3B39"/>
    <w:rsid w:val="004E3B5B"/>
    <w:rsid w:val="004E3E3C"/>
    <w:rsid w:val="004E3F00"/>
    <w:rsid w:val="004E4508"/>
    <w:rsid w:val="004E45A2"/>
    <w:rsid w:val="004E4601"/>
    <w:rsid w:val="004E4652"/>
    <w:rsid w:val="004E4BBF"/>
    <w:rsid w:val="004E4D54"/>
    <w:rsid w:val="004E4E05"/>
    <w:rsid w:val="004E519D"/>
    <w:rsid w:val="004E52C9"/>
    <w:rsid w:val="004E545F"/>
    <w:rsid w:val="004E556D"/>
    <w:rsid w:val="004E581D"/>
    <w:rsid w:val="004E5A2B"/>
    <w:rsid w:val="004E5B3B"/>
    <w:rsid w:val="004E5C0C"/>
    <w:rsid w:val="004E5E7E"/>
    <w:rsid w:val="004E6145"/>
    <w:rsid w:val="004E66F7"/>
    <w:rsid w:val="004E6779"/>
    <w:rsid w:val="004E67CB"/>
    <w:rsid w:val="004E6A0D"/>
    <w:rsid w:val="004E6D26"/>
    <w:rsid w:val="004E6D81"/>
    <w:rsid w:val="004E71C2"/>
    <w:rsid w:val="004E7229"/>
    <w:rsid w:val="004E7243"/>
    <w:rsid w:val="004E737E"/>
    <w:rsid w:val="004E75D1"/>
    <w:rsid w:val="004E75EE"/>
    <w:rsid w:val="004E76B6"/>
    <w:rsid w:val="004E79B8"/>
    <w:rsid w:val="004E7C46"/>
    <w:rsid w:val="004E7DD0"/>
    <w:rsid w:val="004E7F79"/>
    <w:rsid w:val="004F0803"/>
    <w:rsid w:val="004F081A"/>
    <w:rsid w:val="004F08CA"/>
    <w:rsid w:val="004F0D4A"/>
    <w:rsid w:val="004F0DE9"/>
    <w:rsid w:val="004F1091"/>
    <w:rsid w:val="004F126B"/>
    <w:rsid w:val="004F13F9"/>
    <w:rsid w:val="004F1811"/>
    <w:rsid w:val="004F1C98"/>
    <w:rsid w:val="004F1CB6"/>
    <w:rsid w:val="004F1E88"/>
    <w:rsid w:val="004F1E9B"/>
    <w:rsid w:val="004F2316"/>
    <w:rsid w:val="004F252A"/>
    <w:rsid w:val="004F2756"/>
    <w:rsid w:val="004F2817"/>
    <w:rsid w:val="004F2E18"/>
    <w:rsid w:val="004F32AA"/>
    <w:rsid w:val="004F3804"/>
    <w:rsid w:val="004F3A2D"/>
    <w:rsid w:val="004F3BC3"/>
    <w:rsid w:val="004F4143"/>
    <w:rsid w:val="004F46B4"/>
    <w:rsid w:val="004F4B0E"/>
    <w:rsid w:val="004F4D4B"/>
    <w:rsid w:val="004F4DD6"/>
    <w:rsid w:val="004F4E0B"/>
    <w:rsid w:val="004F5415"/>
    <w:rsid w:val="004F5503"/>
    <w:rsid w:val="004F554C"/>
    <w:rsid w:val="004F5B59"/>
    <w:rsid w:val="004F5BE0"/>
    <w:rsid w:val="004F5D72"/>
    <w:rsid w:val="004F5F2B"/>
    <w:rsid w:val="004F6801"/>
    <w:rsid w:val="004F6A32"/>
    <w:rsid w:val="004F6BF6"/>
    <w:rsid w:val="004F72DA"/>
    <w:rsid w:val="004F7402"/>
    <w:rsid w:val="004F7450"/>
    <w:rsid w:val="004F782E"/>
    <w:rsid w:val="004F78CA"/>
    <w:rsid w:val="004F78F0"/>
    <w:rsid w:val="004F79CF"/>
    <w:rsid w:val="004F7A29"/>
    <w:rsid w:val="004F7A9A"/>
    <w:rsid w:val="00500631"/>
    <w:rsid w:val="00500A3A"/>
    <w:rsid w:val="00500B9F"/>
    <w:rsid w:val="00500D92"/>
    <w:rsid w:val="00500F5F"/>
    <w:rsid w:val="00501000"/>
    <w:rsid w:val="00501012"/>
    <w:rsid w:val="00501097"/>
    <w:rsid w:val="005011AA"/>
    <w:rsid w:val="00501421"/>
    <w:rsid w:val="005016AD"/>
    <w:rsid w:val="00501726"/>
    <w:rsid w:val="00501A81"/>
    <w:rsid w:val="00501E7B"/>
    <w:rsid w:val="00502051"/>
    <w:rsid w:val="005020C9"/>
    <w:rsid w:val="00502237"/>
    <w:rsid w:val="0050240F"/>
    <w:rsid w:val="00502B6D"/>
    <w:rsid w:val="00502EC0"/>
    <w:rsid w:val="00503049"/>
    <w:rsid w:val="00503071"/>
    <w:rsid w:val="0050324E"/>
    <w:rsid w:val="00503257"/>
    <w:rsid w:val="005033D7"/>
    <w:rsid w:val="00503753"/>
    <w:rsid w:val="0050382C"/>
    <w:rsid w:val="00503AC2"/>
    <w:rsid w:val="00503CCE"/>
    <w:rsid w:val="00503EF4"/>
    <w:rsid w:val="0050409F"/>
    <w:rsid w:val="005040C9"/>
    <w:rsid w:val="005042C7"/>
    <w:rsid w:val="00504441"/>
    <w:rsid w:val="0050446A"/>
    <w:rsid w:val="00504C7D"/>
    <w:rsid w:val="00504FA4"/>
    <w:rsid w:val="00505730"/>
    <w:rsid w:val="00505753"/>
    <w:rsid w:val="00505BF8"/>
    <w:rsid w:val="00505CBA"/>
    <w:rsid w:val="00505D8E"/>
    <w:rsid w:val="00505F10"/>
    <w:rsid w:val="005061C4"/>
    <w:rsid w:val="005065D5"/>
    <w:rsid w:val="00506940"/>
    <w:rsid w:val="005069E3"/>
    <w:rsid w:val="00507105"/>
    <w:rsid w:val="0050717A"/>
    <w:rsid w:val="0050728B"/>
    <w:rsid w:val="005075BB"/>
    <w:rsid w:val="00507651"/>
    <w:rsid w:val="00507B7B"/>
    <w:rsid w:val="00507DA3"/>
    <w:rsid w:val="00507E6D"/>
    <w:rsid w:val="00507E6E"/>
    <w:rsid w:val="00507ED8"/>
    <w:rsid w:val="00510217"/>
    <w:rsid w:val="00510EC8"/>
    <w:rsid w:val="00511170"/>
    <w:rsid w:val="005111E8"/>
    <w:rsid w:val="0051145D"/>
    <w:rsid w:val="0051179F"/>
    <w:rsid w:val="005118B9"/>
    <w:rsid w:val="00511A2E"/>
    <w:rsid w:val="00511AB9"/>
    <w:rsid w:val="00511C0A"/>
    <w:rsid w:val="00511D86"/>
    <w:rsid w:val="00511E8C"/>
    <w:rsid w:val="00511FC5"/>
    <w:rsid w:val="005123D0"/>
    <w:rsid w:val="005124FE"/>
    <w:rsid w:val="005133F2"/>
    <w:rsid w:val="005138B4"/>
    <w:rsid w:val="005138DB"/>
    <w:rsid w:val="00513AE9"/>
    <w:rsid w:val="00513B4C"/>
    <w:rsid w:val="00513C0F"/>
    <w:rsid w:val="0051400D"/>
    <w:rsid w:val="00514130"/>
    <w:rsid w:val="00514561"/>
    <w:rsid w:val="00514C15"/>
    <w:rsid w:val="00514C32"/>
    <w:rsid w:val="00515099"/>
    <w:rsid w:val="005151AA"/>
    <w:rsid w:val="005155E4"/>
    <w:rsid w:val="00515F14"/>
    <w:rsid w:val="005161FE"/>
    <w:rsid w:val="00516290"/>
    <w:rsid w:val="00516524"/>
    <w:rsid w:val="00516936"/>
    <w:rsid w:val="00516A55"/>
    <w:rsid w:val="00516B02"/>
    <w:rsid w:val="00516CBF"/>
    <w:rsid w:val="0051701E"/>
    <w:rsid w:val="005171E6"/>
    <w:rsid w:val="005172EE"/>
    <w:rsid w:val="00517322"/>
    <w:rsid w:val="0051783B"/>
    <w:rsid w:val="00517A6C"/>
    <w:rsid w:val="00517D43"/>
    <w:rsid w:val="005200EA"/>
    <w:rsid w:val="0052011F"/>
    <w:rsid w:val="00520318"/>
    <w:rsid w:val="00520666"/>
    <w:rsid w:val="00520B88"/>
    <w:rsid w:val="00520B8A"/>
    <w:rsid w:val="0052107D"/>
    <w:rsid w:val="005211D2"/>
    <w:rsid w:val="00521417"/>
    <w:rsid w:val="00521688"/>
    <w:rsid w:val="00521815"/>
    <w:rsid w:val="00521A83"/>
    <w:rsid w:val="00521D44"/>
    <w:rsid w:val="00521FFF"/>
    <w:rsid w:val="00522169"/>
    <w:rsid w:val="005221CE"/>
    <w:rsid w:val="00522497"/>
    <w:rsid w:val="005224BA"/>
    <w:rsid w:val="005228B5"/>
    <w:rsid w:val="005228DB"/>
    <w:rsid w:val="00522DD7"/>
    <w:rsid w:val="005232DE"/>
    <w:rsid w:val="005234C0"/>
    <w:rsid w:val="005237A8"/>
    <w:rsid w:val="00523938"/>
    <w:rsid w:val="0052394E"/>
    <w:rsid w:val="00523BA5"/>
    <w:rsid w:val="00523C6C"/>
    <w:rsid w:val="005240D9"/>
    <w:rsid w:val="00524340"/>
    <w:rsid w:val="00524528"/>
    <w:rsid w:val="005247B5"/>
    <w:rsid w:val="00524819"/>
    <w:rsid w:val="00524D75"/>
    <w:rsid w:val="00524E50"/>
    <w:rsid w:val="0052522B"/>
    <w:rsid w:val="005252B9"/>
    <w:rsid w:val="005254FF"/>
    <w:rsid w:val="00525575"/>
    <w:rsid w:val="005256CD"/>
    <w:rsid w:val="005258C9"/>
    <w:rsid w:val="00525BFE"/>
    <w:rsid w:val="00525EBB"/>
    <w:rsid w:val="00525FA0"/>
    <w:rsid w:val="005261C1"/>
    <w:rsid w:val="00526217"/>
    <w:rsid w:val="00526320"/>
    <w:rsid w:val="00526C2A"/>
    <w:rsid w:val="00526C99"/>
    <w:rsid w:val="00526EB2"/>
    <w:rsid w:val="00527132"/>
    <w:rsid w:val="005271F7"/>
    <w:rsid w:val="005273A6"/>
    <w:rsid w:val="00527970"/>
    <w:rsid w:val="00527E26"/>
    <w:rsid w:val="005301B6"/>
    <w:rsid w:val="00530312"/>
    <w:rsid w:val="00530690"/>
    <w:rsid w:val="00530970"/>
    <w:rsid w:val="00530A09"/>
    <w:rsid w:val="0053131F"/>
    <w:rsid w:val="0053206C"/>
    <w:rsid w:val="005320FE"/>
    <w:rsid w:val="0053250A"/>
    <w:rsid w:val="0053264C"/>
    <w:rsid w:val="005329C9"/>
    <w:rsid w:val="00532DDE"/>
    <w:rsid w:val="00533188"/>
    <w:rsid w:val="005332DE"/>
    <w:rsid w:val="005336AE"/>
    <w:rsid w:val="00533832"/>
    <w:rsid w:val="00533D56"/>
    <w:rsid w:val="005340DE"/>
    <w:rsid w:val="005340E0"/>
    <w:rsid w:val="0053423D"/>
    <w:rsid w:val="005342BC"/>
    <w:rsid w:val="0053451B"/>
    <w:rsid w:val="00534966"/>
    <w:rsid w:val="00534F4D"/>
    <w:rsid w:val="0053559E"/>
    <w:rsid w:val="005357E1"/>
    <w:rsid w:val="005357E3"/>
    <w:rsid w:val="005359F1"/>
    <w:rsid w:val="00535B20"/>
    <w:rsid w:val="00535BC9"/>
    <w:rsid w:val="005360F9"/>
    <w:rsid w:val="00536863"/>
    <w:rsid w:val="00536870"/>
    <w:rsid w:val="00536890"/>
    <w:rsid w:val="00536A96"/>
    <w:rsid w:val="00536A9E"/>
    <w:rsid w:val="00536D3E"/>
    <w:rsid w:val="0053709B"/>
    <w:rsid w:val="0053713E"/>
    <w:rsid w:val="00537194"/>
    <w:rsid w:val="005373B9"/>
    <w:rsid w:val="005374AB"/>
    <w:rsid w:val="005375C8"/>
    <w:rsid w:val="005377D3"/>
    <w:rsid w:val="005377FE"/>
    <w:rsid w:val="00537835"/>
    <w:rsid w:val="00537863"/>
    <w:rsid w:val="00537974"/>
    <w:rsid w:val="005379AE"/>
    <w:rsid w:val="00537BB6"/>
    <w:rsid w:val="00537CDD"/>
    <w:rsid w:val="00537CE5"/>
    <w:rsid w:val="00537E64"/>
    <w:rsid w:val="00537EBA"/>
    <w:rsid w:val="00537FB9"/>
    <w:rsid w:val="00540087"/>
    <w:rsid w:val="00540111"/>
    <w:rsid w:val="0054018A"/>
    <w:rsid w:val="00540405"/>
    <w:rsid w:val="0054064E"/>
    <w:rsid w:val="00540A94"/>
    <w:rsid w:val="00540FFE"/>
    <w:rsid w:val="0054102D"/>
    <w:rsid w:val="00541107"/>
    <w:rsid w:val="0054129F"/>
    <w:rsid w:val="005412B8"/>
    <w:rsid w:val="0054145E"/>
    <w:rsid w:val="00541ABB"/>
    <w:rsid w:val="00541B16"/>
    <w:rsid w:val="00541E17"/>
    <w:rsid w:val="00541E2E"/>
    <w:rsid w:val="00541F6A"/>
    <w:rsid w:val="005422A5"/>
    <w:rsid w:val="005423F9"/>
    <w:rsid w:val="00542433"/>
    <w:rsid w:val="00542434"/>
    <w:rsid w:val="0054290F"/>
    <w:rsid w:val="00542A85"/>
    <w:rsid w:val="00542FB3"/>
    <w:rsid w:val="005431F7"/>
    <w:rsid w:val="005433AE"/>
    <w:rsid w:val="00543CA1"/>
    <w:rsid w:val="00543D23"/>
    <w:rsid w:val="005446CB"/>
    <w:rsid w:val="00544A91"/>
    <w:rsid w:val="00544E0B"/>
    <w:rsid w:val="00544E10"/>
    <w:rsid w:val="00545295"/>
    <w:rsid w:val="00545320"/>
    <w:rsid w:val="005455C7"/>
    <w:rsid w:val="00545680"/>
    <w:rsid w:val="005459FF"/>
    <w:rsid w:val="00545A3F"/>
    <w:rsid w:val="00545A91"/>
    <w:rsid w:val="005460A4"/>
    <w:rsid w:val="0054616E"/>
    <w:rsid w:val="00546172"/>
    <w:rsid w:val="00546642"/>
    <w:rsid w:val="00546B24"/>
    <w:rsid w:val="00547247"/>
    <w:rsid w:val="00547448"/>
    <w:rsid w:val="005477F1"/>
    <w:rsid w:val="00547F52"/>
    <w:rsid w:val="005500E7"/>
    <w:rsid w:val="0055076A"/>
    <w:rsid w:val="00550AE7"/>
    <w:rsid w:val="00550DA5"/>
    <w:rsid w:val="00550F9B"/>
    <w:rsid w:val="0055143B"/>
    <w:rsid w:val="005516CC"/>
    <w:rsid w:val="005517E3"/>
    <w:rsid w:val="0055191D"/>
    <w:rsid w:val="00551B16"/>
    <w:rsid w:val="00551D18"/>
    <w:rsid w:val="00552008"/>
    <w:rsid w:val="00552161"/>
    <w:rsid w:val="0055228F"/>
    <w:rsid w:val="00552520"/>
    <w:rsid w:val="0055280D"/>
    <w:rsid w:val="005529FE"/>
    <w:rsid w:val="00552FB1"/>
    <w:rsid w:val="005531C4"/>
    <w:rsid w:val="005534C0"/>
    <w:rsid w:val="0055357B"/>
    <w:rsid w:val="00553972"/>
    <w:rsid w:val="00553BC6"/>
    <w:rsid w:val="00553E4F"/>
    <w:rsid w:val="00554231"/>
    <w:rsid w:val="00554458"/>
    <w:rsid w:val="005546FC"/>
    <w:rsid w:val="00554A7A"/>
    <w:rsid w:val="00555290"/>
    <w:rsid w:val="00555429"/>
    <w:rsid w:val="0055555F"/>
    <w:rsid w:val="005557F8"/>
    <w:rsid w:val="00555C13"/>
    <w:rsid w:val="00555C6C"/>
    <w:rsid w:val="00555DA6"/>
    <w:rsid w:val="00556117"/>
    <w:rsid w:val="005562BC"/>
    <w:rsid w:val="005563A0"/>
    <w:rsid w:val="005566F2"/>
    <w:rsid w:val="00556738"/>
    <w:rsid w:val="00556A49"/>
    <w:rsid w:val="00556ABC"/>
    <w:rsid w:val="00556EAA"/>
    <w:rsid w:val="00556F42"/>
    <w:rsid w:val="00556F86"/>
    <w:rsid w:val="00556F90"/>
    <w:rsid w:val="00557008"/>
    <w:rsid w:val="0055718E"/>
    <w:rsid w:val="005573DA"/>
    <w:rsid w:val="00557D43"/>
    <w:rsid w:val="00557D56"/>
    <w:rsid w:val="00557D61"/>
    <w:rsid w:val="00557DFF"/>
    <w:rsid w:val="00557F2F"/>
    <w:rsid w:val="00557FDD"/>
    <w:rsid w:val="00560138"/>
    <w:rsid w:val="00560789"/>
    <w:rsid w:val="005607CC"/>
    <w:rsid w:val="005608A2"/>
    <w:rsid w:val="00560B19"/>
    <w:rsid w:val="00560C94"/>
    <w:rsid w:val="00560E71"/>
    <w:rsid w:val="0056140A"/>
    <w:rsid w:val="00562192"/>
    <w:rsid w:val="0056246E"/>
    <w:rsid w:val="005626E3"/>
    <w:rsid w:val="005629FC"/>
    <w:rsid w:val="00562E95"/>
    <w:rsid w:val="00562EB1"/>
    <w:rsid w:val="00562ED3"/>
    <w:rsid w:val="00562F29"/>
    <w:rsid w:val="0056308D"/>
    <w:rsid w:val="0056320E"/>
    <w:rsid w:val="0056321A"/>
    <w:rsid w:val="00563602"/>
    <w:rsid w:val="005636AF"/>
    <w:rsid w:val="005637BA"/>
    <w:rsid w:val="00563869"/>
    <w:rsid w:val="005638B5"/>
    <w:rsid w:val="00563902"/>
    <w:rsid w:val="0056395D"/>
    <w:rsid w:val="00563BED"/>
    <w:rsid w:val="00563C64"/>
    <w:rsid w:val="00563E3E"/>
    <w:rsid w:val="00563F6A"/>
    <w:rsid w:val="00563F70"/>
    <w:rsid w:val="00564808"/>
    <w:rsid w:val="00564881"/>
    <w:rsid w:val="00564957"/>
    <w:rsid w:val="00564A97"/>
    <w:rsid w:val="00564B84"/>
    <w:rsid w:val="0056523F"/>
    <w:rsid w:val="005653B5"/>
    <w:rsid w:val="00565459"/>
    <w:rsid w:val="00565529"/>
    <w:rsid w:val="005655B8"/>
    <w:rsid w:val="00565BB2"/>
    <w:rsid w:val="00565BFB"/>
    <w:rsid w:val="00565C55"/>
    <w:rsid w:val="00565CEF"/>
    <w:rsid w:val="00565DBD"/>
    <w:rsid w:val="00566087"/>
    <w:rsid w:val="005660A6"/>
    <w:rsid w:val="00566293"/>
    <w:rsid w:val="00566333"/>
    <w:rsid w:val="005663D9"/>
    <w:rsid w:val="005663DC"/>
    <w:rsid w:val="00566556"/>
    <w:rsid w:val="00566790"/>
    <w:rsid w:val="005668D9"/>
    <w:rsid w:val="00566C2F"/>
    <w:rsid w:val="00566F3C"/>
    <w:rsid w:val="00566FF3"/>
    <w:rsid w:val="005672FE"/>
    <w:rsid w:val="005679B0"/>
    <w:rsid w:val="00567E20"/>
    <w:rsid w:val="0057023F"/>
    <w:rsid w:val="00570382"/>
    <w:rsid w:val="0057038A"/>
    <w:rsid w:val="005707E8"/>
    <w:rsid w:val="00570AC9"/>
    <w:rsid w:val="00570B7A"/>
    <w:rsid w:val="00570CF7"/>
    <w:rsid w:val="00570ED2"/>
    <w:rsid w:val="00571191"/>
    <w:rsid w:val="0057135A"/>
    <w:rsid w:val="005716B4"/>
    <w:rsid w:val="0057186A"/>
    <w:rsid w:val="005722F0"/>
    <w:rsid w:val="005727BE"/>
    <w:rsid w:val="00572869"/>
    <w:rsid w:val="005728D2"/>
    <w:rsid w:val="00572BD2"/>
    <w:rsid w:val="00572CDF"/>
    <w:rsid w:val="005731BA"/>
    <w:rsid w:val="0057331F"/>
    <w:rsid w:val="005736D3"/>
    <w:rsid w:val="00573AB1"/>
    <w:rsid w:val="00573B8E"/>
    <w:rsid w:val="00573C8E"/>
    <w:rsid w:val="00573CC5"/>
    <w:rsid w:val="00573DCB"/>
    <w:rsid w:val="00573DF8"/>
    <w:rsid w:val="00574001"/>
    <w:rsid w:val="0057461B"/>
    <w:rsid w:val="0057478F"/>
    <w:rsid w:val="00574A2E"/>
    <w:rsid w:val="00574A7F"/>
    <w:rsid w:val="00574C22"/>
    <w:rsid w:val="00574F8C"/>
    <w:rsid w:val="005751DF"/>
    <w:rsid w:val="005752EF"/>
    <w:rsid w:val="005757A4"/>
    <w:rsid w:val="00575DCA"/>
    <w:rsid w:val="00575F9A"/>
    <w:rsid w:val="00576097"/>
    <w:rsid w:val="00576658"/>
    <w:rsid w:val="00576993"/>
    <w:rsid w:val="00576A35"/>
    <w:rsid w:val="00576A8D"/>
    <w:rsid w:val="00576AF4"/>
    <w:rsid w:val="00577181"/>
    <w:rsid w:val="00577444"/>
    <w:rsid w:val="005775EC"/>
    <w:rsid w:val="0057777B"/>
    <w:rsid w:val="0057784A"/>
    <w:rsid w:val="00577AB8"/>
    <w:rsid w:val="00577C8F"/>
    <w:rsid w:val="00577DCF"/>
    <w:rsid w:val="00580165"/>
    <w:rsid w:val="00580281"/>
    <w:rsid w:val="00580584"/>
    <w:rsid w:val="005807AF"/>
    <w:rsid w:val="00580B65"/>
    <w:rsid w:val="00580C98"/>
    <w:rsid w:val="00580F75"/>
    <w:rsid w:val="005811C4"/>
    <w:rsid w:val="005812D4"/>
    <w:rsid w:val="00581677"/>
    <w:rsid w:val="005817AD"/>
    <w:rsid w:val="00581F0D"/>
    <w:rsid w:val="005820D4"/>
    <w:rsid w:val="0058214B"/>
    <w:rsid w:val="00582998"/>
    <w:rsid w:val="005829F6"/>
    <w:rsid w:val="00582D16"/>
    <w:rsid w:val="00582F5D"/>
    <w:rsid w:val="00582F66"/>
    <w:rsid w:val="005831D4"/>
    <w:rsid w:val="0058331B"/>
    <w:rsid w:val="005833B9"/>
    <w:rsid w:val="00583714"/>
    <w:rsid w:val="00583D05"/>
    <w:rsid w:val="00583DD4"/>
    <w:rsid w:val="00583EDD"/>
    <w:rsid w:val="00583F84"/>
    <w:rsid w:val="00583FAA"/>
    <w:rsid w:val="00584173"/>
    <w:rsid w:val="005842AA"/>
    <w:rsid w:val="00584530"/>
    <w:rsid w:val="005845A1"/>
    <w:rsid w:val="00584807"/>
    <w:rsid w:val="00584A17"/>
    <w:rsid w:val="00584DF4"/>
    <w:rsid w:val="00584E4D"/>
    <w:rsid w:val="00584F2B"/>
    <w:rsid w:val="00584FDC"/>
    <w:rsid w:val="00585053"/>
    <w:rsid w:val="00585271"/>
    <w:rsid w:val="00585303"/>
    <w:rsid w:val="0058543F"/>
    <w:rsid w:val="00585467"/>
    <w:rsid w:val="00585780"/>
    <w:rsid w:val="00585C11"/>
    <w:rsid w:val="00585E60"/>
    <w:rsid w:val="00585ED4"/>
    <w:rsid w:val="00586278"/>
    <w:rsid w:val="00586353"/>
    <w:rsid w:val="005863B3"/>
    <w:rsid w:val="005864FE"/>
    <w:rsid w:val="005866EA"/>
    <w:rsid w:val="0058674B"/>
    <w:rsid w:val="0058676D"/>
    <w:rsid w:val="00586811"/>
    <w:rsid w:val="00586D72"/>
    <w:rsid w:val="00586F8B"/>
    <w:rsid w:val="005873A8"/>
    <w:rsid w:val="00587812"/>
    <w:rsid w:val="0058794E"/>
    <w:rsid w:val="005901DB"/>
    <w:rsid w:val="00590D42"/>
    <w:rsid w:val="00590EE4"/>
    <w:rsid w:val="0059120D"/>
    <w:rsid w:val="005917F0"/>
    <w:rsid w:val="00591E25"/>
    <w:rsid w:val="00591E2C"/>
    <w:rsid w:val="00592073"/>
    <w:rsid w:val="005921F8"/>
    <w:rsid w:val="00592258"/>
    <w:rsid w:val="005924AA"/>
    <w:rsid w:val="005924B8"/>
    <w:rsid w:val="005924EF"/>
    <w:rsid w:val="0059281F"/>
    <w:rsid w:val="00592C21"/>
    <w:rsid w:val="00592E5A"/>
    <w:rsid w:val="00592F49"/>
    <w:rsid w:val="00593030"/>
    <w:rsid w:val="00593834"/>
    <w:rsid w:val="00593CF0"/>
    <w:rsid w:val="00593FF9"/>
    <w:rsid w:val="005941E9"/>
    <w:rsid w:val="00594559"/>
    <w:rsid w:val="00594869"/>
    <w:rsid w:val="00594898"/>
    <w:rsid w:val="005948D6"/>
    <w:rsid w:val="00594D32"/>
    <w:rsid w:val="00594FDF"/>
    <w:rsid w:val="00595104"/>
    <w:rsid w:val="005951FE"/>
    <w:rsid w:val="005952CF"/>
    <w:rsid w:val="005954D5"/>
    <w:rsid w:val="00595767"/>
    <w:rsid w:val="00595812"/>
    <w:rsid w:val="00595904"/>
    <w:rsid w:val="00595A3B"/>
    <w:rsid w:val="00595B69"/>
    <w:rsid w:val="00595C88"/>
    <w:rsid w:val="00595D20"/>
    <w:rsid w:val="00595F35"/>
    <w:rsid w:val="00595F4B"/>
    <w:rsid w:val="005961D1"/>
    <w:rsid w:val="00596266"/>
    <w:rsid w:val="00596520"/>
    <w:rsid w:val="00596668"/>
    <w:rsid w:val="005966A9"/>
    <w:rsid w:val="005966CF"/>
    <w:rsid w:val="005967F8"/>
    <w:rsid w:val="00596880"/>
    <w:rsid w:val="00596F5D"/>
    <w:rsid w:val="005971C4"/>
    <w:rsid w:val="00597341"/>
    <w:rsid w:val="00597441"/>
    <w:rsid w:val="005979A7"/>
    <w:rsid w:val="00597EA4"/>
    <w:rsid w:val="00597EC4"/>
    <w:rsid w:val="005A0037"/>
    <w:rsid w:val="005A05DC"/>
    <w:rsid w:val="005A05FD"/>
    <w:rsid w:val="005A0954"/>
    <w:rsid w:val="005A0EC8"/>
    <w:rsid w:val="005A0EDD"/>
    <w:rsid w:val="005A0F32"/>
    <w:rsid w:val="005A0F9E"/>
    <w:rsid w:val="005A11E7"/>
    <w:rsid w:val="005A1395"/>
    <w:rsid w:val="005A1495"/>
    <w:rsid w:val="005A1D96"/>
    <w:rsid w:val="005A24BA"/>
    <w:rsid w:val="005A2B6C"/>
    <w:rsid w:val="005A2F92"/>
    <w:rsid w:val="005A2FEF"/>
    <w:rsid w:val="005A302D"/>
    <w:rsid w:val="005A32F6"/>
    <w:rsid w:val="005A3A36"/>
    <w:rsid w:val="005A3C61"/>
    <w:rsid w:val="005A3CA1"/>
    <w:rsid w:val="005A40A4"/>
    <w:rsid w:val="005A4323"/>
    <w:rsid w:val="005A44B7"/>
    <w:rsid w:val="005A44DD"/>
    <w:rsid w:val="005A4C04"/>
    <w:rsid w:val="005A55D1"/>
    <w:rsid w:val="005A5735"/>
    <w:rsid w:val="005A57C3"/>
    <w:rsid w:val="005A5AB9"/>
    <w:rsid w:val="005A5B4B"/>
    <w:rsid w:val="005A5FE0"/>
    <w:rsid w:val="005A6049"/>
    <w:rsid w:val="005A63DD"/>
    <w:rsid w:val="005A649E"/>
    <w:rsid w:val="005A652E"/>
    <w:rsid w:val="005A653C"/>
    <w:rsid w:val="005A669B"/>
    <w:rsid w:val="005A68D1"/>
    <w:rsid w:val="005A6EF8"/>
    <w:rsid w:val="005A72AB"/>
    <w:rsid w:val="005A72D5"/>
    <w:rsid w:val="005A7578"/>
    <w:rsid w:val="005A78A1"/>
    <w:rsid w:val="005A7C37"/>
    <w:rsid w:val="005B027B"/>
    <w:rsid w:val="005B0521"/>
    <w:rsid w:val="005B0843"/>
    <w:rsid w:val="005B0CA7"/>
    <w:rsid w:val="005B0E05"/>
    <w:rsid w:val="005B0FD3"/>
    <w:rsid w:val="005B1228"/>
    <w:rsid w:val="005B136F"/>
    <w:rsid w:val="005B138C"/>
    <w:rsid w:val="005B14CC"/>
    <w:rsid w:val="005B1589"/>
    <w:rsid w:val="005B1595"/>
    <w:rsid w:val="005B1631"/>
    <w:rsid w:val="005B17AA"/>
    <w:rsid w:val="005B1928"/>
    <w:rsid w:val="005B197D"/>
    <w:rsid w:val="005B1DFC"/>
    <w:rsid w:val="005B25C6"/>
    <w:rsid w:val="005B28AD"/>
    <w:rsid w:val="005B2B11"/>
    <w:rsid w:val="005B2E5C"/>
    <w:rsid w:val="005B2EA6"/>
    <w:rsid w:val="005B2F6D"/>
    <w:rsid w:val="005B3290"/>
    <w:rsid w:val="005B35AC"/>
    <w:rsid w:val="005B384D"/>
    <w:rsid w:val="005B3940"/>
    <w:rsid w:val="005B3A79"/>
    <w:rsid w:val="005B3C7E"/>
    <w:rsid w:val="005B3FDB"/>
    <w:rsid w:val="005B4019"/>
    <w:rsid w:val="005B44E6"/>
    <w:rsid w:val="005B456A"/>
    <w:rsid w:val="005B478C"/>
    <w:rsid w:val="005B53C8"/>
    <w:rsid w:val="005B5721"/>
    <w:rsid w:val="005B5740"/>
    <w:rsid w:val="005B583A"/>
    <w:rsid w:val="005B5EDA"/>
    <w:rsid w:val="005B618D"/>
    <w:rsid w:val="005B61A0"/>
    <w:rsid w:val="005B61A7"/>
    <w:rsid w:val="005B647D"/>
    <w:rsid w:val="005B6608"/>
    <w:rsid w:val="005B6610"/>
    <w:rsid w:val="005B6663"/>
    <w:rsid w:val="005B6707"/>
    <w:rsid w:val="005B682A"/>
    <w:rsid w:val="005B6AA0"/>
    <w:rsid w:val="005B6CCE"/>
    <w:rsid w:val="005B6D12"/>
    <w:rsid w:val="005B6D22"/>
    <w:rsid w:val="005B6DFD"/>
    <w:rsid w:val="005B6E73"/>
    <w:rsid w:val="005B70C2"/>
    <w:rsid w:val="005B7179"/>
    <w:rsid w:val="005B71D9"/>
    <w:rsid w:val="005B7927"/>
    <w:rsid w:val="005B79AD"/>
    <w:rsid w:val="005B7D1B"/>
    <w:rsid w:val="005B7DBD"/>
    <w:rsid w:val="005B7F27"/>
    <w:rsid w:val="005C0169"/>
    <w:rsid w:val="005C02F0"/>
    <w:rsid w:val="005C037E"/>
    <w:rsid w:val="005C0615"/>
    <w:rsid w:val="005C0669"/>
    <w:rsid w:val="005C06FE"/>
    <w:rsid w:val="005C07A3"/>
    <w:rsid w:val="005C09B5"/>
    <w:rsid w:val="005C0C7D"/>
    <w:rsid w:val="005C0EDA"/>
    <w:rsid w:val="005C130D"/>
    <w:rsid w:val="005C1846"/>
    <w:rsid w:val="005C1A68"/>
    <w:rsid w:val="005C1C8B"/>
    <w:rsid w:val="005C1F16"/>
    <w:rsid w:val="005C2120"/>
    <w:rsid w:val="005C24C2"/>
    <w:rsid w:val="005C24D1"/>
    <w:rsid w:val="005C2563"/>
    <w:rsid w:val="005C276F"/>
    <w:rsid w:val="005C323F"/>
    <w:rsid w:val="005C37DD"/>
    <w:rsid w:val="005C38E8"/>
    <w:rsid w:val="005C39A0"/>
    <w:rsid w:val="005C454D"/>
    <w:rsid w:val="005C48E4"/>
    <w:rsid w:val="005C4EE9"/>
    <w:rsid w:val="005C5432"/>
    <w:rsid w:val="005C54B0"/>
    <w:rsid w:val="005C5E91"/>
    <w:rsid w:val="005C67CB"/>
    <w:rsid w:val="005C67D9"/>
    <w:rsid w:val="005C6883"/>
    <w:rsid w:val="005C6999"/>
    <w:rsid w:val="005C6C7F"/>
    <w:rsid w:val="005C70AA"/>
    <w:rsid w:val="005C73E3"/>
    <w:rsid w:val="005C7772"/>
    <w:rsid w:val="005C7862"/>
    <w:rsid w:val="005C7DF4"/>
    <w:rsid w:val="005D05A4"/>
    <w:rsid w:val="005D08E1"/>
    <w:rsid w:val="005D0931"/>
    <w:rsid w:val="005D0E03"/>
    <w:rsid w:val="005D11D1"/>
    <w:rsid w:val="005D149B"/>
    <w:rsid w:val="005D155B"/>
    <w:rsid w:val="005D18CC"/>
    <w:rsid w:val="005D1C20"/>
    <w:rsid w:val="005D1C83"/>
    <w:rsid w:val="005D1D7B"/>
    <w:rsid w:val="005D21A0"/>
    <w:rsid w:val="005D275B"/>
    <w:rsid w:val="005D3187"/>
    <w:rsid w:val="005D324C"/>
    <w:rsid w:val="005D3433"/>
    <w:rsid w:val="005D3479"/>
    <w:rsid w:val="005D3564"/>
    <w:rsid w:val="005D3959"/>
    <w:rsid w:val="005D398C"/>
    <w:rsid w:val="005D3BC5"/>
    <w:rsid w:val="005D3DF8"/>
    <w:rsid w:val="005D41A8"/>
    <w:rsid w:val="005D4292"/>
    <w:rsid w:val="005D42DB"/>
    <w:rsid w:val="005D4510"/>
    <w:rsid w:val="005D4583"/>
    <w:rsid w:val="005D49AB"/>
    <w:rsid w:val="005D49D3"/>
    <w:rsid w:val="005D4F29"/>
    <w:rsid w:val="005D4F2A"/>
    <w:rsid w:val="005D5352"/>
    <w:rsid w:val="005D5782"/>
    <w:rsid w:val="005D5859"/>
    <w:rsid w:val="005D5EED"/>
    <w:rsid w:val="005D61EE"/>
    <w:rsid w:val="005D65E5"/>
    <w:rsid w:val="005D66C9"/>
    <w:rsid w:val="005D67F1"/>
    <w:rsid w:val="005D6857"/>
    <w:rsid w:val="005D6986"/>
    <w:rsid w:val="005D6AA3"/>
    <w:rsid w:val="005D6DF7"/>
    <w:rsid w:val="005D6ECE"/>
    <w:rsid w:val="005D7001"/>
    <w:rsid w:val="005D7131"/>
    <w:rsid w:val="005D7171"/>
    <w:rsid w:val="005D7198"/>
    <w:rsid w:val="005D7683"/>
    <w:rsid w:val="005D77F0"/>
    <w:rsid w:val="005D7C39"/>
    <w:rsid w:val="005D7C44"/>
    <w:rsid w:val="005E013F"/>
    <w:rsid w:val="005E0192"/>
    <w:rsid w:val="005E0225"/>
    <w:rsid w:val="005E0244"/>
    <w:rsid w:val="005E02AE"/>
    <w:rsid w:val="005E0496"/>
    <w:rsid w:val="005E052E"/>
    <w:rsid w:val="005E078A"/>
    <w:rsid w:val="005E0A5D"/>
    <w:rsid w:val="005E0AD9"/>
    <w:rsid w:val="005E0EF0"/>
    <w:rsid w:val="005E1251"/>
    <w:rsid w:val="005E12D8"/>
    <w:rsid w:val="005E131F"/>
    <w:rsid w:val="005E13BB"/>
    <w:rsid w:val="005E13DE"/>
    <w:rsid w:val="005E13F1"/>
    <w:rsid w:val="005E15D1"/>
    <w:rsid w:val="005E1699"/>
    <w:rsid w:val="005E2253"/>
    <w:rsid w:val="005E2BC2"/>
    <w:rsid w:val="005E2C7B"/>
    <w:rsid w:val="005E2DA8"/>
    <w:rsid w:val="005E3594"/>
    <w:rsid w:val="005E3677"/>
    <w:rsid w:val="005E39A3"/>
    <w:rsid w:val="005E39B1"/>
    <w:rsid w:val="005E39C9"/>
    <w:rsid w:val="005E3B27"/>
    <w:rsid w:val="005E3CA9"/>
    <w:rsid w:val="005E3D12"/>
    <w:rsid w:val="005E3FB8"/>
    <w:rsid w:val="005E4193"/>
    <w:rsid w:val="005E434F"/>
    <w:rsid w:val="005E4684"/>
    <w:rsid w:val="005E47D4"/>
    <w:rsid w:val="005E49D1"/>
    <w:rsid w:val="005E4AB8"/>
    <w:rsid w:val="005E4AC4"/>
    <w:rsid w:val="005E4C4D"/>
    <w:rsid w:val="005E4DC2"/>
    <w:rsid w:val="005E519C"/>
    <w:rsid w:val="005E51E7"/>
    <w:rsid w:val="005E5215"/>
    <w:rsid w:val="005E567C"/>
    <w:rsid w:val="005E5B6C"/>
    <w:rsid w:val="005E5B6D"/>
    <w:rsid w:val="005E5D8C"/>
    <w:rsid w:val="005E5F1E"/>
    <w:rsid w:val="005E5F72"/>
    <w:rsid w:val="005E6421"/>
    <w:rsid w:val="005E6670"/>
    <w:rsid w:val="005E6B9D"/>
    <w:rsid w:val="005E6E75"/>
    <w:rsid w:val="005E7321"/>
    <w:rsid w:val="005E74CE"/>
    <w:rsid w:val="005E7976"/>
    <w:rsid w:val="005E7DA8"/>
    <w:rsid w:val="005E7FBD"/>
    <w:rsid w:val="005F0AE0"/>
    <w:rsid w:val="005F0DBA"/>
    <w:rsid w:val="005F0F51"/>
    <w:rsid w:val="005F11C3"/>
    <w:rsid w:val="005F151A"/>
    <w:rsid w:val="005F17FA"/>
    <w:rsid w:val="005F18AA"/>
    <w:rsid w:val="005F18B0"/>
    <w:rsid w:val="005F19EC"/>
    <w:rsid w:val="005F1AED"/>
    <w:rsid w:val="005F1BFB"/>
    <w:rsid w:val="005F2022"/>
    <w:rsid w:val="005F22D2"/>
    <w:rsid w:val="005F295F"/>
    <w:rsid w:val="005F2995"/>
    <w:rsid w:val="005F2A20"/>
    <w:rsid w:val="005F2DD9"/>
    <w:rsid w:val="005F2F49"/>
    <w:rsid w:val="005F32BC"/>
    <w:rsid w:val="005F396E"/>
    <w:rsid w:val="005F3A87"/>
    <w:rsid w:val="005F3B94"/>
    <w:rsid w:val="005F3EC4"/>
    <w:rsid w:val="005F3F8D"/>
    <w:rsid w:val="005F3F93"/>
    <w:rsid w:val="005F4442"/>
    <w:rsid w:val="005F4850"/>
    <w:rsid w:val="005F4A6A"/>
    <w:rsid w:val="005F4A78"/>
    <w:rsid w:val="005F4D74"/>
    <w:rsid w:val="005F5231"/>
    <w:rsid w:val="005F5392"/>
    <w:rsid w:val="005F546B"/>
    <w:rsid w:val="005F55ED"/>
    <w:rsid w:val="005F5684"/>
    <w:rsid w:val="005F5850"/>
    <w:rsid w:val="005F5B2C"/>
    <w:rsid w:val="005F5B3E"/>
    <w:rsid w:val="005F5B46"/>
    <w:rsid w:val="005F5D8C"/>
    <w:rsid w:val="005F5DE1"/>
    <w:rsid w:val="005F5FEC"/>
    <w:rsid w:val="005F6694"/>
    <w:rsid w:val="005F687E"/>
    <w:rsid w:val="005F6C2F"/>
    <w:rsid w:val="005F6C67"/>
    <w:rsid w:val="005F7206"/>
    <w:rsid w:val="005F7E4C"/>
    <w:rsid w:val="00600189"/>
    <w:rsid w:val="006001F3"/>
    <w:rsid w:val="00600552"/>
    <w:rsid w:val="006009E6"/>
    <w:rsid w:val="00600B60"/>
    <w:rsid w:val="006015F4"/>
    <w:rsid w:val="006017D7"/>
    <w:rsid w:val="006017EB"/>
    <w:rsid w:val="006018C7"/>
    <w:rsid w:val="00601A67"/>
    <w:rsid w:val="00601B65"/>
    <w:rsid w:val="00601E79"/>
    <w:rsid w:val="00601FEF"/>
    <w:rsid w:val="00602083"/>
    <w:rsid w:val="006024C9"/>
    <w:rsid w:val="0060278C"/>
    <w:rsid w:val="006029AB"/>
    <w:rsid w:val="00602DA2"/>
    <w:rsid w:val="00603916"/>
    <w:rsid w:val="00603D46"/>
    <w:rsid w:val="00603F33"/>
    <w:rsid w:val="00603FF6"/>
    <w:rsid w:val="00604023"/>
    <w:rsid w:val="0060433C"/>
    <w:rsid w:val="0060441E"/>
    <w:rsid w:val="00604450"/>
    <w:rsid w:val="006045CA"/>
    <w:rsid w:val="00604682"/>
    <w:rsid w:val="00604C9D"/>
    <w:rsid w:val="0060508B"/>
    <w:rsid w:val="00605195"/>
    <w:rsid w:val="0060539C"/>
    <w:rsid w:val="006054D8"/>
    <w:rsid w:val="006057DF"/>
    <w:rsid w:val="006059CE"/>
    <w:rsid w:val="00605AC0"/>
    <w:rsid w:val="00605B01"/>
    <w:rsid w:val="00605FE9"/>
    <w:rsid w:val="006062C2"/>
    <w:rsid w:val="00606531"/>
    <w:rsid w:val="00606633"/>
    <w:rsid w:val="00606881"/>
    <w:rsid w:val="006070C3"/>
    <w:rsid w:val="006071BB"/>
    <w:rsid w:val="006074BA"/>
    <w:rsid w:val="006074BC"/>
    <w:rsid w:val="006074D6"/>
    <w:rsid w:val="0060752B"/>
    <w:rsid w:val="00607549"/>
    <w:rsid w:val="006075AE"/>
    <w:rsid w:val="006076E8"/>
    <w:rsid w:val="00607785"/>
    <w:rsid w:val="00607BCC"/>
    <w:rsid w:val="00607C2E"/>
    <w:rsid w:val="00610276"/>
    <w:rsid w:val="006104ED"/>
    <w:rsid w:val="00610713"/>
    <w:rsid w:val="00610C27"/>
    <w:rsid w:val="00610CCC"/>
    <w:rsid w:val="00610D4B"/>
    <w:rsid w:val="00610D65"/>
    <w:rsid w:val="00610F9C"/>
    <w:rsid w:val="006110B4"/>
    <w:rsid w:val="006113C2"/>
    <w:rsid w:val="0061154B"/>
    <w:rsid w:val="006115A7"/>
    <w:rsid w:val="006118CC"/>
    <w:rsid w:val="0061198B"/>
    <w:rsid w:val="00611AF8"/>
    <w:rsid w:val="00611C66"/>
    <w:rsid w:val="0061223E"/>
    <w:rsid w:val="006122AA"/>
    <w:rsid w:val="006124AE"/>
    <w:rsid w:val="006124E7"/>
    <w:rsid w:val="006124F2"/>
    <w:rsid w:val="006125C0"/>
    <w:rsid w:val="006125DA"/>
    <w:rsid w:val="006125E2"/>
    <w:rsid w:val="00612AC6"/>
    <w:rsid w:val="00612B16"/>
    <w:rsid w:val="00612C6D"/>
    <w:rsid w:val="00612FA8"/>
    <w:rsid w:val="00613491"/>
    <w:rsid w:val="006137A4"/>
    <w:rsid w:val="00613C02"/>
    <w:rsid w:val="00614319"/>
    <w:rsid w:val="00614484"/>
    <w:rsid w:val="00614664"/>
    <w:rsid w:val="0061490B"/>
    <w:rsid w:val="00614CE1"/>
    <w:rsid w:val="006152DE"/>
    <w:rsid w:val="0061551D"/>
    <w:rsid w:val="006158CA"/>
    <w:rsid w:val="00615BD3"/>
    <w:rsid w:val="00615D81"/>
    <w:rsid w:val="006163BC"/>
    <w:rsid w:val="00616597"/>
    <w:rsid w:val="006165E7"/>
    <w:rsid w:val="00616AC3"/>
    <w:rsid w:val="00616CF3"/>
    <w:rsid w:val="00616D12"/>
    <w:rsid w:val="00616F96"/>
    <w:rsid w:val="00617029"/>
    <w:rsid w:val="0061709E"/>
    <w:rsid w:val="00617177"/>
    <w:rsid w:val="00617209"/>
    <w:rsid w:val="006177FC"/>
    <w:rsid w:val="006179EC"/>
    <w:rsid w:val="00617CEC"/>
    <w:rsid w:val="00617EB5"/>
    <w:rsid w:val="00617ED9"/>
    <w:rsid w:val="00617F96"/>
    <w:rsid w:val="0062014F"/>
    <w:rsid w:val="00620175"/>
    <w:rsid w:val="00620239"/>
    <w:rsid w:val="0062057B"/>
    <w:rsid w:val="0062079A"/>
    <w:rsid w:val="006209A6"/>
    <w:rsid w:val="00620A48"/>
    <w:rsid w:val="00620BC4"/>
    <w:rsid w:val="00620C79"/>
    <w:rsid w:val="00620D39"/>
    <w:rsid w:val="00620E66"/>
    <w:rsid w:val="00620EB3"/>
    <w:rsid w:val="00620EFD"/>
    <w:rsid w:val="00620F89"/>
    <w:rsid w:val="00621150"/>
    <w:rsid w:val="0062157B"/>
    <w:rsid w:val="006216DA"/>
    <w:rsid w:val="00621747"/>
    <w:rsid w:val="00621CBA"/>
    <w:rsid w:val="00621D74"/>
    <w:rsid w:val="00621E85"/>
    <w:rsid w:val="00621F09"/>
    <w:rsid w:val="0062208A"/>
    <w:rsid w:val="00622104"/>
    <w:rsid w:val="00622386"/>
    <w:rsid w:val="00622654"/>
    <w:rsid w:val="00622930"/>
    <w:rsid w:val="0062295A"/>
    <w:rsid w:val="00622AEC"/>
    <w:rsid w:val="00622DFA"/>
    <w:rsid w:val="006231F9"/>
    <w:rsid w:val="00623274"/>
    <w:rsid w:val="00623646"/>
    <w:rsid w:val="0062377F"/>
    <w:rsid w:val="006237DB"/>
    <w:rsid w:val="00623AED"/>
    <w:rsid w:val="00623C5B"/>
    <w:rsid w:val="00623F2C"/>
    <w:rsid w:val="0062445E"/>
    <w:rsid w:val="006244CE"/>
    <w:rsid w:val="006245DC"/>
    <w:rsid w:val="0062463A"/>
    <w:rsid w:val="0062463C"/>
    <w:rsid w:val="006246B7"/>
    <w:rsid w:val="00624BAD"/>
    <w:rsid w:val="00624F20"/>
    <w:rsid w:val="00624F9A"/>
    <w:rsid w:val="006250E9"/>
    <w:rsid w:val="0062514C"/>
    <w:rsid w:val="00625397"/>
    <w:rsid w:val="00625475"/>
    <w:rsid w:val="00625958"/>
    <w:rsid w:val="00625964"/>
    <w:rsid w:val="00625A60"/>
    <w:rsid w:val="00625DA4"/>
    <w:rsid w:val="006260C5"/>
    <w:rsid w:val="0062617E"/>
    <w:rsid w:val="00626267"/>
    <w:rsid w:val="0062632B"/>
    <w:rsid w:val="006264BD"/>
    <w:rsid w:val="006266C7"/>
    <w:rsid w:val="006268BB"/>
    <w:rsid w:val="0062695D"/>
    <w:rsid w:val="00626C25"/>
    <w:rsid w:val="00627A37"/>
    <w:rsid w:val="00627BBF"/>
    <w:rsid w:val="00627C97"/>
    <w:rsid w:val="00627D0F"/>
    <w:rsid w:val="00627FEF"/>
    <w:rsid w:val="00630210"/>
    <w:rsid w:val="00630253"/>
    <w:rsid w:val="00630749"/>
    <w:rsid w:val="0063084C"/>
    <w:rsid w:val="00630988"/>
    <w:rsid w:val="00630AFF"/>
    <w:rsid w:val="00631154"/>
    <w:rsid w:val="00631167"/>
    <w:rsid w:val="00631217"/>
    <w:rsid w:val="00631772"/>
    <w:rsid w:val="0063182F"/>
    <w:rsid w:val="00631D59"/>
    <w:rsid w:val="00632538"/>
    <w:rsid w:val="00632B7F"/>
    <w:rsid w:val="00633213"/>
    <w:rsid w:val="00633433"/>
    <w:rsid w:val="00633458"/>
    <w:rsid w:val="006335F4"/>
    <w:rsid w:val="00633A93"/>
    <w:rsid w:val="00633C90"/>
    <w:rsid w:val="00633DB3"/>
    <w:rsid w:val="00633F6F"/>
    <w:rsid w:val="0063424F"/>
    <w:rsid w:val="006349CD"/>
    <w:rsid w:val="00634A92"/>
    <w:rsid w:val="00634C8A"/>
    <w:rsid w:val="00634D05"/>
    <w:rsid w:val="00634E87"/>
    <w:rsid w:val="00635078"/>
    <w:rsid w:val="0063507F"/>
    <w:rsid w:val="0063531C"/>
    <w:rsid w:val="00635392"/>
    <w:rsid w:val="006353E0"/>
    <w:rsid w:val="006355AF"/>
    <w:rsid w:val="006357F8"/>
    <w:rsid w:val="0063586D"/>
    <w:rsid w:val="00635AF3"/>
    <w:rsid w:val="00635B7A"/>
    <w:rsid w:val="00635C8B"/>
    <w:rsid w:val="00635F3A"/>
    <w:rsid w:val="0063613B"/>
    <w:rsid w:val="0063640B"/>
    <w:rsid w:val="00636729"/>
    <w:rsid w:val="00636AD6"/>
    <w:rsid w:val="00636BAA"/>
    <w:rsid w:val="00636EF3"/>
    <w:rsid w:val="00636F54"/>
    <w:rsid w:val="00636F69"/>
    <w:rsid w:val="006370A4"/>
    <w:rsid w:val="0063752C"/>
    <w:rsid w:val="00637F1B"/>
    <w:rsid w:val="006402A2"/>
    <w:rsid w:val="0064040B"/>
    <w:rsid w:val="00640517"/>
    <w:rsid w:val="00640865"/>
    <w:rsid w:val="00640AE3"/>
    <w:rsid w:val="00640C18"/>
    <w:rsid w:val="00640C44"/>
    <w:rsid w:val="00640C4F"/>
    <w:rsid w:val="00640CDB"/>
    <w:rsid w:val="00640F16"/>
    <w:rsid w:val="00641491"/>
    <w:rsid w:val="00641637"/>
    <w:rsid w:val="00641D82"/>
    <w:rsid w:val="006421AC"/>
    <w:rsid w:val="006426C1"/>
    <w:rsid w:val="00642735"/>
    <w:rsid w:val="00642CED"/>
    <w:rsid w:val="00642DF9"/>
    <w:rsid w:val="00643129"/>
    <w:rsid w:val="00643196"/>
    <w:rsid w:val="006431E0"/>
    <w:rsid w:val="006438E1"/>
    <w:rsid w:val="00643917"/>
    <w:rsid w:val="00643972"/>
    <w:rsid w:val="006439A4"/>
    <w:rsid w:val="00643B9A"/>
    <w:rsid w:val="00643BA5"/>
    <w:rsid w:val="006441C0"/>
    <w:rsid w:val="006443DD"/>
    <w:rsid w:val="00644788"/>
    <w:rsid w:val="00644831"/>
    <w:rsid w:val="00644A3A"/>
    <w:rsid w:val="00644D8F"/>
    <w:rsid w:val="00644E52"/>
    <w:rsid w:val="00644F83"/>
    <w:rsid w:val="00645094"/>
    <w:rsid w:val="00645706"/>
    <w:rsid w:val="00645726"/>
    <w:rsid w:val="006458A8"/>
    <w:rsid w:val="00645DDD"/>
    <w:rsid w:val="00645EBD"/>
    <w:rsid w:val="0064603D"/>
    <w:rsid w:val="00646283"/>
    <w:rsid w:val="006462B5"/>
    <w:rsid w:val="006463C1"/>
    <w:rsid w:val="00646691"/>
    <w:rsid w:val="00646735"/>
    <w:rsid w:val="0064674D"/>
    <w:rsid w:val="00646913"/>
    <w:rsid w:val="0064698D"/>
    <w:rsid w:val="006469E9"/>
    <w:rsid w:val="00646A66"/>
    <w:rsid w:val="00646D6E"/>
    <w:rsid w:val="00646DAE"/>
    <w:rsid w:val="00647295"/>
    <w:rsid w:val="006473A3"/>
    <w:rsid w:val="006474C4"/>
    <w:rsid w:val="006475B8"/>
    <w:rsid w:val="0064775D"/>
    <w:rsid w:val="0064798A"/>
    <w:rsid w:val="00647A26"/>
    <w:rsid w:val="00647A6F"/>
    <w:rsid w:val="00647ADB"/>
    <w:rsid w:val="00647B2E"/>
    <w:rsid w:val="00647FD8"/>
    <w:rsid w:val="006502D0"/>
    <w:rsid w:val="00650312"/>
    <w:rsid w:val="00650596"/>
    <w:rsid w:val="00650866"/>
    <w:rsid w:val="00650C38"/>
    <w:rsid w:val="0065114D"/>
    <w:rsid w:val="00651415"/>
    <w:rsid w:val="00651C30"/>
    <w:rsid w:val="00652443"/>
    <w:rsid w:val="0065254B"/>
    <w:rsid w:val="00652871"/>
    <w:rsid w:val="006529DF"/>
    <w:rsid w:val="00652E09"/>
    <w:rsid w:val="00653230"/>
    <w:rsid w:val="0065341F"/>
    <w:rsid w:val="006538E6"/>
    <w:rsid w:val="00653A67"/>
    <w:rsid w:val="00653DF6"/>
    <w:rsid w:val="00653E11"/>
    <w:rsid w:val="00654358"/>
    <w:rsid w:val="00654CF2"/>
    <w:rsid w:val="0065504F"/>
    <w:rsid w:val="00655684"/>
    <w:rsid w:val="00655742"/>
    <w:rsid w:val="006559C5"/>
    <w:rsid w:val="006562E8"/>
    <w:rsid w:val="006563DC"/>
    <w:rsid w:val="0065645B"/>
    <w:rsid w:val="006568EC"/>
    <w:rsid w:val="00656A20"/>
    <w:rsid w:val="00656AA8"/>
    <w:rsid w:val="00656CD2"/>
    <w:rsid w:val="00656E8D"/>
    <w:rsid w:val="00656FF6"/>
    <w:rsid w:val="006570D5"/>
    <w:rsid w:val="00657108"/>
    <w:rsid w:val="00657180"/>
    <w:rsid w:val="0065773C"/>
    <w:rsid w:val="00657868"/>
    <w:rsid w:val="00660016"/>
    <w:rsid w:val="00660049"/>
    <w:rsid w:val="0066052E"/>
    <w:rsid w:val="00660872"/>
    <w:rsid w:val="006608B5"/>
    <w:rsid w:val="00660C56"/>
    <w:rsid w:val="00660C9A"/>
    <w:rsid w:val="00660CC4"/>
    <w:rsid w:val="00660D8A"/>
    <w:rsid w:val="00660E1A"/>
    <w:rsid w:val="00660FBE"/>
    <w:rsid w:val="006610FC"/>
    <w:rsid w:val="00661282"/>
    <w:rsid w:val="006612FD"/>
    <w:rsid w:val="006614C1"/>
    <w:rsid w:val="0066189A"/>
    <w:rsid w:val="00661A3A"/>
    <w:rsid w:val="00661B9D"/>
    <w:rsid w:val="00661C30"/>
    <w:rsid w:val="00661E84"/>
    <w:rsid w:val="006624C0"/>
    <w:rsid w:val="006625BF"/>
    <w:rsid w:val="0066277A"/>
    <w:rsid w:val="006628AE"/>
    <w:rsid w:val="00663045"/>
    <w:rsid w:val="006632E2"/>
    <w:rsid w:val="006639A7"/>
    <w:rsid w:val="00663A8A"/>
    <w:rsid w:val="00663C2E"/>
    <w:rsid w:val="006640EE"/>
    <w:rsid w:val="00664178"/>
    <w:rsid w:val="006645DA"/>
    <w:rsid w:val="00664640"/>
    <w:rsid w:val="00664955"/>
    <w:rsid w:val="00665194"/>
    <w:rsid w:val="0066520F"/>
    <w:rsid w:val="006656DC"/>
    <w:rsid w:val="00665760"/>
    <w:rsid w:val="00665797"/>
    <w:rsid w:val="00665ADE"/>
    <w:rsid w:val="00666123"/>
    <w:rsid w:val="00666648"/>
    <w:rsid w:val="0066667F"/>
    <w:rsid w:val="0066684C"/>
    <w:rsid w:val="00666AA5"/>
    <w:rsid w:val="006671F0"/>
    <w:rsid w:val="00667B46"/>
    <w:rsid w:val="006701D3"/>
    <w:rsid w:val="00670244"/>
    <w:rsid w:val="0067025C"/>
    <w:rsid w:val="00670356"/>
    <w:rsid w:val="006703FA"/>
    <w:rsid w:val="00670433"/>
    <w:rsid w:val="00670633"/>
    <w:rsid w:val="006706BD"/>
    <w:rsid w:val="006706FC"/>
    <w:rsid w:val="00670D4F"/>
    <w:rsid w:val="00670E9C"/>
    <w:rsid w:val="006715A8"/>
    <w:rsid w:val="006716AF"/>
    <w:rsid w:val="00671731"/>
    <w:rsid w:val="006723D8"/>
    <w:rsid w:val="006724A9"/>
    <w:rsid w:val="0067264A"/>
    <w:rsid w:val="006726BC"/>
    <w:rsid w:val="006728A8"/>
    <w:rsid w:val="00672990"/>
    <w:rsid w:val="00672B18"/>
    <w:rsid w:val="00672CE2"/>
    <w:rsid w:val="0067308B"/>
    <w:rsid w:val="006730E2"/>
    <w:rsid w:val="00673537"/>
    <w:rsid w:val="0067364A"/>
    <w:rsid w:val="00673709"/>
    <w:rsid w:val="00673855"/>
    <w:rsid w:val="00673B2F"/>
    <w:rsid w:val="00673BE4"/>
    <w:rsid w:val="00673E7F"/>
    <w:rsid w:val="00674175"/>
    <w:rsid w:val="00674742"/>
    <w:rsid w:val="006748BF"/>
    <w:rsid w:val="006748E8"/>
    <w:rsid w:val="00674971"/>
    <w:rsid w:val="006749ED"/>
    <w:rsid w:val="00674B99"/>
    <w:rsid w:val="00674C90"/>
    <w:rsid w:val="00674F11"/>
    <w:rsid w:val="00675114"/>
    <w:rsid w:val="00675124"/>
    <w:rsid w:val="0067545A"/>
    <w:rsid w:val="0067578E"/>
    <w:rsid w:val="00675BD9"/>
    <w:rsid w:val="00675E3F"/>
    <w:rsid w:val="00675F7D"/>
    <w:rsid w:val="00675FF1"/>
    <w:rsid w:val="00676217"/>
    <w:rsid w:val="00676509"/>
    <w:rsid w:val="0067678C"/>
    <w:rsid w:val="00676C35"/>
    <w:rsid w:val="00676E07"/>
    <w:rsid w:val="00676E12"/>
    <w:rsid w:val="006773E2"/>
    <w:rsid w:val="006776E5"/>
    <w:rsid w:val="006777C0"/>
    <w:rsid w:val="006779F7"/>
    <w:rsid w:val="00677A9F"/>
    <w:rsid w:val="00677C74"/>
    <w:rsid w:val="00677E1E"/>
    <w:rsid w:val="00677E51"/>
    <w:rsid w:val="00677F07"/>
    <w:rsid w:val="006800D8"/>
    <w:rsid w:val="00680142"/>
    <w:rsid w:val="00680578"/>
    <w:rsid w:val="00680672"/>
    <w:rsid w:val="00680872"/>
    <w:rsid w:val="00680B99"/>
    <w:rsid w:val="0068112C"/>
    <w:rsid w:val="0068119A"/>
    <w:rsid w:val="006812E1"/>
    <w:rsid w:val="00681644"/>
    <w:rsid w:val="006816C4"/>
    <w:rsid w:val="00681932"/>
    <w:rsid w:val="00682089"/>
    <w:rsid w:val="0068227D"/>
    <w:rsid w:val="0068243B"/>
    <w:rsid w:val="00682683"/>
    <w:rsid w:val="00682A07"/>
    <w:rsid w:val="00682E7D"/>
    <w:rsid w:val="0068316D"/>
    <w:rsid w:val="00683384"/>
    <w:rsid w:val="0068361C"/>
    <w:rsid w:val="00683B52"/>
    <w:rsid w:val="0068435E"/>
    <w:rsid w:val="006843B9"/>
    <w:rsid w:val="006843DF"/>
    <w:rsid w:val="00684451"/>
    <w:rsid w:val="006846C8"/>
    <w:rsid w:val="0068470C"/>
    <w:rsid w:val="00684894"/>
    <w:rsid w:val="006849FE"/>
    <w:rsid w:val="00684E91"/>
    <w:rsid w:val="00684FB6"/>
    <w:rsid w:val="006850EB"/>
    <w:rsid w:val="006852B2"/>
    <w:rsid w:val="006856DF"/>
    <w:rsid w:val="0068589F"/>
    <w:rsid w:val="00685E79"/>
    <w:rsid w:val="00686141"/>
    <w:rsid w:val="0068630D"/>
    <w:rsid w:val="006863E8"/>
    <w:rsid w:val="00686517"/>
    <w:rsid w:val="006869E8"/>
    <w:rsid w:val="00686F07"/>
    <w:rsid w:val="00686F34"/>
    <w:rsid w:val="00687595"/>
    <w:rsid w:val="00687909"/>
    <w:rsid w:val="00687959"/>
    <w:rsid w:val="00687B85"/>
    <w:rsid w:val="00687C26"/>
    <w:rsid w:val="00687F63"/>
    <w:rsid w:val="00687F6F"/>
    <w:rsid w:val="0069001E"/>
    <w:rsid w:val="006901CD"/>
    <w:rsid w:val="00690578"/>
    <w:rsid w:val="00690DC9"/>
    <w:rsid w:val="00690F74"/>
    <w:rsid w:val="00691947"/>
    <w:rsid w:val="00691BD1"/>
    <w:rsid w:val="00691D6C"/>
    <w:rsid w:val="00691FF1"/>
    <w:rsid w:val="006920C1"/>
    <w:rsid w:val="006920F6"/>
    <w:rsid w:val="00692446"/>
    <w:rsid w:val="00692977"/>
    <w:rsid w:val="00692C53"/>
    <w:rsid w:val="00693224"/>
    <w:rsid w:val="00693234"/>
    <w:rsid w:val="0069368A"/>
    <w:rsid w:val="00693964"/>
    <w:rsid w:val="006939C8"/>
    <w:rsid w:val="00693B49"/>
    <w:rsid w:val="00693B8D"/>
    <w:rsid w:val="006944A4"/>
    <w:rsid w:val="006944BB"/>
    <w:rsid w:val="00694ACB"/>
    <w:rsid w:val="00694E81"/>
    <w:rsid w:val="00694EAE"/>
    <w:rsid w:val="006951D8"/>
    <w:rsid w:val="00695C80"/>
    <w:rsid w:val="00695EAD"/>
    <w:rsid w:val="006965CA"/>
    <w:rsid w:val="0069698F"/>
    <w:rsid w:val="00696A77"/>
    <w:rsid w:val="00696A7B"/>
    <w:rsid w:val="00696BBA"/>
    <w:rsid w:val="00696EDE"/>
    <w:rsid w:val="00696F0C"/>
    <w:rsid w:val="00697094"/>
    <w:rsid w:val="006974DB"/>
    <w:rsid w:val="00697668"/>
    <w:rsid w:val="006979CF"/>
    <w:rsid w:val="00697A7A"/>
    <w:rsid w:val="00697E3A"/>
    <w:rsid w:val="00697E48"/>
    <w:rsid w:val="006A011C"/>
    <w:rsid w:val="006A011D"/>
    <w:rsid w:val="006A018D"/>
    <w:rsid w:val="006A04C4"/>
    <w:rsid w:val="006A04EE"/>
    <w:rsid w:val="006A06CE"/>
    <w:rsid w:val="006A08D9"/>
    <w:rsid w:val="006A0997"/>
    <w:rsid w:val="006A0EAE"/>
    <w:rsid w:val="006A0FB6"/>
    <w:rsid w:val="006A12D1"/>
    <w:rsid w:val="006A141D"/>
    <w:rsid w:val="006A1832"/>
    <w:rsid w:val="006A1AAD"/>
    <w:rsid w:val="006A1FAF"/>
    <w:rsid w:val="006A22EA"/>
    <w:rsid w:val="006A2438"/>
    <w:rsid w:val="006A25DA"/>
    <w:rsid w:val="006A25E0"/>
    <w:rsid w:val="006A25FE"/>
    <w:rsid w:val="006A26B7"/>
    <w:rsid w:val="006A2C05"/>
    <w:rsid w:val="006A2DD8"/>
    <w:rsid w:val="006A2F37"/>
    <w:rsid w:val="006A2FBD"/>
    <w:rsid w:val="006A3014"/>
    <w:rsid w:val="006A3200"/>
    <w:rsid w:val="006A3420"/>
    <w:rsid w:val="006A37A4"/>
    <w:rsid w:val="006A3860"/>
    <w:rsid w:val="006A3F93"/>
    <w:rsid w:val="006A40EF"/>
    <w:rsid w:val="006A46A8"/>
    <w:rsid w:val="006A475E"/>
    <w:rsid w:val="006A4AC9"/>
    <w:rsid w:val="006A4F55"/>
    <w:rsid w:val="006A5028"/>
    <w:rsid w:val="006A5110"/>
    <w:rsid w:val="006A52F6"/>
    <w:rsid w:val="006A54A3"/>
    <w:rsid w:val="006A5A09"/>
    <w:rsid w:val="006A5A48"/>
    <w:rsid w:val="006A5C80"/>
    <w:rsid w:val="006A600D"/>
    <w:rsid w:val="006A650F"/>
    <w:rsid w:val="006A7031"/>
    <w:rsid w:val="006A7276"/>
    <w:rsid w:val="006A7278"/>
    <w:rsid w:val="006A728D"/>
    <w:rsid w:val="006A72B4"/>
    <w:rsid w:val="006A7AB2"/>
    <w:rsid w:val="006A7CF7"/>
    <w:rsid w:val="006B0274"/>
    <w:rsid w:val="006B02BA"/>
    <w:rsid w:val="006B0361"/>
    <w:rsid w:val="006B0497"/>
    <w:rsid w:val="006B049E"/>
    <w:rsid w:val="006B0528"/>
    <w:rsid w:val="006B0885"/>
    <w:rsid w:val="006B0A6B"/>
    <w:rsid w:val="006B1079"/>
    <w:rsid w:val="006B1326"/>
    <w:rsid w:val="006B1911"/>
    <w:rsid w:val="006B1A80"/>
    <w:rsid w:val="006B1B1C"/>
    <w:rsid w:val="006B281C"/>
    <w:rsid w:val="006B28A8"/>
    <w:rsid w:val="006B2B83"/>
    <w:rsid w:val="006B2F04"/>
    <w:rsid w:val="006B33FC"/>
    <w:rsid w:val="006B353E"/>
    <w:rsid w:val="006B3719"/>
    <w:rsid w:val="006B37DA"/>
    <w:rsid w:val="006B3B59"/>
    <w:rsid w:val="006B4167"/>
    <w:rsid w:val="006B4558"/>
    <w:rsid w:val="006B457C"/>
    <w:rsid w:val="006B4C67"/>
    <w:rsid w:val="006B4DFA"/>
    <w:rsid w:val="006B51E8"/>
    <w:rsid w:val="006B536D"/>
    <w:rsid w:val="006B554D"/>
    <w:rsid w:val="006B55EE"/>
    <w:rsid w:val="006B56C7"/>
    <w:rsid w:val="006B56DC"/>
    <w:rsid w:val="006B5B13"/>
    <w:rsid w:val="006B5B6A"/>
    <w:rsid w:val="006B6202"/>
    <w:rsid w:val="006B629F"/>
    <w:rsid w:val="006B6458"/>
    <w:rsid w:val="006B68A9"/>
    <w:rsid w:val="006B6CCC"/>
    <w:rsid w:val="006B6E67"/>
    <w:rsid w:val="006B71BD"/>
    <w:rsid w:val="006B72F0"/>
    <w:rsid w:val="006B7486"/>
    <w:rsid w:val="006B75A8"/>
    <w:rsid w:val="006B761F"/>
    <w:rsid w:val="006B7866"/>
    <w:rsid w:val="006B7D4A"/>
    <w:rsid w:val="006C0044"/>
    <w:rsid w:val="006C03E4"/>
    <w:rsid w:val="006C0435"/>
    <w:rsid w:val="006C07FC"/>
    <w:rsid w:val="006C0886"/>
    <w:rsid w:val="006C0943"/>
    <w:rsid w:val="006C096E"/>
    <w:rsid w:val="006C0C0F"/>
    <w:rsid w:val="006C0DA0"/>
    <w:rsid w:val="006C0DA9"/>
    <w:rsid w:val="006C1344"/>
    <w:rsid w:val="006C13EB"/>
    <w:rsid w:val="006C1541"/>
    <w:rsid w:val="006C154F"/>
    <w:rsid w:val="006C1782"/>
    <w:rsid w:val="006C18C9"/>
    <w:rsid w:val="006C18D4"/>
    <w:rsid w:val="006C1A72"/>
    <w:rsid w:val="006C1B80"/>
    <w:rsid w:val="006C1E26"/>
    <w:rsid w:val="006C237F"/>
    <w:rsid w:val="006C2523"/>
    <w:rsid w:val="006C2657"/>
    <w:rsid w:val="006C26F8"/>
    <w:rsid w:val="006C2827"/>
    <w:rsid w:val="006C2850"/>
    <w:rsid w:val="006C297D"/>
    <w:rsid w:val="006C2F01"/>
    <w:rsid w:val="006C2F17"/>
    <w:rsid w:val="006C2FC2"/>
    <w:rsid w:val="006C318D"/>
    <w:rsid w:val="006C326D"/>
    <w:rsid w:val="006C32B0"/>
    <w:rsid w:val="006C334B"/>
    <w:rsid w:val="006C3356"/>
    <w:rsid w:val="006C3B3D"/>
    <w:rsid w:val="006C42BE"/>
    <w:rsid w:val="006C45AF"/>
    <w:rsid w:val="006C4A94"/>
    <w:rsid w:val="006C4C1D"/>
    <w:rsid w:val="006C5719"/>
    <w:rsid w:val="006C5899"/>
    <w:rsid w:val="006C59B4"/>
    <w:rsid w:val="006C59BF"/>
    <w:rsid w:val="006C5C88"/>
    <w:rsid w:val="006C6463"/>
    <w:rsid w:val="006C66D9"/>
    <w:rsid w:val="006C67F6"/>
    <w:rsid w:val="006C6824"/>
    <w:rsid w:val="006C6960"/>
    <w:rsid w:val="006C6A07"/>
    <w:rsid w:val="006C6A08"/>
    <w:rsid w:val="006C6BA2"/>
    <w:rsid w:val="006C7199"/>
    <w:rsid w:val="006C7474"/>
    <w:rsid w:val="006C75A3"/>
    <w:rsid w:val="006C793D"/>
    <w:rsid w:val="006C7B99"/>
    <w:rsid w:val="006C7C0D"/>
    <w:rsid w:val="006D007E"/>
    <w:rsid w:val="006D039B"/>
    <w:rsid w:val="006D03B0"/>
    <w:rsid w:val="006D05F4"/>
    <w:rsid w:val="006D0A11"/>
    <w:rsid w:val="006D0D76"/>
    <w:rsid w:val="006D0DE1"/>
    <w:rsid w:val="006D1031"/>
    <w:rsid w:val="006D1362"/>
    <w:rsid w:val="006D143D"/>
    <w:rsid w:val="006D18EC"/>
    <w:rsid w:val="006D19EB"/>
    <w:rsid w:val="006D1A02"/>
    <w:rsid w:val="006D209A"/>
    <w:rsid w:val="006D2117"/>
    <w:rsid w:val="006D2400"/>
    <w:rsid w:val="006D2635"/>
    <w:rsid w:val="006D289A"/>
    <w:rsid w:val="006D2AFC"/>
    <w:rsid w:val="006D2D42"/>
    <w:rsid w:val="006D3021"/>
    <w:rsid w:val="006D3824"/>
    <w:rsid w:val="006D3A33"/>
    <w:rsid w:val="006D3D7C"/>
    <w:rsid w:val="006D45F1"/>
    <w:rsid w:val="006D47CF"/>
    <w:rsid w:val="006D4C4C"/>
    <w:rsid w:val="006D4DF0"/>
    <w:rsid w:val="006D5163"/>
    <w:rsid w:val="006D5470"/>
    <w:rsid w:val="006D572C"/>
    <w:rsid w:val="006D5E5E"/>
    <w:rsid w:val="006D5F14"/>
    <w:rsid w:val="006D5FAE"/>
    <w:rsid w:val="006D6181"/>
    <w:rsid w:val="006D61F4"/>
    <w:rsid w:val="006D644A"/>
    <w:rsid w:val="006D64DC"/>
    <w:rsid w:val="006D6883"/>
    <w:rsid w:val="006D6FED"/>
    <w:rsid w:val="006D7042"/>
    <w:rsid w:val="006D706A"/>
    <w:rsid w:val="006D71C6"/>
    <w:rsid w:val="006D7639"/>
    <w:rsid w:val="006D76BA"/>
    <w:rsid w:val="006D7918"/>
    <w:rsid w:val="006D7F5F"/>
    <w:rsid w:val="006D7FF6"/>
    <w:rsid w:val="006E010D"/>
    <w:rsid w:val="006E0149"/>
    <w:rsid w:val="006E018B"/>
    <w:rsid w:val="006E078A"/>
    <w:rsid w:val="006E08B0"/>
    <w:rsid w:val="006E0924"/>
    <w:rsid w:val="006E0A7C"/>
    <w:rsid w:val="006E0A8E"/>
    <w:rsid w:val="006E0C2A"/>
    <w:rsid w:val="006E0C5F"/>
    <w:rsid w:val="006E112E"/>
    <w:rsid w:val="006E1187"/>
    <w:rsid w:val="006E13A5"/>
    <w:rsid w:val="006E1611"/>
    <w:rsid w:val="006E1626"/>
    <w:rsid w:val="006E20A1"/>
    <w:rsid w:val="006E23AE"/>
    <w:rsid w:val="006E25B0"/>
    <w:rsid w:val="006E29C5"/>
    <w:rsid w:val="006E2F6C"/>
    <w:rsid w:val="006E2FC9"/>
    <w:rsid w:val="006E3068"/>
    <w:rsid w:val="006E3126"/>
    <w:rsid w:val="006E34FF"/>
    <w:rsid w:val="006E3554"/>
    <w:rsid w:val="006E3712"/>
    <w:rsid w:val="006E3875"/>
    <w:rsid w:val="006E3C5D"/>
    <w:rsid w:val="006E3F32"/>
    <w:rsid w:val="006E4310"/>
    <w:rsid w:val="006E4808"/>
    <w:rsid w:val="006E4BF5"/>
    <w:rsid w:val="006E4D3C"/>
    <w:rsid w:val="006E50D7"/>
    <w:rsid w:val="006E50F8"/>
    <w:rsid w:val="006E5357"/>
    <w:rsid w:val="006E586D"/>
    <w:rsid w:val="006E5AB5"/>
    <w:rsid w:val="006E5B18"/>
    <w:rsid w:val="006E63A2"/>
    <w:rsid w:val="006E6C40"/>
    <w:rsid w:val="006E6C86"/>
    <w:rsid w:val="006E6C99"/>
    <w:rsid w:val="006E7267"/>
    <w:rsid w:val="006E75D2"/>
    <w:rsid w:val="006E7670"/>
    <w:rsid w:val="006E76C6"/>
    <w:rsid w:val="006E7BC9"/>
    <w:rsid w:val="006E7CFD"/>
    <w:rsid w:val="006E7D01"/>
    <w:rsid w:val="006E7E0B"/>
    <w:rsid w:val="006E7F76"/>
    <w:rsid w:val="006F00D1"/>
    <w:rsid w:val="006F0403"/>
    <w:rsid w:val="006F06F4"/>
    <w:rsid w:val="006F0A2D"/>
    <w:rsid w:val="006F0C3E"/>
    <w:rsid w:val="006F0F7E"/>
    <w:rsid w:val="006F11E1"/>
    <w:rsid w:val="006F138F"/>
    <w:rsid w:val="006F1403"/>
    <w:rsid w:val="006F16AB"/>
    <w:rsid w:val="006F172C"/>
    <w:rsid w:val="006F17A4"/>
    <w:rsid w:val="006F185C"/>
    <w:rsid w:val="006F1D44"/>
    <w:rsid w:val="006F2126"/>
    <w:rsid w:val="006F27D4"/>
    <w:rsid w:val="006F281F"/>
    <w:rsid w:val="006F2C2D"/>
    <w:rsid w:val="006F2D58"/>
    <w:rsid w:val="006F2D6B"/>
    <w:rsid w:val="006F2DB3"/>
    <w:rsid w:val="006F2E10"/>
    <w:rsid w:val="006F2EC9"/>
    <w:rsid w:val="006F2F8B"/>
    <w:rsid w:val="006F34ED"/>
    <w:rsid w:val="006F36EC"/>
    <w:rsid w:val="006F3727"/>
    <w:rsid w:val="006F38AE"/>
    <w:rsid w:val="006F3A4F"/>
    <w:rsid w:val="006F3BD6"/>
    <w:rsid w:val="006F3F2C"/>
    <w:rsid w:val="006F4059"/>
    <w:rsid w:val="006F4358"/>
    <w:rsid w:val="006F462F"/>
    <w:rsid w:val="006F4693"/>
    <w:rsid w:val="006F473A"/>
    <w:rsid w:val="006F4C9A"/>
    <w:rsid w:val="006F507F"/>
    <w:rsid w:val="006F545F"/>
    <w:rsid w:val="006F56C2"/>
    <w:rsid w:val="006F5B6C"/>
    <w:rsid w:val="006F610B"/>
    <w:rsid w:val="006F641A"/>
    <w:rsid w:val="006F655D"/>
    <w:rsid w:val="006F65C4"/>
    <w:rsid w:val="006F6739"/>
    <w:rsid w:val="006F681B"/>
    <w:rsid w:val="006F69C7"/>
    <w:rsid w:val="006F6A15"/>
    <w:rsid w:val="006F6AE1"/>
    <w:rsid w:val="006F6C18"/>
    <w:rsid w:val="006F6F03"/>
    <w:rsid w:val="006F728F"/>
    <w:rsid w:val="006F75C2"/>
    <w:rsid w:val="006F78B3"/>
    <w:rsid w:val="006F7930"/>
    <w:rsid w:val="006F7E40"/>
    <w:rsid w:val="00700270"/>
    <w:rsid w:val="00700314"/>
    <w:rsid w:val="00700395"/>
    <w:rsid w:val="0070058A"/>
    <w:rsid w:val="007005B1"/>
    <w:rsid w:val="0070083F"/>
    <w:rsid w:val="007008BD"/>
    <w:rsid w:val="00700C0C"/>
    <w:rsid w:val="007013F0"/>
    <w:rsid w:val="007017D8"/>
    <w:rsid w:val="00701808"/>
    <w:rsid w:val="00701B1E"/>
    <w:rsid w:val="00701B48"/>
    <w:rsid w:val="00701BB8"/>
    <w:rsid w:val="007020E6"/>
    <w:rsid w:val="007022C2"/>
    <w:rsid w:val="00702628"/>
    <w:rsid w:val="007029DD"/>
    <w:rsid w:val="00702F41"/>
    <w:rsid w:val="0070312D"/>
    <w:rsid w:val="00703390"/>
    <w:rsid w:val="007033FE"/>
    <w:rsid w:val="007036B9"/>
    <w:rsid w:val="0070372C"/>
    <w:rsid w:val="00703D87"/>
    <w:rsid w:val="00703DFD"/>
    <w:rsid w:val="00704209"/>
    <w:rsid w:val="0070461C"/>
    <w:rsid w:val="007046AE"/>
    <w:rsid w:val="00704725"/>
    <w:rsid w:val="007047A3"/>
    <w:rsid w:val="007047B0"/>
    <w:rsid w:val="007047B1"/>
    <w:rsid w:val="00704BC5"/>
    <w:rsid w:val="00704D65"/>
    <w:rsid w:val="00704E8B"/>
    <w:rsid w:val="00704F6D"/>
    <w:rsid w:val="00705004"/>
    <w:rsid w:val="00705267"/>
    <w:rsid w:val="0070560F"/>
    <w:rsid w:val="007057D1"/>
    <w:rsid w:val="007057FF"/>
    <w:rsid w:val="007059A8"/>
    <w:rsid w:val="00705C0D"/>
    <w:rsid w:val="00705C87"/>
    <w:rsid w:val="00705E48"/>
    <w:rsid w:val="0070638E"/>
    <w:rsid w:val="007063FF"/>
    <w:rsid w:val="00706B73"/>
    <w:rsid w:val="00706E9C"/>
    <w:rsid w:val="007073F1"/>
    <w:rsid w:val="0070752D"/>
    <w:rsid w:val="00707BF6"/>
    <w:rsid w:val="00707DB2"/>
    <w:rsid w:val="00710119"/>
    <w:rsid w:val="00710461"/>
    <w:rsid w:val="00711140"/>
    <w:rsid w:val="0071119C"/>
    <w:rsid w:val="007111F7"/>
    <w:rsid w:val="007114CC"/>
    <w:rsid w:val="00711C86"/>
    <w:rsid w:val="0071221A"/>
    <w:rsid w:val="007122DD"/>
    <w:rsid w:val="00712341"/>
    <w:rsid w:val="00712358"/>
    <w:rsid w:val="0071266D"/>
    <w:rsid w:val="00712698"/>
    <w:rsid w:val="007127A2"/>
    <w:rsid w:val="00712976"/>
    <w:rsid w:val="0071320F"/>
    <w:rsid w:val="00713220"/>
    <w:rsid w:val="0071347E"/>
    <w:rsid w:val="0071381D"/>
    <w:rsid w:val="00713D9F"/>
    <w:rsid w:val="007141A7"/>
    <w:rsid w:val="007149DE"/>
    <w:rsid w:val="00714A50"/>
    <w:rsid w:val="00714B56"/>
    <w:rsid w:val="00714CF0"/>
    <w:rsid w:val="00714E72"/>
    <w:rsid w:val="00714FCA"/>
    <w:rsid w:val="007152CA"/>
    <w:rsid w:val="00715379"/>
    <w:rsid w:val="00715C26"/>
    <w:rsid w:val="00715DE2"/>
    <w:rsid w:val="00716023"/>
    <w:rsid w:val="0071622D"/>
    <w:rsid w:val="0071637F"/>
    <w:rsid w:val="007163A3"/>
    <w:rsid w:val="0071651D"/>
    <w:rsid w:val="00716561"/>
    <w:rsid w:val="00716593"/>
    <w:rsid w:val="0071660A"/>
    <w:rsid w:val="00716BCA"/>
    <w:rsid w:val="00716ECA"/>
    <w:rsid w:val="0071724A"/>
    <w:rsid w:val="00717812"/>
    <w:rsid w:val="00717CA5"/>
    <w:rsid w:val="00720039"/>
    <w:rsid w:val="00720062"/>
    <w:rsid w:val="0072017A"/>
    <w:rsid w:val="007201D5"/>
    <w:rsid w:val="007203AB"/>
    <w:rsid w:val="00720459"/>
    <w:rsid w:val="0072055E"/>
    <w:rsid w:val="00720CA1"/>
    <w:rsid w:val="00720DAB"/>
    <w:rsid w:val="00720E65"/>
    <w:rsid w:val="0072117A"/>
    <w:rsid w:val="0072124D"/>
    <w:rsid w:val="00721743"/>
    <w:rsid w:val="00721765"/>
    <w:rsid w:val="007217EF"/>
    <w:rsid w:val="00721848"/>
    <w:rsid w:val="0072191D"/>
    <w:rsid w:val="0072193B"/>
    <w:rsid w:val="0072195C"/>
    <w:rsid w:val="00721C21"/>
    <w:rsid w:val="00721D64"/>
    <w:rsid w:val="00722321"/>
    <w:rsid w:val="00722579"/>
    <w:rsid w:val="00722B13"/>
    <w:rsid w:val="007230DF"/>
    <w:rsid w:val="00723113"/>
    <w:rsid w:val="00723310"/>
    <w:rsid w:val="00723390"/>
    <w:rsid w:val="007234D6"/>
    <w:rsid w:val="00723613"/>
    <w:rsid w:val="0072388B"/>
    <w:rsid w:val="007238A5"/>
    <w:rsid w:val="007238BA"/>
    <w:rsid w:val="00723905"/>
    <w:rsid w:val="007239B0"/>
    <w:rsid w:val="00723B1F"/>
    <w:rsid w:val="0072446D"/>
    <w:rsid w:val="007245E9"/>
    <w:rsid w:val="00724676"/>
    <w:rsid w:val="007248BD"/>
    <w:rsid w:val="007248D0"/>
    <w:rsid w:val="007248F9"/>
    <w:rsid w:val="00725122"/>
    <w:rsid w:val="00725169"/>
    <w:rsid w:val="007251D8"/>
    <w:rsid w:val="007257EE"/>
    <w:rsid w:val="00725A4E"/>
    <w:rsid w:val="00725AD5"/>
    <w:rsid w:val="00725E02"/>
    <w:rsid w:val="00725F8B"/>
    <w:rsid w:val="00726230"/>
    <w:rsid w:val="007263BA"/>
    <w:rsid w:val="00726400"/>
    <w:rsid w:val="007268F2"/>
    <w:rsid w:val="00726A7E"/>
    <w:rsid w:val="00726CD4"/>
    <w:rsid w:val="00726FBF"/>
    <w:rsid w:val="007273E3"/>
    <w:rsid w:val="00727829"/>
    <w:rsid w:val="00727879"/>
    <w:rsid w:val="00727AC2"/>
    <w:rsid w:val="00727DBE"/>
    <w:rsid w:val="00727EB5"/>
    <w:rsid w:val="0073049B"/>
    <w:rsid w:val="00730539"/>
    <w:rsid w:val="00730B2C"/>
    <w:rsid w:val="00730CF3"/>
    <w:rsid w:val="00731285"/>
    <w:rsid w:val="00731732"/>
    <w:rsid w:val="007317D4"/>
    <w:rsid w:val="007317EE"/>
    <w:rsid w:val="00731818"/>
    <w:rsid w:val="00731BA2"/>
    <w:rsid w:val="00731BD0"/>
    <w:rsid w:val="00732039"/>
    <w:rsid w:val="007325CD"/>
    <w:rsid w:val="00732650"/>
    <w:rsid w:val="00732D44"/>
    <w:rsid w:val="00732EC8"/>
    <w:rsid w:val="00733212"/>
    <w:rsid w:val="0073341B"/>
    <w:rsid w:val="0073343D"/>
    <w:rsid w:val="007335DC"/>
    <w:rsid w:val="00733A39"/>
    <w:rsid w:val="00733AFE"/>
    <w:rsid w:val="00733BAD"/>
    <w:rsid w:val="00733F59"/>
    <w:rsid w:val="00734075"/>
    <w:rsid w:val="00734299"/>
    <w:rsid w:val="00734363"/>
    <w:rsid w:val="0073439A"/>
    <w:rsid w:val="00734543"/>
    <w:rsid w:val="007348E6"/>
    <w:rsid w:val="007348FF"/>
    <w:rsid w:val="007349DA"/>
    <w:rsid w:val="00734D57"/>
    <w:rsid w:val="00734D66"/>
    <w:rsid w:val="0073511E"/>
    <w:rsid w:val="0073520C"/>
    <w:rsid w:val="007355AA"/>
    <w:rsid w:val="00735A89"/>
    <w:rsid w:val="00736645"/>
    <w:rsid w:val="0073664A"/>
    <w:rsid w:val="00736855"/>
    <w:rsid w:val="00736F4E"/>
    <w:rsid w:val="007372EA"/>
    <w:rsid w:val="007373E5"/>
    <w:rsid w:val="0073742C"/>
    <w:rsid w:val="007375C9"/>
    <w:rsid w:val="0073792E"/>
    <w:rsid w:val="007379C9"/>
    <w:rsid w:val="00737B79"/>
    <w:rsid w:val="00737CCE"/>
    <w:rsid w:val="0074021E"/>
    <w:rsid w:val="0074043C"/>
    <w:rsid w:val="007406B8"/>
    <w:rsid w:val="007406BC"/>
    <w:rsid w:val="007409E7"/>
    <w:rsid w:val="00740B33"/>
    <w:rsid w:val="0074103B"/>
    <w:rsid w:val="007413CC"/>
    <w:rsid w:val="007414AE"/>
    <w:rsid w:val="007417E7"/>
    <w:rsid w:val="00741982"/>
    <w:rsid w:val="00741CCA"/>
    <w:rsid w:val="00741E15"/>
    <w:rsid w:val="00741FA1"/>
    <w:rsid w:val="007422A6"/>
    <w:rsid w:val="007423A0"/>
    <w:rsid w:val="007423AF"/>
    <w:rsid w:val="007424EE"/>
    <w:rsid w:val="007426E9"/>
    <w:rsid w:val="007427B4"/>
    <w:rsid w:val="0074294E"/>
    <w:rsid w:val="00742DC8"/>
    <w:rsid w:val="00743092"/>
    <w:rsid w:val="00743414"/>
    <w:rsid w:val="007435F8"/>
    <w:rsid w:val="00743AE1"/>
    <w:rsid w:val="00743D96"/>
    <w:rsid w:val="007440AC"/>
    <w:rsid w:val="00744886"/>
    <w:rsid w:val="0074509B"/>
    <w:rsid w:val="00745242"/>
    <w:rsid w:val="00745583"/>
    <w:rsid w:val="007457D3"/>
    <w:rsid w:val="00745985"/>
    <w:rsid w:val="007459FD"/>
    <w:rsid w:val="00745B61"/>
    <w:rsid w:val="00745DB4"/>
    <w:rsid w:val="007466B6"/>
    <w:rsid w:val="00746705"/>
    <w:rsid w:val="007469F5"/>
    <w:rsid w:val="00746A1D"/>
    <w:rsid w:val="00746A9D"/>
    <w:rsid w:val="00746AC0"/>
    <w:rsid w:val="007470B5"/>
    <w:rsid w:val="007471F7"/>
    <w:rsid w:val="0074769C"/>
    <w:rsid w:val="007478F4"/>
    <w:rsid w:val="00747A6E"/>
    <w:rsid w:val="00747AEC"/>
    <w:rsid w:val="00747B2C"/>
    <w:rsid w:val="00747D61"/>
    <w:rsid w:val="00747EAF"/>
    <w:rsid w:val="00747F21"/>
    <w:rsid w:val="00747FD6"/>
    <w:rsid w:val="00750683"/>
    <w:rsid w:val="00750C36"/>
    <w:rsid w:val="00751020"/>
    <w:rsid w:val="00751115"/>
    <w:rsid w:val="00751147"/>
    <w:rsid w:val="00751627"/>
    <w:rsid w:val="00751C0B"/>
    <w:rsid w:val="00751EC1"/>
    <w:rsid w:val="00751ECA"/>
    <w:rsid w:val="00752149"/>
    <w:rsid w:val="007521F4"/>
    <w:rsid w:val="00752437"/>
    <w:rsid w:val="007525E2"/>
    <w:rsid w:val="007526F5"/>
    <w:rsid w:val="00752789"/>
    <w:rsid w:val="00752954"/>
    <w:rsid w:val="00752E2D"/>
    <w:rsid w:val="0075389D"/>
    <w:rsid w:val="00753B48"/>
    <w:rsid w:val="00753DF6"/>
    <w:rsid w:val="007543D7"/>
    <w:rsid w:val="007544DD"/>
    <w:rsid w:val="007545E3"/>
    <w:rsid w:val="007545EC"/>
    <w:rsid w:val="00754A4E"/>
    <w:rsid w:val="00755563"/>
    <w:rsid w:val="00755723"/>
    <w:rsid w:val="00755918"/>
    <w:rsid w:val="00755ADB"/>
    <w:rsid w:val="00755DDC"/>
    <w:rsid w:val="00756026"/>
    <w:rsid w:val="0075622C"/>
    <w:rsid w:val="0075656A"/>
    <w:rsid w:val="007565BA"/>
    <w:rsid w:val="007566BA"/>
    <w:rsid w:val="007569E7"/>
    <w:rsid w:val="00756A9D"/>
    <w:rsid w:val="00756E2C"/>
    <w:rsid w:val="00757232"/>
    <w:rsid w:val="0075725C"/>
    <w:rsid w:val="007573EE"/>
    <w:rsid w:val="00757787"/>
    <w:rsid w:val="00757836"/>
    <w:rsid w:val="00757C72"/>
    <w:rsid w:val="007602FE"/>
    <w:rsid w:val="00760642"/>
    <w:rsid w:val="007606EE"/>
    <w:rsid w:val="00760999"/>
    <w:rsid w:val="00760A4A"/>
    <w:rsid w:val="00760C15"/>
    <w:rsid w:val="00760EB3"/>
    <w:rsid w:val="007619FA"/>
    <w:rsid w:val="00761B7A"/>
    <w:rsid w:val="00761DBE"/>
    <w:rsid w:val="00762084"/>
    <w:rsid w:val="0076212D"/>
    <w:rsid w:val="00762151"/>
    <w:rsid w:val="0076269E"/>
    <w:rsid w:val="007628CE"/>
    <w:rsid w:val="00762AD4"/>
    <w:rsid w:val="00762B21"/>
    <w:rsid w:val="00762F4B"/>
    <w:rsid w:val="00763165"/>
    <w:rsid w:val="007634F5"/>
    <w:rsid w:val="00763566"/>
    <w:rsid w:val="00763DAD"/>
    <w:rsid w:val="0076442B"/>
    <w:rsid w:val="007648F1"/>
    <w:rsid w:val="007649C8"/>
    <w:rsid w:val="00764A7D"/>
    <w:rsid w:val="00764BD2"/>
    <w:rsid w:val="00764BEA"/>
    <w:rsid w:val="00764D5D"/>
    <w:rsid w:val="00764D75"/>
    <w:rsid w:val="00765230"/>
    <w:rsid w:val="007652EA"/>
    <w:rsid w:val="00765510"/>
    <w:rsid w:val="0076558C"/>
    <w:rsid w:val="007662F4"/>
    <w:rsid w:val="007662FB"/>
    <w:rsid w:val="00766409"/>
    <w:rsid w:val="00766461"/>
    <w:rsid w:val="007666B2"/>
    <w:rsid w:val="0076678C"/>
    <w:rsid w:val="00766945"/>
    <w:rsid w:val="00766A23"/>
    <w:rsid w:val="00766C43"/>
    <w:rsid w:val="00766E49"/>
    <w:rsid w:val="00766F21"/>
    <w:rsid w:val="00767710"/>
    <w:rsid w:val="00767FB8"/>
    <w:rsid w:val="0077000F"/>
    <w:rsid w:val="007700AA"/>
    <w:rsid w:val="0077080E"/>
    <w:rsid w:val="00770BB1"/>
    <w:rsid w:val="00770C70"/>
    <w:rsid w:val="00771055"/>
    <w:rsid w:val="0077106F"/>
    <w:rsid w:val="00771250"/>
    <w:rsid w:val="007719C6"/>
    <w:rsid w:val="00771BF9"/>
    <w:rsid w:val="00771CD5"/>
    <w:rsid w:val="00771F0D"/>
    <w:rsid w:val="00771F15"/>
    <w:rsid w:val="00771F94"/>
    <w:rsid w:val="00772107"/>
    <w:rsid w:val="0077224D"/>
    <w:rsid w:val="007722F5"/>
    <w:rsid w:val="00772681"/>
    <w:rsid w:val="007727B3"/>
    <w:rsid w:val="0077280B"/>
    <w:rsid w:val="00772AF1"/>
    <w:rsid w:val="00772D86"/>
    <w:rsid w:val="00772D90"/>
    <w:rsid w:val="00772F2F"/>
    <w:rsid w:val="00773053"/>
    <w:rsid w:val="007732DB"/>
    <w:rsid w:val="007732E5"/>
    <w:rsid w:val="007733B8"/>
    <w:rsid w:val="00773494"/>
    <w:rsid w:val="00773564"/>
    <w:rsid w:val="00773669"/>
    <w:rsid w:val="00773C69"/>
    <w:rsid w:val="00773C8D"/>
    <w:rsid w:val="00773CAD"/>
    <w:rsid w:val="00773D07"/>
    <w:rsid w:val="00773E8B"/>
    <w:rsid w:val="00773F79"/>
    <w:rsid w:val="007746EF"/>
    <w:rsid w:val="007747AA"/>
    <w:rsid w:val="00774B62"/>
    <w:rsid w:val="00774E7D"/>
    <w:rsid w:val="00774E8B"/>
    <w:rsid w:val="00774F39"/>
    <w:rsid w:val="00775110"/>
    <w:rsid w:val="0077532F"/>
    <w:rsid w:val="00775352"/>
    <w:rsid w:val="007755E3"/>
    <w:rsid w:val="007758AB"/>
    <w:rsid w:val="007759E2"/>
    <w:rsid w:val="00775ADB"/>
    <w:rsid w:val="00775CBC"/>
    <w:rsid w:val="00775D09"/>
    <w:rsid w:val="00775D6D"/>
    <w:rsid w:val="0077600F"/>
    <w:rsid w:val="0077620E"/>
    <w:rsid w:val="007762F8"/>
    <w:rsid w:val="007766F0"/>
    <w:rsid w:val="007768B7"/>
    <w:rsid w:val="00776A5B"/>
    <w:rsid w:val="00776CA1"/>
    <w:rsid w:val="00776D1B"/>
    <w:rsid w:val="00776D89"/>
    <w:rsid w:val="0077793F"/>
    <w:rsid w:val="00780089"/>
    <w:rsid w:val="007805A6"/>
    <w:rsid w:val="00780624"/>
    <w:rsid w:val="007806C2"/>
    <w:rsid w:val="0078085A"/>
    <w:rsid w:val="00780889"/>
    <w:rsid w:val="00780A2F"/>
    <w:rsid w:val="00780CEF"/>
    <w:rsid w:val="00780DD3"/>
    <w:rsid w:val="00780EB0"/>
    <w:rsid w:val="0078104E"/>
    <w:rsid w:val="00781058"/>
    <w:rsid w:val="0078129E"/>
    <w:rsid w:val="00781536"/>
    <w:rsid w:val="00781946"/>
    <w:rsid w:val="00781A03"/>
    <w:rsid w:val="00781B13"/>
    <w:rsid w:val="00781D20"/>
    <w:rsid w:val="00781EA8"/>
    <w:rsid w:val="00781FFE"/>
    <w:rsid w:val="007821A8"/>
    <w:rsid w:val="00782E4F"/>
    <w:rsid w:val="00782F75"/>
    <w:rsid w:val="007830E8"/>
    <w:rsid w:val="0078315C"/>
    <w:rsid w:val="00783818"/>
    <w:rsid w:val="007839B0"/>
    <w:rsid w:val="007839BB"/>
    <w:rsid w:val="00783CE0"/>
    <w:rsid w:val="00783EA6"/>
    <w:rsid w:val="007840CD"/>
    <w:rsid w:val="0078424C"/>
    <w:rsid w:val="00784312"/>
    <w:rsid w:val="0078433D"/>
    <w:rsid w:val="007844EC"/>
    <w:rsid w:val="0078471E"/>
    <w:rsid w:val="00784E52"/>
    <w:rsid w:val="007852A6"/>
    <w:rsid w:val="007853C0"/>
    <w:rsid w:val="00785576"/>
    <w:rsid w:val="00785C7D"/>
    <w:rsid w:val="00785DC8"/>
    <w:rsid w:val="00785ECD"/>
    <w:rsid w:val="00785F85"/>
    <w:rsid w:val="007860E8"/>
    <w:rsid w:val="007862C6"/>
    <w:rsid w:val="00786539"/>
    <w:rsid w:val="00786826"/>
    <w:rsid w:val="00786925"/>
    <w:rsid w:val="00786989"/>
    <w:rsid w:val="00786FB7"/>
    <w:rsid w:val="00787033"/>
    <w:rsid w:val="007872CB"/>
    <w:rsid w:val="0078734E"/>
    <w:rsid w:val="007873B2"/>
    <w:rsid w:val="007879CF"/>
    <w:rsid w:val="00787ACA"/>
    <w:rsid w:val="00787B65"/>
    <w:rsid w:val="00787BE1"/>
    <w:rsid w:val="00787E2E"/>
    <w:rsid w:val="00787E6D"/>
    <w:rsid w:val="007902E6"/>
    <w:rsid w:val="0079045A"/>
    <w:rsid w:val="00790FD1"/>
    <w:rsid w:val="00791222"/>
    <w:rsid w:val="00791B07"/>
    <w:rsid w:val="00791D18"/>
    <w:rsid w:val="00791FD1"/>
    <w:rsid w:val="00792087"/>
    <w:rsid w:val="007920E0"/>
    <w:rsid w:val="007921AF"/>
    <w:rsid w:val="007921FB"/>
    <w:rsid w:val="00792537"/>
    <w:rsid w:val="0079258F"/>
    <w:rsid w:val="0079268C"/>
    <w:rsid w:val="00792BB5"/>
    <w:rsid w:val="00793436"/>
    <w:rsid w:val="0079343D"/>
    <w:rsid w:val="007939BD"/>
    <w:rsid w:val="00793AEB"/>
    <w:rsid w:val="00793CD2"/>
    <w:rsid w:val="00793FB2"/>
    <w:rsid w:val="0079408C"/>
    <w:rsid w:val="0079430D"/>
    <w:rsid w:val="0079450A"/>
    <w:rsid w:val="0079489E"/>
    <w:rsid w:val="0079543C"/>
    <w:rsid w:val="00795443"/>
    <w:rsid w:val="00795864"/>
    <w:rsid w:val="00795962"/>
    <w:rsid w:val="00795CCF"/>
    <w:rsid w:val="00795DE6"/>
    <w:rsid w:val="00795E3F"/>
    <w:rsid w:val="00796031"/>
    <w:rsid w:val="00796275"/>
    <w:rsid w:val="007963FC"/>
    <w:rsid w:val="00796769"/>
    <w:rsid w:val="00796BE8"/>
    <w:rsid w:val="00796EF2"/>
    <w:rsid w:val="00796EF9"/>
    <w:rsid w:val="00796F6E"/>
    <w:rsid w:val="0079718C"/>
    <w:rsid w:val="007972DB"/>
    <w:rsid w:val="0079774F"/>
    <w:rsid w:val="007979A5"/>
    <w:rsid w:val="00797A1B"/>
    <w:rsid w:val="00797B9E"/>
    <w:rsid w:val="00797EEF"/>
    <w:rsid w:val="007A014D"/>
    <w:rsid w:val="007A0685"/>
    <w:rsid w:val="007A07DF"/>
    <w:rsid w:val="007A0A0A"/>
    <w:rsid w:val="007A0C51"/>
    <w:rsid w:val="007A0FCC"/>
    <w:rsid w:val="007A105B"/>
    <w:rsid w:val="007A1076"/>
    <w:rsid w:val="007A11D8"/>
    <w:rsid w:val="007A125F"/>
    <w:rsid w:val="007A157B"/>
    <w:rsid w:val="007A1932"/>
    <w:rsid w:val="007A1D9B"/>
    <w:rsid w:val="007A2117"/>
    <w:rsid w:val="007A2212"/>
    <w:rsid w:val="007A225E"/>
    <w:rsid w:val="007A229A"/>
    <w:rsid w:val="007A2B16"/>
    <w:rsid w:val="007A2D07"/>
    <w:rsid w:val="007A2E49"/>
    <w:rsid w:val="007A2F18"/>
    <w:rsid w:val="007A332E"/>
    <w:rsid w:val="007A350F"/>
    <w:rsid w:val="007A3636"/>
    <w:rsid w:val="007A3744"/>
    <w:rsid w:val="007A3758"/>
    <w:rsid w:val="007A3804"/>
    <w:rsid w:val="007A3838"/>
    <w:rsid w:val="007A38D4"/>
    <w:rsid w:val="007A3979"/>
    <w:rsid w:val="007A3A70"/>
    <w:rsid w:val="007A3DBF"/>
    <w:rsid w:val="007A4557"/>
    <w:rsid w:val="007A4583"/>
    <w:rsid w:val="007A46F4"/>
    <w:rsid w:val="007A4D9C"/>
    <w:rsid w:val="007A4E45"/>
    <w:rsid w:val="007A4F70"/>
    <w:rsid w:val="007A5018"/>
    <w:rsid w:val="007A5178"/>
    <w:rsid w:val="007A519C"/>
    <w:rsid w:val="007A51CA"/>
    <w:rsid w:val="007A539F"/>
    <w:rsid w:val="007A58B4"/>
    <w:rsid w:val="007A593E"/>
    <w:rsid w:val="007A5982"/>
    <w:rsid w:val="007A5B91"/>
    <w:rsid w:val="007A5C5E"/>
    <w:rsid w:val="007A5CD0"/>
    <w:rsid w:val="007A5EAB"/>
    <w:rsid w:val="007A607A"/>
    <w:rsid w:val="007A63B8"/>
    <w:rsid w:val="007A65F6"/>
    <w:rsid w:val="007A6765"/>
    <w:rsid w:val="007A685A"/>
    <w:rsid w:val="007A69F4"/>
    <w:rsid w:val="007A6A8A"/>
    <w:rsid w:val="007A6CC6"/>
    <w:rsid w:val="007A6E87"/>
    <w:rsid w:val="007A6F67"/>
    <w:rsid w:val="007A709A"/>
    <w:rsid w:val="007A70E0"/>
    <w:rsid w:val="007A72A0"/>
    <w:rsid w:val="007A7446"/>
    <w:rsid w:val="007A7D62"/>
    <w:rsid w:val="007B001E"/>
    <w:rsid w:val="007B0999"/>
    <w:rsid w:val="007B0AF4"/>
    <w:rsid w:val="007B0B9E"/>
    <w:rsid w:val="007B1169"/>
    <w:rsid w:val="007B1D2E"/>
    <w:rsid w:val="007B1E5A"/>
    <w:rsid w:val="007B25CF"/>
    <w:rsid w:val="007B2813"/>
    <w:rsid w:val="007B295A"/>
    <w:rsid w:val="007B2DD0"/>
    <w:rsid w:val="007B2F70"/>
    <w:rsid w:val="007B374C"/>
    <w:rsid w:val="007B3816"/>
    <w:rsid w:val="007B3899"/>
    <w:rsid w:val="007B3A4E"/>
    <w:rsid w:val="007B4053"/>
    <w:rsid w:val="007B43DE"/>
    <w:rsid w:val="007B43EA"/>
    <w:rsid w:val="007B448E"/>
    <w:rsid w:val="007B4565"/>
    <w:rsid w:val="007B48A7"/>
    <w:rsid w:val="007B4C2E"/>
    <w:rsid w:val="007B4D0C"/>
    <w:rsid w:val="007B5215"/>
    <w:rsid w:val="007B5959"/>
    <w:rsid w:val="007B5B5A"/>
    <w:rsid w:val="007B5B95"/>
    <w:rsid w:val="007B6410"/>
    <w:rsid w:val="007B6471"/>
    <w:rsid w:val="007B6566"/>
    <w:rsid w:val="007B7076"/>
    <w:rsid w:val="007B79B3"/>
    <w:rsid w:val="007B7EB3"/>
    <w:rsid w:val="007B7F6D"/>
    <w:rsid w:val="007C0084"/>
    <w:rsid w:val="007C00F4"/>
    <w:rsid w:val="007C02CB"/>
    <w:rsid w:val="007C02DE"/>
    <w:rsid w:val="007C02E8"/>
    <w:rsid w:val="007C0732"/>
    <w:rsid w:val="007C093A"/>
    <w:rsid w:val="007C0FF0"/>
    <w:rsid w:val="007C16A8"/>
    <w:rsid w:val="007C1C1E"/>
    <w:rsid w:val="007C1E27"/>
    <w:rsid w:val="007C2387"/>
    <w:rsid w:val="007C2478"/>
    <w:rsid w:val="007C25E9"/>
    <w:rsid w:val="007C26FE"/>
    <w:rsid w:val="007C2D71"/>
    <w:rsid w:val="007C3060"/>
    <w:rsid w:val="007C319C"/>
    <w:rsid w:val="007C34C7"/>
    <w:rsid w:val="007C3514"/>
    <w:rsid w:val="007C355A"/>
    <w:rsid w:val="007C369E"/>
    <w:rsid w:val="007C3C25"/>
    <w:rsid w:val="007C3CCB"/>
    <w:rsid w:val="007C3D0E"/>
    <w:rsid w:val="007C402A"/>
    <w:rsid w:val="007C408E"/>
    <w:rsid w:val="007C42A2"/>
    <w:rsid w:val="007C4313"/>
    <w:rsid w:val="007C4504"/>
    <w:rsid w:val="007C4624"/>
    <w:rsid w:val="007C47BE"/>
    <w:rsid w:val="007C488A"/>
    <w:rsid w:val="007C49C7"/>
    <w:rsid w:val="007C49E1"/>
    <w:rsid w:val="007C4B9E"/>
    <w:rsid w:val="007C4BA7"/>
    <w:rsid w:val="007C4C86"/>
    <w:rsid w:val="007C4D6E"/>
    <w:rsid w:val="007C4EF0"/>
    <w:rsid w:val="007C4F02"/>
    <w:rsid w:val="007C5014"/>
    <w:rsid w:val="007C5591"/>
    <w:rsid w:val="007C5ACD"/>
    <w:rsid w:val="007C5EF6"/>
    <w:rsid w:val="007C5F91"/>
    <w:rsid w:val="007C608F"/>
    <w:rsid w:val="007C6146"/>
    <w:rsid w:val="007C6450"/>
    <w:rsid w:val="007C6590"/>
    <w:rsid w:val="007C6A43"/>
    <w:rsid w:val="007C6D04"/>
    <w:rsid w:val="007C6E83"/>
    <w:rsid w:val="007C6F8F"/>
    <w:rsid w:val="007C7034"/>
    <w:rsid w:val="007C736D"/>
    <w:rsid w:val="007C7493"/>
    <w:rsid w:val="007C7633"/>
    <w:rsid w:val="007C76AC"/>
    <w:rsid w:val="007C7738"/>
    <w:rsid w:val="007C791D"/>
    <w:rsid w:val="007C7B6F"/>
    <w:rsid w:val="007C7CD1"/>
    <w:rsid w:val="007C7D12"/>
    <w:rsid w:val="007C7D2F"/>
    <w:rsid w:val="007C7E18"/>
    <w:rsid w:val="007D0519"/>
    <w:rsid w:val="007D0578"/>
    <w:rsid w:val="007D0657"/>
    <w:rsid w:val="007D0D86"/>
    <w:rsid w:val="007D2652"/>
    <w:rsid w:val="007D26FB"/>
    <w:rsid w:val="007D2C39"/>
    <w:rsid w:val="007D2D67"/>
    <w:rsid w:val="007D2F94"/>
    <w:rsid w:val="007D3076"/>
    <w:rsid w:val="007D332B"/>
    <w:rsid w:val="007D3439"/>
    <w:rsid w:val="007D34BB"/>
    <w:rsid w:val="007D38C8"/>
    <w:rsid w:val="007D399E"/>
    <w:rsid w:val="007D3FA6"/>
    <w:rsid w:val="007D3FC4"/>
    <w:rsid w:val="007D3FDB"/>
    <w:rsid w:val="007D434E"/>
    <w:rsid w:val="007D46E2"/>
    <w:rsid w:val="007D4AF4"/>
    <w:rsid w:val="007D5017"/>
    <w:rsid w:val="007D53FA"/>
    <w:rsid w:val="007D5438"/>
    <w:rsid w:val="007D583A"/>
    <w:rsid w:val="007D5BBE"/>
    <w:rsid w:val="007D60FD"/>
    <w:rsid w:val="007D61DF"/>
    <w:rsid w:val="007D6435"/>
    <w:rsid w:val="007D64C8"/>
    <w:rsid w:val="007D68C7"/>
    <w:rsid w:val="007D6E07"/>
    <w:rsid w:val="007D6F20"/>
    <w:rsid w:val="007D6FAB"/>
    <w:rsid w:val="007D6FB8"/>
    <w:rsid w:val="007D7009"/>
    <w:rsid w:val="007D7017"/>
    <w:rsid w:val="007D7544"/>
    <w:rsid w:val="007D7B9C"/>
    <w:rsid w:val="007D7BF4"/>
    <w:rsid w:val="007D7D5F"/>
    <w:rsid w:val="007D7EA3"/>
    <w:rsid w:val="007D7F10"/>
    <w:rsid w:val="007D7F19"/>
    <w:rsid w:val="007D7FA9"/>
    <w:rsid w:val="007E024A"/>
    <w:rsid w:val="007E07A6"/>
    <w:rsid w:val="007E084D"/>
    <w:rsid w:val="007E0863"/>
    <w:rsid w:val="007E0980"/>
    <w:rsid w:val="007E09E0"/>
    <w:rsid w:val="007E10B3"/>
    <w:rsid w:val="007E11C3"/>
    <w:rsid w:val="007E1206"/>
    <w:rsid w:val="007E121A"/>
    <w:rsid w:val="007E12D3"/>
    <w:rsid w:val="007E1EB4"/>
    <w:rsid w:val="007E1F12"/>
    <w:rsid w:val="007E2041"/>
    <w:rsid w:val="007E20D0"/>
    <w:rsid w:val="007E2723"/>
    <w:rsid w:val="007E2AC0"/>
    <w:rsid w:val="007E2AF4"/>
    <w:rsid w:val="007E2BA7"/>
    <w:rsid w:val="007E2CBD"/>
    <w:rsid w:val="007E2D16"/>
    <w:rsid w:val="007E2DA1"/>
    <w:rsid w:val="007E2E9E"/>
    <w:rsid w:val="007E2EED"/>
    <w:rsid w:val="007E2F2E"/>
    <w:rsid w:val="007E30FA"/>
    <w:rsid w:val="007E31F6"/>
    <w:rsid w:val="007E33CD"/>
    <w:rsid w:val="007E368B"/>
    <w:rsid w:val="007E36C3"/>
    <w:rsid w:val="007E373F"/>
    <w:rsid w:val="007E3926"/>
    <w:rsid w:val="007E3AE6"/>
    <w:rsid w:val="007E3B5D"/>
    <w:rsid w:val="007E3DCA"/>
    <w:rsid w:val="007E3E23"/>
    <w:rsid w:val="007E42D0"/>
    <w:rsid w:val="007E4495"/>
    <w:rsid w:val="007E45E1"/>
    <w:rsid w:val="007E497A"/>
    <w:rsid w:val="007E4DD2"/>
    <w:rsid w:val="007E5160"/>
    <w:rsid w:val="007E550E"/>
    <w:rsid w:val="007E5629"/>
    <w:rsid w:val="007E5BE8"/>
    <w:rsid w:val="007E5F69"/>
    <w:rsid w:val="007E5F6E"/>
    <w:rsid w:val="007E6126"/>
    <w:rsid w:val="007E63F4"/>
    <w:rsid w:val="007E6955"/>
    <w:rsid w:val="007E6D60"/>
    <w:rsid w:val="007E6F5C"/>
    <w:rsid w:val="007E73BF"/>
    <w:rsid w:val="007E73D5"/>
    <w:rsid w:val="007E73DD"/>
    <w:rsid w:val="007E7435"/>
    <w:rsid w:val="007E786A"/>
    <w:rsid w:val="007E7A0B"/>
    <w:rsid w:val="007E7DC7"/>
    <w:rsid w:val="007E7E39"/>
    <w:rsid w:val="007F05B0"/>
    <w:rsid w:val="007F0998"/>
    <w:rsid w:val="007F0F92"/>
    <w:rsid w:val="007F0FDC"/>
    <w:rsid w:val="007F10C5"/>
    <w:rsid w:val="007F10D2"/>
    <w:rsid w:val="007F115F"/>
    <w:rsid w:val="007F119B"/>
    <w:rsid w:val="007F175A"/>
    <w:rsid w:val="007F17EB"/>
    <w:rsid w:val="007F18B2"/>
    <w:rsid w:val="007F19D8"/>
    <w:rsid w:val="007F1E65"/>
    <w:rsid w:val="007F1E79"/>
    <w:rsid w:val="007F202F"/>
    <w:rsid w:val="007F21B3"/>
    <w:rsid w:val="007F2239"/>
    <w:rsid w:val="007F237E"/>
    <w:rsid w:val="007F2A2D"/>
    <w:rsid w:val="007F2BEC"/>
    <w:rsid w:val="007F2F38"/>
    <w:rsid w:val="007F3126"/>
    <w:rsid w:val="007F35B1"/>
    <w:rsid w:val="007F3979"/>
    <w:rsid w:val="007F3B58"/>
    <w:rsid w:val="007F3B84"/>
    <w:rsid w:val="007F3CC1"/>
    <w:rsid w:val="007F3DDB"/>
    <w:rsid w:val="007F46CE"/>
    <w:rsid w:val="007F478B"/>
    <w:rsid w:val="007F48F3"/>
    <w:rsid w:val="007F4AFB"/>
    <w:rsid w:val="007F4C56"/>
    <w:rsid w:val="007F52E0"/>
    <w:rsid w:val="007F5797"/>
    <w:rsid w:val="007F584F"/>
    <w:rsid w:val="007F5A38"/>
    <w:rsid w:val="007F5CD5"/>
    <w:rsid w:val="007F6296"/>
    <w:rsid w:val="007F63D7"/>
    <w:rsid w:val="007F676C"/>
    <w:rsid w:val="007F68B9"/>
    <w:rsid w:val="007F68D8"/>
    <w:rsid w:val="007F69AF"/>
    <w:rsid w:val="007F6A5E"/>
    <w:rsid w:val="007F6E8A"/>
    <w:rsid w:val="007F6F96"/>
    <w:rsid w:val="007F71EF"/>
    <w:rsid w:val="007F76B8"/>
    <w:rsid w:val="007F788C"/>
    <w:rsid w:val="007F78FE"/>
    <w:rsid w:val="007F7C7A"/>
    <w:rsid w:val="007F7C88"/>
    <w:rsid w:val="0080002C"/>
    <w:rsid w:val="008000B4"/>
    <w:rsid w:val="008004D5"/>
    <w:rsid w:val="008006B2"/>
    <w:rsid w:val="00800B6E"/>
    <w:rsid w:val="00801123"/>
    <w:rsid w:val="008011D9"/>
    <w:rsid w:val="008016CB"/>
    <w:rsid w:val="00801846"/>
    <w:rsid w:val="00801A02"/>
    <w:rsid w:val="00801B96"/>
    <w:rsid w:val="00801F6A"/>
    <w:rsid w:val="0080217F"/>
    <w:rsid w:val="008026D1"/>
    <w:rsid w:val="008028CA"/>
    <w:rsid w:val="00802F2B"/>
    <w:rsid w:val="00803392"/>
    <w:rsid w:val="008033CE"/>
    <w:rsid w:val="00803773"/>
    <w:rsid w:val="0080395A"/>
    <w:rsid w:val="00803C66"/>
    <w:rsid w:val="008042D4"/>
    <w:rsid w:val="008045F4"/>
    <w:rsid w:val="00804A59"/>
    <w:rsid w:val="00804ABD"/>
    <w:rsid w:val="00804B29"/>
    <w:rsid w:val="00804F15"/>
    <w:rsid w:val="00805B0C"/>
    <w:rsid w:val="00805C6E"/>
    <w:rsid w:val="00805D95"/>
    <w:rsid w:val="00805E53"/>
    <w:rsid w:val="00805F08"/>
    <w:rsid w:val="0080638F"/>
    <w:rsid w:val="0080692F"/>
    <w:rsid w:val="00806F93"/>
    <w:rsid w:val="008072A3"/>
    <w:rsid w:val="008073AF"/>
    <w:rsid w:val="008073E2"/>
    <w:rsid w:val="00807422"/>
    <w:rsid w:val="00807B75"/>
    <w:rsid w:val="00807E5B"/>
    <w:rsid w:val="0081053C"/>
    <w:rsid w:val="00810887"/>
    <w:rsid w:val="0081091E"/>
    <w:rsid w:val="0081096A"/>
    <w:rsid w:val="00810BD7"/>
    <w:rsid w:val="00810EF6"/>
    <w:rsid w:val="00810F92"/>
    <w:rsid w:val="008116B4"/>
    <w:rsid w:val="0081171E"/>
    <w:rsid w:val="00811D92"/>
    <w:rsid w:val="00811EF8"/>
    <w:rsid w:val="00811F66"/>
    <w:rsid w:val="00812408"/>
    <w:rsid w:val="0081261C"/>
    <w:rsid w:val="008126CC"/>
    <w:rsid w:val="00812B11"/>
    <w:rsid w:val="00812DED"/>
    <w:rsid w:val="00812E45"/>
    <w:rsid w:val="0081303E"/>
    <w:rsid w:val="008131A5"/>
    <w:rsid w:val="008131BC"/>
    <w:rsid w:val="008131E4"/>
    <w:rsid w:val="0081329A"/>
    <w:rsid w:val="00813687"/>
    <w:rsid w:val="00813737"/>
    <w:rsid w:val="0081448E"/>
    <w:rsid w:val="00814769"/>
    <w:rsid w:val="00814D4D"/>
    <w:rsid w:val="00814EAD"/>
    <w:rsid w:val="00814F35"/>
    <w:rsid w:val="00815085"/>
    <w:rsid w:val="0081509E"/>
    <w:rsid w:val="008152C3"/>
    <w:rsid w:val="0081555E"/>
    <w:rsid w:val="00815776"/>
    <w:rsid w:val="00815A74"/>
    <w:rsid w:val="008161AE"/>
    <w:rsid w:val="0081647D"/>
    <w:rsid w:val="008165F8"/>
    <w:rsid w:val="008169EE"/>
    <w:rsid w:val="00816AB5"/>
    <w:rsid w:val="00816B9E"/>
    <w:rsid w:val="00816C37"/>
    <w:rsid w:val="00817185"/>
    <w:rsid w:val="008174A1"/>
    <w:rsid w:val="008174D2"/>
    <w:rsid w:val="00817534"/>
    <w:rsid w:val="00817716"/>
    <w:rsid w:val="00817814"/>
    <w:rsid w:val="00817903"/>
    <w:rsid w:val="00817E3F"/>
    <w:rsid w:val="008200C0"/>
    <w:rsid w:val="00820270"/>
    <w:rsid w:val="008206F8"/>
    <w:rsid w:val="00820814"/>
    <w:rsid w:val="00820A20"/>
    <w:rsid w:val="00820D70"/>
    <w:rsid w:val="00820E79"/>
    <w:rsid w:val="00820FC4"/>
    <w:rsid w:val="008210CE"/>
    <w:rsid w:val="00821198"/>
    <w:rsid w:val="008213D5"/>
    <w:rsid w:val="00821578"/>
    <w:rsid w:val="008215C5"/>
    <w:rsid w:val="00821639"/>
    <w:rsid w:val="00821735"/>
    <w:rsid w:val="008217AE"/>
    <w:rsid w:val="00821815"/>
    <w:rsid w:val="0082183A"/>
    <w:rsid w:val="008223C2"/>
    <w:rsid w:val="00822448"/>
    <w:rsid w:val="008224E6"/>
    <w:rsid w:val="008225F0"/>
    <w:rsid w:val="00822B64"/>
    <w:rsid w:val="00822C4B"/>
    <w:rsid w:val="0082305E"/>
    <w:rsid w:val="008230BE"/>
    <w:rsid w:val="00823452"/>
    <w:rsid w:val="00823469"/>
    <w:rsid w:val="00823658"/>
    <w:rsid w:val="00823792"/>
    <w:rsid w:val="008237CA"/>
    <w:rsid w:val="00823904"/>
    <w:rsid w:val="00823964"/>
    <w:rsid w:val="00823D06"/>
    <w:rsid w:val="00823D1C"/>
    <w:rsid w:val="0082411D"/>
    <w:rsid w:val="008249E8"/>
    <w:rsid w:val="008253CB"/>
    <w:rsid w:val="0082543C"/>
    <w:rsid w:val="00825446"/>
    <w:rsid w:val="00825482"/>
    <w:rsid w:val="00825A87"/>
    <w:rsid w:val="00825A93"/>
    <w:rsid w:val="00825B40"/>
    <w:rsid w:val="00826B48"/>
    <w:rsid w:val="00826D1E"/>
    <w:rsid w:val="00826FB8"/>
    <w:rsid w:val="0082718D"/>
    <w:rsid w:val="00827B62"/>
    <w:rsid w:val="00827DAB"/>
    <w:rsid w:val="00827FDB"/>
    <w:rsid w:val="00830235"/>
    <w:rsid w:val="008304FA"/>
    <w:rsid w:val="0083059E"/>
    <w:rsid w:val="00830E71"/>
    <w:rsid w:val="00830EB1"/>
    <w:rsid w:val="0083128A"/>
    <w:rsid w:val="00831307"/>
    <w:rsid w:val="00831452"/>
    <w:rsid w:val="00831CD1"/>
    <w:rsid w:val="00831E36"/>
    <w:rsid w:val="00832173"/>
    <w:rsid w:val="008324FA"/>
    <w:rsid w:val="00832533"/>
    <w:rsid w:val="0083265A"/>
    <w:rsid w:val="008326CF"/>
    <w:rsid w:val="0083275C"/>
    <w:rsid w:val="0083280A"/>
    <w:rsid w:val="00832C77"/>
    <w:rsid w:val="00832CB9"/>
    <w:rsid w:val="0083351A"/>
    <w:rsid w:val="0083364D"/>
    <w:rsid w:val="00833C99"/>
    <w:rsid w:val="00834453"/>
    <w:rsid w:val="008345A5"/>
    <w:rsid w:val="008345D1"/>
    <w:rsid w:val="00834781"/>
    <w:rsid w:val="008347F8"/>
    <w:rsid w:val="00834A44"/>
    <w:rsid w:val="00834D37"/>
    <w:rsid w:val="00834F26"/>
    <w:rsid w:val="0083519D"/>
    <w:rsid w:val="008351B8"/>
    <w:rsid w:val="008354A9"/>
    <w:rsid w:val="008354FC"/>
    <w:rsid w:val="008355A4"/>
    <w:rsid w:val="0083580F"/>
    <w:rsid w:val="0083593C"/>
    <w:rsid w:val="00835BCB"/>
    <w:rsid w:val="00835EBE"/>
    <w:rsid w:val="00836284"/>
    <w:rsid w:val="00836365"/>
    <w:rsid w:val="00836576"/>
    <w:rsid w:val="00836B32"/>
    <w:rsid w:val="00836C0D"/>
    <w:rsid w:val="00836F11"/>
    <w:rsid w:val="00836F1E"/>
    <w:rsid w:val="00836F8C"/>
    <w:rsid w:val="00836F9D"/>
    <w:rsid w:val="008374DA"/>
    <w:rsid w:val="0083756B"/>
    <w:rsid w:val="008375BD"/>
    <w:rsid w:val="008376C3"/>
    <w:rsid w:val="00837855"/>
    <w:rsid w:val="008378B2"/>
    <w:rsid w:val="008378BF"/>
    <w:rsid w:val="008378C7"/>
    <w:rsid w:val="00837907"/>
    <w:rsid w:val="00837B57"/>
    <w:rsid w:val="00837E78"/>
    <w:rsid w:val="00840097"/>
    <w:rsid w:val="0084045D"/>
    <w:rsid w:val="00840489"/>
    <w:rsid w:val="00840813"/>
    <w:rsid w:val="008408FC"/>
    <w:rsid w:val="00840A3A"/>
    <w:rsid w:val="00840B46"/>
    <w:rsid w:val="0084181B"/>
    <w:rsid w:val="00841A84"/>
    <w:rsid w:val="00841B57"/>
    <w:rsid w:val="00841FA3"/>
    <w:rsid w:val="00841FC7"/>
    <w:rsid w:val="008424C0"/>
    <w:rsid w:val="00842720"/>
    <w:rsid w:val="00842865"/>
    <w:rsid w:val="00842A9B"/>
    <w:rsid w:val="00842EC6"/>
    <w:rsid w:val="00842EE2"/>
    <w:rsid w:val="0084370C"/>
    <w:rsid w:val="00843AA0"/>
    <w:rsid w:val="00843F28"/>
    <w:rsid w:val="00843F4B"/>
    <w:rsid w:val="00843F8C"/>
    <w:rsid w:val="0084421F"/>
    <w:rsid w:val="008442BC"/>
    <w:rsid w:val="008442E3"/>
    <w:rsid w:val="00844600"/>
    <w:rsid w:val="0084482E"/>
    <w:rsid w:val="008448BE"/>
    <w:rsid w:val="00844C2B"/>
    <w:rsid w:val="00844E62"/>
    <w:rsid w:val="00844F37"/>
    <w:rsid w:val="0084507F"/>
    <w:rsid w:val="00845167"/>
    <w:rsid w:val="00845346"/>
    <w:rsid w:val="0084537F"/>
    <w:rsid w:val="008454A7"/>
    <w:rsid w:val="0084556F"/>
    <w:rsid w:val="008456EA"/>
    <w:rsid w:val="00845754"/>
    <w:rsid w:val="00845E9C"/>
    <w:rsid w:val="0084612B"/>
    <w:rsid w:val="008464FB"/>
    <w:rsid w:val="008468D6"/>
    <w:rsid w:val="00846BF7"/>
    <w:rsid w:val="00846C57"/>
    <w:rsid w:val="00846CC0"/>
    <w:rsid w:val="00846D98"/>
    <w:rsid w:val="008471B0"/>
    <w:rsid w:val="008473EB"/>
    <w:rsid w:val="0084746D"/>
    <w:rsid w:val="00847531"/>
    <w:rsid w:val="00847621"/>
    <w:rsid w:val="008478D6"/>
    <w:rsid w:val="00847B61"/>
    <w:rsid w:val="00847EE1"/>
    <w:rsid w:val="008504C4"/>
    <w:rsid w:val="00850B7A"/>
    <w:rsid w:val="00850C01"/>
    <w:rsid w:val="00850CB2"/>
    <w:rsid w:val="00850F36"/>
    <w:rsid w:val="00850F3E"/>
    <w:rsid w:val="00851347"/>
    <w:rsid w:val="008514CC"/>
    <w:rsid w:val="0085162E"/>
    <w:rsid w:val="008516D4"/>
    <w:rsid w:val="0085170E"/>
    <w:rsid w:val="008517D1"/>
    <w:rsid w:val="00851863"/>
    <w:rsid w:val="0085196E"/>
    <w:rsid w:val="00851DEE"/>
    <w:rsid w:val="00851E12"/>
    <w:rsid w:val="00852267"/>
    <w:rsid w:val="00852285"/>
    <w:rsid w:val="008522FC"/>
    <w:rsid w:val="008524BE"/>
    <w:rsid w:val="008525BD"/>
    <w:rsid w:val="008526A4"/>
    <w:rsid w:val="00852AE7"/>
    <w:rsid w:val="00853246"/>
    <w:rsid w:val="00853349"/>
    <w:rsid w:val="00853643"/>
    <w:rsid w:val="00853A01"/>
    <w:rsid w:val="008543E6"/>
    <w:rsid w:val="0085445A"/>
    <w:rsid w:val="0085448F"/>
    <w:rsid w:val="0085470E"/>
    <w:rsid w:val="00854C6C"/>
    <w:rsid w:val="00854D06"/>
    <w:rsid w:val="00854D3E"/>
    <w:rsid w:val="00854F19"/>
    <w:rsid w:val="00854F7F"/>
    <w:rsid w:val="0085503A"/>
    <w:rsid w:val="0085547A"/>
    <w:rsid w:val="0085566A"/>
    <w:rsid w:val="00855914"/>
    <w:rsid w:val="00855A67"/>
    <w:rsid w:val="00855C20"/>
    <w:rsid w:val="0085601D"/>
    <w:rsid w:val="008560C6"/>
    <w:rsid w:val="00856194"/>
    <w:rsid w:val="0085659A"/>
    <w:rsid w:val="008566E4"/>
    <w:rsid w:val="00856C10"/>
    <w:rsid w:val="00856C6C"/>
    <w:rsid w:val="00856F14"/>
    <w:rsid w:val="00857040"/>
    <w:rsid w:val="0085712A"/>
    <w:rsid w:val="00857397"/>
    <w:rsid w:val="0085763A"/>
    <w:rsid w:val="0085784F"/>
    <w:rsid w:val="008578C1"/>
    <w:rsid w:val="00860168"/>
    <w:rsid w:val="008605E2"/>
    <w:rsid w:val="00860733"/>
    <w:rsid w:val="0086080A"/>
    <w:rsid w:val="0086096F"/>
    <w:rsid w:val="00860B62"/>
    <w:rsid w:val="00860D37"/>
    <w:rsid w:val="00860E69"/>
    <w:rsid w:val="00861089"/>
    <w:rsid w:val="00861152"/>
    <w:rsid w:val="008611FF"/>
    <w:rsid w:val="008612D0"/>
    <w:rsid w:val="008613C4"/>
    <w:rsid w:val="008613F4"/>
    <w:rsid w:val="0086141D"/>
    <w:rsid w:val="0086173D"/>
    <w:rsid w:val="00861A55"/>
    <w:rsid w:val="00861B32"/>
    <w:rsid w:val="00861E6C"/>
    <w:rsid w:val="0086214A"/>
    <w:rsid w:val="00862209"/>
    <w:rsid w:val="00862459"/>
    <w:rsid w:val="00862877"/>
    <w:rsid w:val="00862D7B"/>
    <w:rsid w:val="0086379E"/>
    <w:rsid w:val="008637C3"/>
    <w:rsid w:val="008639A8"/>
    <w:rsid w:val="00863B50"/>
    <w:rsid w:val="00863D43"/>
    <w:rsid w:val="008640A3"/>
    <w:rsid w:val="00864340"/>
    <w:rsid w:val="00864533"/>
    <w:rsid w:val="00864581"/>
    <w:rsid w:val="00864686"/>
    <w:rsid w:val="00864879"/>
    <w:rsid w:val="00864A31"/>
    <w:rsid w:val="00864B22"/>
    <w:rsid w:val="00864BEC"/>
    <w:rsid w:val="00864D9E"/>
    <w:rsid w:val="00864E2C"/>
    <w:rsid w:val="008654D9"/>
    <w:rsid w:val="00865B7E"/>
    <w:rsid w:val="00865BE5"/>
    <w:rsid w:val="00865E29"/>
    <w:rsid w:val="0086608B"/>
    <w:rsid w:val="00866824"/>
    <w:rsid w:val="00866865"/>
    <w:rsid w:val="00866A0F"/>
    <w:rsid w:val="00866BF1"/>
    <w:rsid w:val="00866CCF"/>
    <w:rsid w:val="00867041"/>
    <w:rsid w:val="00867063"/>
    <w:rsid w:val="008678C0"/>
    <w:rsid w:val="00870111"/>
    <w:rsid w:val="00870607"/>
    <w:rsid w:val="00870DCB"/>
    <w:rsid w:val="00870F39"/>
    <w:rsid w:val="008711E0"/>
    <w:rsid w:val="00871577"/>
    <w:rsid w:val="008715A3"/>
    <w:rsid w:val="00871962"/>
    <w:rsid w:val="00871C44"/>
    <w:rsid w:val="00871FAB"/>
    <w:rsid w:val="00872132"/>
    <w:rsid w:val="008722BC"/>
    <w:rsid w:val="008722BD"/>
    <w:rsid w:val="00872374"/>
    <w:rsid w:val="00872623"/>
    <w:rsid w:val="008729E9"/>
    <w:rsid w:val="00872C2C"/>
    <w:rsid w:val="00873397"/>
    <w:rsid w:val="00873442"/>
    <w:rsid w:val="00873BA9"/>
    <w:rsid w:val="00873DB3"/>
    <w:rsid w:val="00873DF7"/>
    <w:rsid w:val="0087413A"/>
    <w:rsid w:val="0087422F"/>
    <w:rsid w:val="00874246"/>
    <w:rsid w:val="0087434E"/>
    <w:rsid w:val="008743FA"/>
    <w:rsid w:val="00874401"/>
    <w:rsid w:val="0087443A"/>
    <w:rsid w:val="00874446"/>
    <w:rsid w:val="00874BF2"/>
    <w:rsid w:val="00874F47"/>
    <w:rsid w:val="00875110"/>
    <w:rsid w:val="00875543"/>
    <w:rsid w:val="00875835"/>
    <w:rsid w:val="00875B6A"/>
    <w:rsid w:val="00875E18"/>
    <w:rsid w:val="00875E6E"/>
    <w:rsid w:val="00875F5C"/>
    <w:rsid w:val="008762B5"/>
    <w:rsid w:val="00876466"/>
    <w:rsid w:val="008768ED"/>
    <w:rsid w:val="00876E30"/>
    <w:rsid w:val="00876F0D"/>
    <w:rsid w:val="00877109"/>
    <w:rsid w:val="00877300"/>
    <w:rsid w:val="00877404"/>
    <w:rsid w:val="00877B11"/>
    <w:rsid w:val="00877C54"/>
    <w:rsid w:val="00877DC9"/>
    <w:rsid w:val="008801B8"/>
    <w:rsid w:val="0088024F"/>
    <w:rsid w:val="0088055F"/>
    <w:rsid w:val="008805D2"/>
    <w:rsid w:val="00880776"/>
    <w:rsid w:val="00880847"/>
    <w:rsid w:val="008808EB"/>
    <w:rsid w:val="008809DA"/>
    <w:rsid w:val="00880D8B"/>
    <w:rsid w:val="00880EA4"/>
    <w:rsid w:val="00880FFA"/>
    <w:rsid w:val="00880FFF"/>
    <w:rsid w:val="008811BA"/>
    <w:rsid w:val="0088129A"/>
    <w:rsid w:val="008812BE"/>
    <w:rsid w:val="0088159C"/>
    <w:rsid w:val="00881652"/>
    <w:rsid w:val="0088190C"/>
    <w:rsid w:val="00881A7C"/>
    <w:rsid w:val="00881B5E"/>
    <w:rsid w:val="00881BE8"/>
    <w:rsid w:val="008820F9"/>
    <w:rsid w:val="0088211A"/>
    <w:rsid w:val="008822E3"/>
    <w:rsid w:val="008826B0"/>
    <w:rsid w:val="008829CB"/>
    <w:rsid w:val="00882F09"/>
    <w:rsid w:val="00882F2D"/>
    <w:rsid w:val="0088302B"/>
    <w:rsid w:val="00883063"/>
    <w:rsid w:val="008830B6"/>
    <w:rsid w:val="0088312A"/>
    <w:rsid w:val="008833E4"/>
    <w:rsid w:val="008837EE"/>
    <w:rsid w:val="008838F4"/>
    <w:rsid w:val="00883E24"/>
    <w:rsid w:val="0088402F"/>
    <w:rsid w:val="008840EF"/>
    <w:rsid w:val="0088417A"/>
    <w:rsid w:val="00884626"/>
    <w:rsid w:val="00884818"/>
    <w:rsid w:val="00884938"/>
    <w:rsid w:val="00884ADF"/>
    <w:rsid w:val="00884EA3"/>
    <w:rsid w:val="00884EA8"/>
    <w:rsid w:val="008854E4"/>
    <w:rsid w:val="00885513"/>
    <w:rsid w:val="00885A31"/>
    <w:rsid w:val="00885A81"/>
    <w:rsid w:val="00885B5F"/>
    <w:rsid w:val="00885C53"/>
    <w:rsid w:val="00885C54"/>
    <w:rsid w:val="00885CB4"/>
    <w:rsid w:val="00885E21"/>
    <w:rsid w:val="00885FCD"/>
    <w:rsid w:val="00885FDD"/>
    <w:rsid w:val="008860DB"/>
    <w:rsid w:val="00886786"/>
    <w:rsid w:val="0088682E"/>
    <w:rsid w:val="008868D8"/>
    <w:rsid w:val="0088703C"/>
    <w:rsid w:val="0088723F"/>
    <w:rsid w:val="008873A7"/>
    <w:rsid w:val="0088759B"/>
    <w:rsid w:val="00887D89"/>
    <w:rsid w:val="00890377"/>
    <w:rsid w:val="00890A58"/>
    <w:rsid w:val="00890B47"/>
    <w:rsid w:val="00890BF2"/>
    <w:rsid w:val="00890E1C"/>
    <w:rsid w:val="00890E34"/>
    <w:rsid w:val="0089176E"/>
    <w:rsid w:val="00891770"/>
    <w:rsid w:val="008917F6"/>
    <w:rsid w:val="0089188D"/>
    <w:rsid w:val="008918DF"/>
    <w:rsid w:val="00891B25"/>
    <w:rsid w:val="00891CE2"/>
    <w:rsid w:val="00891F43"/>
    <w:rsid w:val="008920CB"/>
    <w:rsid w:val="008925C9"/>
    <w:rsid w:val="00892816"/>
    <w:rsid w:val="008929BA"/>
    <w:rsid w:val="00892BBD"/>
    <w:rsid w:val="00892BC9"/>
    <w:rsid w:val="00892DC1"/>
    <w:rsid w:val="00893001"/>
    <w:rsid w:val="008930E0"/>
    <w:rsid w:val="0089325C"/>
    <w:rsid w:val="0089351B"/>
    <w:rsid w:val="008937B1"/>
    <w:rsid w:val="00893A2C"/>
    <w:rsid w:val="00893EBF"/>
    <w:rsid w:val="008941EB"/>
    <w:rsid w:val="00894975"/>
    <w:rsid w:val="00894A00"/>
    <w:rsid w:val="00894D98"/>
    <w:rsid w:val="00895200"/>
    <w:rsid w:val="00895359"/>
    <w:rsid w:val="00895512"/>
    <w:rsid w:val="0089561B"/>
    <w:rsid w:val="00895A1B"/>
    <w:rsid w:val="00895BD1"/>
    <w:rsid w:val="00895C35"/>
    <w:rsid w:val="00896463"/>
    <w:rsid w:val="008965E5"/>
    <w:rsid w:val="00896842"/>
    <w:rsid w:val="00896844"/>
    <w:rsid w:val="00896936"/>
    <w:rsid w:val="008969B6"/>
    <w:rsid w:val="00896C8C"/>
    <w:rsid w:val="00896D96"/>
    <w:rsid w:val="00896FD4"/>
    <w:rsid w:val="00897508"/>
    <w:rsid w:val="0089750B"/>
    <w:rsid w:val="008975BB"/>
    <w:rsid w:val="008A0266"/>
    <w:rsid w:val="008A04CE"/>
    <w:rsid w:val="008A07AC"/>
    <w:rsid w:val="008A089C"/>
    <w:rsid w:val="008A08E1"/>
    <w:rsid w:val="008A0CFB"/>
    <w:rsid w:val="008A0F22"/>
    <w:rsid w:val="008A1048"/>
    <w:rsid w:val="008A13BF"/>
    <w:rsid w:val="008A13C3"/>
    <w:rsid w:val="008A1459"/>
    <w:rsid w:val="008A147D"/>
    <w:rsid w:val="008A1891"/>
    <w:rsid w:val="008A18E0"/>
    <w:rsid w:val="008A1BF8"/>
    <w:rsid w:val="008A1D18"/>
    <w:rsid w:val="008A1F10"/>
    <w:rsid w:val="008A1FA6"/>
    <w:rsid w:val="008A25D4"/>
    <w:rsid w:val="008A26C8"/>
    <w:rsid w:val="008A2A3C"/>
    <w:rsid w:val="008A2D00"/>
    <w:rsid w:val="008A321E"/>
    <w:rsid w:val="008A324A"/>
    <w:rsid w:val="008A3314"/>
    <w:rsid w:val="008A34A0"/>
    <w:rsid w:val="008A3B05"/>
    <w:rsid w:val="008A42CC"/>
    <w:rsid w:val="008A4308"/>
    <w:rsid w:val="008A44A4"/>
    <w:rsid w:val="008A4A03"/>
    <w:rsid w:val="008A4AB4"/>
    <w:rsid w:val="008A4F8D"/>
    <w:rsid w:val="008A5319"/>
    <w:rsid w:val="008A5526"/>
    <w:rsid w:val="008A5689"/>
    <w:rsid w:val="008A580A"/>
    <w:rsid w:val="008A59AC"/>
    <w:rsid w:val="008A5E7D"/>
    <w:rsid w:val="008A5FC4"/>
    <w:rsid w:val="008A6139"/>
    <w:rsid w:val="008A630A"/>
    <w:rsid w:val="008A63A3"/>
    <w:rsid w:val="008A6447"/>
    <w:rsid w:val="008A64DC"/>
    <w:rsid w:val="008A6C63"/>
    <w:rsid w:val="008A6DF0"/>
    <w:rsid w:val="008A7050"/>
    <w:rsid w:val="008A7129"/>
    <w:rsid w:val="008A7196"/>
    <w:rsid w:val="008A719A"/>
    <w:rsid w:val="008A71E9"/>
    <w:rsid w:val="008A7479"/>
    <w:rsid w:val="008A74C9"/>
    <w:rsid w:val="008A758E"/>
    <w:rsid w:val="008A75C8"/>
    <w:rsid w:val="008A7A9D"/>
    <w:rsid w:val="008A7DB7"/>
    <w:rsid w:val="008B020E"/>
    <w:rsid w:val="008B0518"/>
    <w:rsid w:val="008B0A7F"/>
    <w:rsid w:val="008B0EAE"/>
    <w:rsid w:val="008B0F8D"/>
    <w:rsid w:val="008B1127"/>
    <w:rsid w:val="008B115A"/>
    <w:rsid w:val="008B1388"/>
    <w:rsid w:val="008B1435"/>
    <w:rsid w:val="008B1463"/>
    <w:rsid w:val="008B1651"/>
    <w:rsid w:val="008B1673"/>
    <w:rsid w:val="008B18AE"/>
    <w:rsid w:val="008B1967"/>
    <w:rsid w:val="008B1974"/>
    <w:rsid w:val="008B1CA0"/>
    <w:rsid w:val="008B21F9"/>
    <w:rsid w:val="008B2274"/>
    <w:rsid w:val="008B2717"/>
    <w:rsid w:val="008B2745"/>
    <w:rsid w:val="008B291D"/>
    <w:rsid w:val="008B2AAE"/>
    <w:rsid w:val="008B2CBD"/>
    <w:rsid w:val="008B2CC1"/>
    <w:rsid w:val="008B2F36"/>
    <w:rsid w:val="008B2FF4"/>
    <w:rsid w:val="008B3492"/>
    <w:rsid w:val="008B361C"/>
    <w:rsid w:val="008B3734"/>
    <w:rsid w:val="008B38B6"/>
    <w:rsid w:val="008B3BEE"/>
    <w:rsid w:val="008B3CC1"/>
    <w:rsid w:val="008B3D1B"/>
    <w:rsid w:val="008B45D8"/>
    <w:rsid w:val="008B46E1"/>
    <w:rsid w:val="008B4A4A"/>
    <w:rsid w:val="008B4A87"/>
    <w:rsid w:val="008B4B98"/>
    <w:rsid w:val="008B4E54"/>
    <w:rsid w:val="008B4EE2"/>
    <w:rsid w:val="008B4EEE"/>
    <w:rsid w:val="008B5066"/>
    <w:rsid w:val="008B52DC"/>
    <w:rsid w:val="008B55D6"/>
    <w:rsid w:val="008B56D1"/>
    <w:rsid w:val="008B5F1A"/>
    <w:rsid w:val="008B6175"/>
    <w:rsid w:val="008B63FD"/>
    <w:rsid w:val="008B65B0"/>
    <w:rsid w:val="008B67C2"/>
    <w:rsid w:val="008B67F4"/>
    <w:rsid w:val="008B69D3"/>
    <w:rsid w:val="008B6D25"/>
    <w:rsid w:val="008B6F57"/>
    <w:rsid w:val="008B728A"/>
    <w:rsid w:val="008B7327"/>
    <w:rsid w:val="008B75A6"/>
    <w:rsid w:val="008B76B5"/>
    <w:rsid w:val="008B76BC"/>
    <w:rsid w:val="008B77AC"/>
    <w:rsid w:val="008B78B3"/>
    <w:rsid w:val="008B7B92"/>
    <w:rsid w:val="008B7ED2"/>
    <w:rsid w:val="008C012D"/>
    <w:rsid w:val="008C0190"/>
    <w:rsid w:val="008C025E"/>
    <w:rsid w:val="008C092B"/>
    <w:rsid w:val="008C0BF3"/>
    <w:rsid w:val="008C0DF9"/>
    <w:rsid w:val="008C10CA"/>
    <w:rsid w:val="008C11E3"/>
    <w:rsid w:val="008C11FA"/>
    <w:rsid w:val="008C1987"/>
    <w:rsid w:val="008C1BD9"/>
    <w:rsid w:val="008C1C0C"/>
    <w:rsid w:val="008C1CC1"/>
    <w:rsid w:val="008C1F46"/>
    <w:rsid w:val="008C20AD"/>
    <w:rsid w:val="008C216B"/>
    <w:rsid w:val="008C222D"/>
    <w:rsid w:val="008C2516"/>
    <w:rsid w:val="008C26F1"/>
    <w:rsid w:val="008C297D"/>
    <w:rsid w:val="008C31C2"/>
    <w:rsid w:val="008C32EF"/>
    <w:rsid w:val="008C32F3"/>
    <w:rsid w:val="008C3366"/>
    <w:rsid w:val="008C3519"/>
    <w:rsid w:val="008C35C3"/>
    <w:rsid w:val="008C3665"/>
    <w:rsid w:val="008C37B0"/>
    <w:rsid w:val="008C3BB3"/>
    <w:rsid w:val="008C3C62"/>
    <w:rsid w:val="008C3CB5"/>
    <w:rsid w:val="008C3E92"/>
    <w:rsid w:val="008C3F67"/>
    <w:rsid w:val="008C42D6"/>
    <w:rsid w:val="008C438F"/>
    <w:rsid w:val="008C4736"/>
    <w:rsid w:val="008C47D5"/>
    <w:rsid w:val="008C4AA8"/>
    <w:rsid w:val="008C4F07"/>
    <w:rsid w:val="008C51AC"/>
    <w:rsid w:val="008C54B8"/>
    <w:rsid w:val="008C58D6"/>
    <w:rsid w:val="008C5A35"/>
    <w:rsid w:val="008C5CA9"/>
    <w:rsid w:val="008C5D92"/>
    <w:rsid w:val="008C60F2"/>
    <w:rsid w:val="008C66C2"/>
    <w:rsid w:val="008C68EF"/>
    <w:rsid w:val="008C6E55"/>
    <w:rsid w:val="008C7490"/>
    <w:rsid w:val="008C7499"/>
    <w:rsid w:val="008C77AB"/>
    <w:rsid w:val="008C7902"/>
    <w:rsid w:val="008C793F"/>
    <w:rsid w:val="008C7B50"/>
    <w:rsid w:val="008C7D74"/>
    <w:rsid w:val="008D00F5"/>
    <w:rsid w:val="008D0499"/>
    <w:rsid w:val="008D0735"/>
    <w:rsid w:val="008D07EB"/>
    <w:rsid w:val="008D0909"/>
    <w:rsid w:val="008D128F"/>
    <w:rsid w:val="008D1814"/>
    <w:rsid w:val="008D1B15"/>
    <w:rsid w:val="008D1F2B"/>
    <w:rsid w:val="008D280E"/>
    <w:rsid w:val="008D2A6A"/>
    <w:rsid w:val="008D2C44"/>
    <w:rsid w:val="008D2E31"/>
    <w:rsid w:val="008D32CE"/>
    <w:rsid w:val="008D355F"/>
    <w:rsid w:val="008D3583"/>
    <w:rsid w:val="008D37B4"/>
    <w:rsid w:val="008D3B79"/>
    <w:rsid w:val="008D3C05"/>
    <w:rsid w:val="008D3E80"/>
    <w:rsid w:val="008D42F2"/>
    <w:rsid w:val="008D4A1A"/>
    <w:rsid w:val="008D4A35"/>
    <w:rsid w:val="008D4BC5"/>
    <w:rsid w:val="008D4C62"/>
    <w:rsid w:val="008D5208"/>
    <w:rsid w:val="008D53AF"/>
    <w:rsid w:val="008D5597"/>
    <w:rsid w:val="008D595A"/>
    <w:rsid w:val="008D5A30"/>
    <w:rsid w:val="008D5B10"/>
    <w:rsid w:val="008D6236"/>
    <w:rsid w:val="008D67B2"/>
    <w:rsid w:val="008D690F"/>
    <w:rsid w:val="008D6BC0"/>
    <w:rsid w:val="008D6C76"/>
    <w:rsid w:val="008D6CC6"/>
    <w:rsid w:val="008D799C"/>
    <w:rsid w:val="008D7A8B"/>
    <w:rsid w:val="008D7D43"/>
    <w:rsid w:val="008D7E3C"/>
    <w:rsid w:val="008E000E"/>
    <w:rsid w:val="008E024E"/>
    <w:rsid w:val="008E054C"/>
    <w:rsid w:val="008E0715"/>
    <w:rsid w:val="008E08AE"/>
    <w:rsid w:val="008E096A"/>
    <w:rsid w:val="008E0C58"/>
    <w:rsid w:val="008E0F27"/>
    <w:rsid w:val="008E119E"/>
    <w:rsid w:val="008E1AB0"/>
    <w:rsid w:val="008E1CBD"/>
    <w:rsid w:val="008E1E45"/>
    <w:rsid w:val="008E2130"/>
    <w:rsid w:val="008E2611"/>
    <w:rsid w:val="008E2716"/>
    <w:rsid w:val="008E31FE"/>
    <w:rsid w:val="008E36A6"/>
    <w:rsid w:val="008E3D7A"/>
    <w:rsid w:val="008E3F08"/>
    <w:rsid w:val="008E3F2D"/>
    <w:rsid w:val="008E3F83"/>
    <w:rsid w:val="008E4104"/>
    <w:rsid w:val="008E416B"/>
    <w:rsid w:val="008E46B6"/>
    <w:rsid w:val="008E4C3B"/>
    <w:rsid w:val="008E4D08"/>
    <w:rsid w:val="008E4EC8"/>
    <w:rsid w:val="008E4F96"/>
    <w:rsid w:val="008E510D"/>
    <w:rsid w:val="008E525E"/>
    <w:rsid w:val="008E57B7"/>
    <w:rsid w:val="008E586A"/>
    <w:rsid w:val="008E5DA7"/>
    <w:rsid w:val="008E5E10"/>
    <w:rsid w:val="008E6206"/>
    <w:rsid w:val="008E667E"/>
    <w:rsid w:val="008E6948"/>
    <w:rsid w:val="008E6CA7"/>
    <w:rsid w:val="008E6CE5"/>
    <w:rsid w:val="008E6D23"/>
    <w:rsid w:val="008E7310"/>
    <w:rsid w:val="008E7410"/>
    <w:rsid w:val="008E744E"/>
    <w:rsid w:val="008E74BC"/>
    <w:rsid w:val="008E78E2"/>
    <w:rsid w:val="008E79FF"/>
    <w:rsid w:val="008E7D40"/>
    <w:rsid w:val="008F014D"/>
    <w:rsid w:val="008F0396"/>
    <w:rsid w:val="008F05DE"/>
    <w:rsid w:val="008F05FB"/>
    <w:rsid w:val="008F078E"/>
    <w:rsid w:val="008F08D9"/>
    <w:rsid w:val="008F0B34"/>
    <w:rsid w:val="008F1115"/>
    <w:rsid w:val="008F14D8"/>
    <w:rsid w:val="008F1B4B"/>
    <w:rsid w:val="008F1CA8"/>
    <w:rsid w:val="008F1CD2"/>
    <w:rsid w:val="008F1D78"/>
    <w:rsid w:val="008F1DB7"/>
    <w:rsid w:val="008F2017"/>
    <w:rsid w:val="008F2226"/>
    <w:rsid w:val="008F22C1"/>
    <w:rsid w:val="008F277C"/>
    <w:rsid w:val="008F281D"/>
    <w:rsid w:val="008F2D1F"/>
    <w:rsid w:val="008F2FBF"/>
    <w:rsid w:val="008F31D6"/>
    <w:rsid w:val="008F35B4"/>
    <w:rsid w:val="008F3ABB"/>
    <w:rsid w:val="008F3B34"/>
    <w:rsid w:val="008F3DD1"/>
    <w:rsid w:val="008F45C4"/>
    <w:rsid w:val="008F49AC"/>
    <w:rsid w:val="008F4D44"/>
    <w:rsid w:val="008F50EE"/>
    <w:rsid w:val="008F5339"/>
    <w:rsid w:val="008F5493"/>
    <w:rsid w:val="008F5BFD"/>
    <w:rsid w:val="008F5D6A"/>
    <w:rsid w:val="008F5E97"/>
    <w:rsid w:val="008F6064"/>
    <w:rsid w:val="008F64E5"/>
    <w:rsid w:val="008F6522"/>
    <w:rsid w:val="008F6EC6"/>
    <w:rsid w:val="008F7244"/>
    <w:rsid w:val="008F72CB"/>
    <w:rsid w:val="008F7679"/>
    <w:rsid w:val="008F790F"/>
    <w:rsid w:val="008F7B18"/>
    <w:rsid w:val="008F7F50"/>
    <w:rsid w:val="00900276"/>
    <w:rsid w:val="0090063E"/>
    <w:rsid w:val="009006F5"/>
    <w:rsid w:val="00900775"/>
    <w:rsid w:val="0090082E"/>
    <w:rsid w:val="00900834"/>
    <w:rsid w:val="009009BD"/>
    <w:rsid w:val="009009F7"/>
    <w:rsid w:val="00900AA1"/>
    <w:rsid w:val="00900EB6"/>
    <w:rsid w:val="009010A5"/>
    <w:rsid w:val="00901251"/>
    <w:rsid w:val="0090160C"/>
    <w:rsid w:val="009017A3"/>
    <w:rsid w:val="00901A5A"/>
    <w:rsid w:val="00901D9C"/>
    <w:rsid w:val="00901E38"/>
    <w:rsid w:val="009028CE"/>
    <w:rsid w:val="00902BF8"/>
    <w:rsid w:val="00902C56"/>
    <w:rsid w:val="00902E64"/>
    <w:rsid w:val="00902F02"/>
    <w:rsid w:val="00902FD9"/>
    <w:rsid w:val="00903188"/>
    <w:rsid w:val="00903234"/>
    <w:rsid w:val="00903417"/>
    <w:rsid w:val="009034B1"/>
    <w:rsid w:val="009036C6"/>
    <w:rsid w:val="0090400B"/>
    <w:rsid w:val="00904046"/>
    <w:rsid w:val="00904171"/>
    <w:rsid w:val="00904190"/>
    <w:rsid w:val="0090435A"/>
    <w:rsid w:val="0090436A"/>
    <w:rsid w:val="00904855"/>
    <w:rsid w:val="009048D6"/>
    <w:rsid w:val="00904AC0"/>
    <w:rsid w:val="00905137"/>
    <w:rsid w:val="00905197"/>
    <w:rsid w:val="00905B2E"/>
    <w:rsid w:val="00906175"/>
    <w:rsid w:val="00906351"/>
    <w:rsid w:val="00906553"/>
    <w:rsid w:val="009069BF"/>
    <w:rsid w:val="00906C3A"/>
    <w:rsid w:val="00906E89"/>
    <w:rsid w:val="009071C1"/>
    <w:rsid w:val="0090744D"/>
    <w:rsid w:val="0090765F"/>
    <w:rsid w:val="00907695"/>
    <w:rsid w:val="00907D5E"/>
    <w:rsid w:val="00910474"/>
    <w:rsid w:val="009108D8"/>
    <w:rsid w:val="00910E41"/>
    <w:rsid w:val="00910E7D"/>
    <w:rsid w:val="00911038"/>
    <w:rsid w:val="00911103"/>
    <w:rsid w:val="0091125F"/>
    <w:rsid w:val="009113DE"/>
    <w:rsid w:val="009117E2"/>
    <w:rsid w:val="00911C26"/>
    <w:rsid w:val="00911C6B"/>
    <w:rsid w:val="00911E9B"/>
    <w:rsid w:val="00912086"/>
    <w:rsid w:val="009121A9"/>
    <w:rsid w:val="00912822"/>
    <w:rsid w:val="00912A82"/>
    <w:rsid w:val="00912B97"/>
    <w:rsid w:val="00912D4E"/>
    <w:rsid w:val="00912D73"/>
    <w:rsid w:val="00912F40"/>
    <w:rsid w:val="00913478"/>
    <w:rsid w:val="009134C4"/>
    <w:rsid w:val="0091384D"/>
    <w:rsid w:val="00913987"/>
    <w:rsid w:val="00913AF2"/>
    <w:rsid w:val="00913B9A"/>
    <w:rsid w:val="009141A5"/>
    <w:rsid w:val="009141D2"/>
    <w:rsid w:val="0091445F"/>
    <w:rsid w:val="009144E2"/>
    <w:rsid w:val="00914512"/>
    <w:rsid w:val="009148B8"/>
    <w:rsid w:val="00914B6B"/>
    <w:rsid w:val="00914CB7"/>
    <w:rsid w:val="0091504D"/>
    <w:rsid w:val="0091559B"/>
    <w:rsid w:val="00915613"/>
    <w:rsid w:val="0091583C"/>
    <w:rsid w:val="00915A48"/>
    <w:rsid w:val="00916486"/>
    <w:rsid w:val="00916810"/>
    <w:rsid w:val="00916D63"/>
    <w:rsid w:val="009171E7"/>
    <w:rsid w:val="009175E2"/>
    <w:rsid w:val="009176FF"/>
    <w:rsid w:val="00917859"/>
    <w:rsid w:val="00917935"/>
    <w:rsid w:val="00917B00"/>
    <w:rsid w:val="00920364"/>
    <w:rsid w:val="00920B55"/>
    <w:rsid w:val="00920B9A"/>
    <w:rsid w:val="00920B9E"/>
    <w:rsid w:val="00920D29"/>
    <w:rsid w:val="00920D2B"/>
    <w:rsid w:val="0092101A"/>
    <w:rsid w:val="009210D3"/>
    <w:rsid w:val="009213EA"/>
    <w:rsid w:val="00921742"/>
    <w:rsid w:val="00921777"/>
    <w:rsid w:val="009217CE"/>
    <w:rsid w:val="00921C0C"/>
    <w:rsid w:val="00921D70"/>
    <w:rsid w:val="00921E79"/>
    <w:rsid w:val="00921ECD"/>
    <w:rsid w:val="009227F1"/>
    <w:rsid w:val="00922B21"/>
    <w:rsid w:val="00922EBA"/>
    <w:rsid w:val="00922F9B"/>
    <w:rsid w:val="00923023"/>
    <w:rsid w:val="00923196"/>
    <w:rsid w:val="009231A6"/>
    <w:rsid w:val="0092357D"/>
    <w:rsid w:val="00923746"/>
    <w:rsid w:val="009237FE"/>
    <w:rsid w:val="00923B17"/>
    <w:rsid w:val="0092421D"/>
    <w:rsid w:val="0092468E"/>
    <w:rsid w:val="00924732"/>
    <w:rsid w:val="00924E02"/>
    <w:rsid w:val="009253D5"/>
    <w:rsid w:val="009257CD"/>
    <w:rsid w:val="009258D9"/>
    <w:rsid w:val="00925CC8"/>
    <w:rsid w:val="00925CF5"/>
    <w:rsid w:val="00925F40"/>
    <w:rsid w:val="009260A3"/>
    <w:rsid w:val="009260B4"/>
    <w:rsid w:val="00926665"/>
    <w:rsid w:val="00926B3D"/>
    <w:rsid w:val="00926F29"/>
    <w:rsid w:val="00926F50"/>
    <w:rsid w:val="009272ED"/>
    <w:rsid w:val="00927632"/>
    <w:rsid w:val="0092778B"/>
    <w:rsid w:val="00927C9C"/>
    <w:rsid w:val="00927EF1"/>
    <w:rsid w:val="00927FC0"/>
    <w:rsid w:val="00930061"/>
    <w:rsid w:val="0093006A"/>
    <w:rsid w:val="00930932"/>
    <w:rsid w:val="00930C49"/>
    <w:rsid w:val="00930DA7"/>
    <w:rsid w:val="00930EBD"/>
    <w:rsid w:val="00930F73"/>
    <w:rsid w:val="009311D6"/>
    <w:rsid w:val="009311DA"/>
    <w:rsid w:val="0093122B"/>
    <w:rsid w:val="009315E2"/>
    <w:rsid w:val="00931797"/>
    <w:rsid w:val="00931ADF"/>
    <w:rsid w:val="00931BCA"/>
    <w:rsid w:val="00931BD3"/>
    <w:rsid w:val="00931C54"/>
    <w:rsid w:val="00931EA6"/>
    <w:rsid w:val="0093203D"/>
    <w:rsid w:val="0093220B"/>
    <w:rsid w:val="009324DB"/>
    <w:rsid w:val="00932639"/>
    <w:rsid w:val="009326EA"/>
    <w:rsid w:val="00932B6D"/>
    <w:rsid w:val="00932C11"/>
    <w:rsid w:val="00932C65"/>
    <w:rsid w:val="00932F3B"/>
    <w:rsid w:val="009332B4"/>
    <w:rsid w:val="0093348A"/>
    <w:rsid w:val="00933A51"/>
    <w:rsid w:val="00933D87"/>
    <w:rsid w:val="00934591"/>
    <w:rsid w:val="009348AA"/>
    <w:rsid w:val="0093495D"/>
    <w:rsid w:val="00934CBE"/>
    <w:rsid w:val="00934FD7"/>
    <w:rsid w:val="0093509C"/>
    <w:rsid w:val="00935192"/>
    <w:rsid w:val="009353CF"/>
    <w:rsid w:val="0093570E"/>
    <w:rsid w:val="009357EE"/>
    <w:rsid w:val="00935B78"/>
    <w:rsid w:val="00935E71"/>
    <w:rsid w:val="00935F41"/>
    <w:rsid w:val="00936249"/>
    <w:rsid w:val="009362EE"/>
    <w:rsid w:val="0093693A"/>
    <w:rsid w:val="00936A89"/>
    <w:rsid w:val="00936DEE"/>
    <w:rsid w:val="0093731D"/>
    <w:rsid w:val="00937D00"/>
    <w:rsid w:val="00937D3B"/>
    <w:rsid w:val="00937E80"/>
    <w:rsid w:val="00937F95"/>
    <w:rsid w:val="00937FE5"/>
    <w:rsid w:val="0094021E"/>
    <w:rsid w:val="00940244"/>
    <w:rsid w:val="009402D4"/>
    <w:rsid w:val="00940543"/>
    <w:rsid w:val="00940736"/>
    <w:rsid w:val="00940CC4"/>
    <w:rsid w:val="00940D7B"/>
    <w:rsid w:val="00940F8C"/>
    <w:rsid w:val="009411E3"/>
    <w:rsid w:val="00941305"/>
    <w:rsid w:val="009413DC"/>
    <w:rsid w:val="00941449"/>
    <w:rsid w:val="00941BB5"/>
    <w:rsid w:val="00941C34"/>
    <w:rsid w:val="00941D9C"/>
    <w:rsid w:val="00941E13"/>
    <w:rsid w:val="009422E2"/>
    <w:rsid w:val="009423D6"/>
    <w:rsid w:val="00942562"/>
    <w:rsid w:val="009425DC"/>
    <w:rsid w:val="00942659"/>
    <w:rsid w:val="0094296A"/>
    <w:rsid w:val="009429C0"/>
    <w:rsid w:val="009429D6"/>
    <w:rsid w:val="00942C22"/>
    <w:rsid w:val="00942C4C"/>
    <w:rsid w:val="00943141"/>
    <w:rsid w:val="00943243"/>
    <w:rsid w:val="00943470"/>
    <w:rsid w:val="009437BF"/>
    <w:rsid w:val="00943822"/>
    <w:rsid w:val="00943A4D"/>
    <w:rsid w:val="00943B72"/>
    <w:rsid w:val="00943E73"/>
    <w:rsid w:val="00944029"/>
    <w:rsid w:val="00944030"/>
    <w:rsid w:val="00944719"/>
    <w:rsid w:val="00944924"/>
    <w:rsid w:val="00944B79"/>
    <w:rsid w:val="009450AA"/>
    <w:rsid w:val="009451CD"/>
    <w:rsid w:val="00945588"/>
    <w:rsid w:val="00945F36"/>
    <w:rsid w:val="0094609D"/>
    <w:rsid w:val="009464C8"/>
    <w:rsid w:val="009464E7"/>
    <w:rsid w:val="009466DF"/>
    <w:rsid w:val="00946B10"/>
    <w:rsid w:val="00946F0D"/>
    <w:rsid w:val="00946F4E"/>
    <w:rsid w:val="00947037"/>
    <w:rsid w:val="009470F9"/>
    <w:rsid w:val="009472FE"/>
    <w:rsid w:val="00947857"/>
    <w:rsid w:val="00947BBD"/>
    <w:rsid w:val="00947BC9"/>
    <w:rsid w:val="00947CD9"/>
    <w:rsid w:val="00947D9D"/>
    <w:rsid w:val="00947F8E"/>
    <w:rsid w:val="009500D0"/>
    <w:rsid w:val="009500FF"/>
    <w:rsid w:val="00950407"/>
    <w:rsid w:val="0095048B"/>
    <w:rsid w:val="009505A8"/>
    <w:rsid w:val="009508D1"/>
    <w:rsid w:val="0095099E"/>
    <w:rsid w:val="00950A63"/>
    <w:rsid w:val="00951086"/>
    <w:rsid w:val="009510CB"/>
    <w:rsid w:val="0095159B"/>
    <w:rsid w:val="00951601"/>
    <w:rsid w:val="009517EC"/>
    <w:rsid w:val="00951830"/>
    <w:rsid w:val="00951F5A"/>
    <w:rsid w:val="00951F9A"/>
    <w:rsid w:val="0095260D"/>
    <w:rsid w:val="009527E6"/>
    <w:rsid w:val="00952A60"/>
    <w:rsid w:val="00952C76"/>
    <w:rsid w:val="00952D64"/>
    <w:rsid w:val="00952FA7"/>
    <w:rsid w:val="00953043"/>
    <w:rsid w:val="00953376"/>
    <w:rsid w:val="009535F7"/>
    <w:rsid w:val="00953AEF"/>
    <w:rsid w:val="00954047"/>
    <w:rsid w:val="009543D4"/>
    <w:rsid w:val="009546D9"/>
    <w:rsid w:val="0095508D"/>
    <w:rsid w:val="009552BD"/>
    <w:rsid w:val="0095559F"/>
    <w:rsid w:val="0095560D"/>
    <w:rsid w:val="0095590A"/>
    <w:rsid w:val="00956005"/>
    <w:rsid w:val="00956051"/>
    <w:rsid w:val="0095645D"/>
    <w:rsid w:val="009566F0"/>
    <w:rsid w:val="0095696E"/>
    <w:rsid w:val="00956988"/>
    <w:rsid w:val="00956A55"/>
    <w:rsid w:val="0095714C"/>
    <w:rsid w:val="009571C5"/>
    <w:rsid w:val="00957741"/>
    <w:rsid w:val="009577EA"/>
    <w:rsid w:val="00957BC7"/>
    <w:rsid w:val="00957DCA"/>
    <w:rsid w:val="00957EA1"/>
    <w:rsid w:val="009602A1"/>
    <w:rsid w:val="009602DD"/>
    <w:rsid w:val="009608D6"/>
    <w:rsid w:val="00960957"/>
    <w:rsid w:val="009609D4"/>
    <w:rsid w:val="00960BBE"/>
    <w:rsid w:val="00960DA5"/>
    <w:rsid w:val="00961273"/>
    <w:rsid w:val="009612EB"/>
    <w:rsid w:val="00961A77"/>
    <w:rsid w:val="00962277"/>
    <w:rsid w:val="009623A6"/>
    <w:rsid w:val="0096245E"/>
    <w:rsid w:val="0096261F"/>
    <w:rsid w:val="00962705"/>
    <w:rsid w:val="009627B7"/>
    <w:rsid w:val="00962AF4"/>
    <w:rsid w:val="00962BAA"/>
    <w:rsid w:val="00962CF5"/>
    <w:rsid w:val="00963358"/>
    <w:rsid w:val="009633E6"/>
    <w:rsid w:val="009639B3"/>
    <w:rsid w:val="00963A09"/>
    <w:rsid w:val="00963DA8"/>
    <w:rsid w:val="00963DF2"/>
    <w:rsid w:val="009641E2"/>
    <w:rsid w:val="00964236"/>
    <w:rsid w:val="009642DF"/>
    <w:rsid w:val="00964366"/>
    <w:rsid w:val="00964518"/>
    <w:rsid w:val="00964B1B"/>
    <w:rsid w:val="00964B90"/>
    <w:rsid w:val="00964C10"/>
    <w:rsid w:val="00964C43"/>
    <w:rsid w:val="00964C93"/>
    <w:rsid w:val="00964F56"/>
    <w:rsid w:val="00965211"/>
    <w:rsid w:val="0096522D"/>
    <w:rsid w:val="00965327"/>
    <w:rsid w:val="00965457"/>
    <w:rsid w:val="00965541"/>
    <w:rsid w:val="00965670"/>
    <w:rsid w:val="009657D6"/>
    <w:rsid w:val="009658B8"/>
    <w:rsid w:val="00966076"/>
    <w:rsid w:val="00966359"/>
    <w:rsid w:val="009666F3"/>
    <w:rsid w:val="0096692D"/>
    <w:rsid w:val="00966E3B"/>
    <w:rsid w:val="00967008"/>
    <w:rsid w:val="00967213"/>
    <w:rsid w:val="00967379"/>
    <w:rsid w:val="00967929"/>
    <w:rsid w:val="00967996"/>
    <w:rsid w:val="00967F24"/>
    <w:rsid w:val="009700C9"/>
    <w:rsid w:val="009702DC"/>
    <w:rsid w:val="00970447"/>
    <w:rsid w:val="0097073B"/>
    <w:rsid w:val="00970C1E"/>
    <w:rsid w:val="009710CA"/>
    <w:rsid w:val="00971125"/>
    <w:rsid w:val="009715B9"/>
    <w:rsid w:val="009719C0"/>
    <w:rsid w:val="00971B9A"/>
    <w:rsid w:val="00972083"/>
    <w:rsid w:val="00972474"/>
    <w:rsid w:val="009728FD"/>
    <w:rsid w:val="0097296F"/>
    <w:rsid w:val="009729D5"/>
    <w:rsid w:val="00972AE7"/>
    <w:rsid w:val="00972C9D"/>
    <w:rsid w:val="00972D56"/>
    <w:rsid w:val="0097305B"/>
    <w:rsid w:val="00973437"/>
    <w:rsid w:val="009734A8"/>
    <w:rsid w:val="009734E8"/>
    <w:rsid w:val="009737FF"/>
    <w:rsid w:val="00973C82"/>
    <w:rsid w:val="00973CC5"/>
    <w:rsid w:val="00973CF8"/>
    <w:rsid w:val="00973E82"/>
    <w:rsid w:val="00973FC8"/>
    <w:rsid w:val="009744D5"/>
    <w:rsid w:val="0097458F"/>
    <w:rsid w:val="0097461C"/>
    <w:rsid w:val="00974AE7"/>
    <w:rsid w:val="00974BD4"/>
    <w:rsid w:val="00974C81"/>
    <w:rsid w:val="00974D3F"/>
    <w:rsid w:val="00974EB1"/>
    <w:rsid w:val="009752A2"/>
    <w:rsid w:val="0097584C"/>
    <w:rsid w:val="009759B4"/>
    <w:rsid w:val="00975A08"/>
    <w:rsid w:val="00975A36"/>
    <w:rsid w:val="00975A77"/>
    <w:rsid w:val="00975D70"/>
    <w:rsid w:val="00976247"/>
    <w:rsid w:val="0097629C"/>
    <w:rsid w:val="0097654E"/>
    <w:rsid w:val="0097676C"/>
    <w:rsid w:val="00976930"/>
    <w:rsid w:val="009769F9"/>
    <w:rsid w:val="00976B91"/>
    <w:rsid w:val="00976C52"/>
    <w:rsid w:val="00976E55"/>
    <w:rsid w:val="009771D7"/>
    <w:rsid w:val="00977433"/>
    <w:rsid w:val="00977690"/>
    <w:rsid w:val="0097775F"/>
    <w:rsid w:val="00977861"/>
    <w:rsid w:val="00977983"/>
    <w:rsid w:val="009779C1"/>
    <w:rsid w:val="00977CDA"/>
    <w:rsid w:val="00977D5B"/>
    <w:rsid w:val="00977F51"/>
    <w:rsid w:val="009805AB"/>
    <w:rsid w:val="009808FB"/>
    <w:rsid w:val="00980BCD"/>
    <w:rsid w:val="00980BE2"/>
    <w:rsid w:val="00980C77"/>
    <w:rsid w:val="00981179"/>
    <w:rsid w:val="0098149A"/>
    <w:rsid w:val="009814E6"/>
    <w:rsid w:val="00981946"/>
    <w:rsid w:val="009819A9"/>
    <w:rsid w:val="00981D97"/>
    <w:rsid w:val="00981FB9"/>
    <w:rsid w:val="009827BA"/>
    <w:rsid w:val="00982850"/>
    <w:rsid w:val="00982A56"/>
    <w:rsid w:val="00982AF0"/>
    <w:rsid w:val="00982BC4"/>
    <w:rsid w:val="00982CAD"/>
    <w:rsid w:val="00982D11"/>
    <w:rsid w:val="00982F1E"/>
    <w:rsid w:val="00983268"/>
    <w:rsid w:val="00983346"/>
    <w:rsid w:val="00983515"/>
    <w:rsid w:val="009836A9"/>
    <w:rsid w:val="00983B93"/>
    <w:rsid w:val="00983DF6"/>
    <w:rsid w:val="0098401A"/>
    <w:rsid w:val="009840FD"/>
    <w:rsid w:val="009842BE"/>
    <w:rsid w:val="00984481"/>
    <w:rsid w:val="009847DD"/>
    <w:rsid w:val="00984A47"/>
    <w:rsid w:val="00984B9F"/>
    <w:rsid w:val="00984C66"/>
    <w:rsid w:val="009853A3"/>
    <w:rsid w:val="0098553C"/>
    <w:rsid w:val="0098574E"/>
    <w:rsid w:val="009858D1"/>
    <w:rsid w:val="00985CE0"/>
    <w:rsid w:val="00985DB5"/>
    <w:rsid w:val="009862D8"/>
    <w:rsid w:val="009865D8"/>
    <w:rsid w:val="00986738"/>
    <w:rsid w:val="00986827"/>
    <w:rsid w:val="00986860"/>
    <w:rsid w:val="00986902"/>
    <w:rsid w:val="009869ED"/>
    <w:rsid w:val="00986BC9"/>
    <w:rsid w:val="00986C99"/>
    <w:rsid w:val="00986EA1"/>
    <w:rsid w:val="00986F55"/>
    <w:rsid w:val="009870AA"/>
    <w:rsid w:val="00987126"/>
    <w:rsid w:val="009874D0"/>
    <w:rsid w:val="0098774A"/>
    <w:rsid w:val="0099002A"/>
    <w:rsid w:val="009904DC"/>
    <w:rsid w:val="00990A59"/>
    <w:rsid w:val="00990EB7"/>
    <w:rsid w:val="0099116B"/>
    <w:rsid w:val="00991388"/>
    <w:rsid w:val="0099157C"/>
    <w:rsid w:val="0099159A"/>
    <w:rsid w:val="00991885"/>
    <w:rsid w:val="009918C6"/>
    <w:rsid w:val="00991C00"/>
    <w:rsid w:val="00991D7C"/>
    <w:rsid w:val="00991EDA"/>
    <w:rsid w:val="00991F46"/>
    <w:rsid w:val="009920BD"/>
    <w:rsid w:val="00992150"/>
    <w:rsid w:val="00992362"/>
    <w:rsid w:val="009923CE"/>
    <w:rsid w:val="00992691"/>
    <w:rsid w:val="009928EC"/>
    <w:rsid w:val="009930C3"/>
    <w:rsid w:val="00993111"/>
    <w:rsid w:val="009932FA"/>
    <w:rsid w:val="009933CE"/>
    <w:rsid w:val="009934A8"/>
    <w:rsid w:val="00993729"/>
    <w:rsid w:val="00993B06"/>
    <w:rsid w:val="00993C66"/>
    <w:rsid w:val="00993E1A"/>
    <w:rsid w:val="00993FEC"/>
    <w:rsid w:val="009941F1"/>
    <w:rsid w:val="009942B5"/>
    <w:rsid w:val="00994429"/>
    <w:rsid w:val="00994CD9"/>
    <w:rsid w:val="00994D15"/>
    <w:rsid w:val="00994EC1"/>
    <w:rsid w:val="009951B3"/>
    <w:rsid w:val="0099537F"/>
    <w:rsid w:val="0099548F"/>
    <w:rsid w:val="0099606E"/>
    <w:rsid w:val="00996160"/>
    <w:rsid w:val="00996597"/>
    <w:rsid w:val="00996637"/>
    <w:rsid w:val="0099666C"/>
    <w:rsid w:val="00996CC4"/>
    <w:rsid w:val="00996DBF"/>
    <w:rsid w:val="00996FE0"/>
    <w:rsid w:val="00997043"/>
    <w:rsid w:val="009972E8"/>
    <w:rsid w:val="009976F0"/>
    <w:rsid w:val="00997D2A"/>
    <w:rsid w:val="00997D7E"/>
    <w:rsid w:val="00997DFD"/>
    <w:rsid w:val="009A006A"/>
    <w:rsid w:val="009A019A"/>
    <w:rsid w:val="009A05A5"/>
    <w:rsid w:val="009A151F"/>
    <w:rsid w:val="009A18B2"/>
    <w:rsid w:val="009A1B7A"/>
    <w:rsid w:val="009A1C2E"/>
    <w:rsid w:val="009A1E00"/>
    <w:rsid w:val="009A2374"/>
    <w:rsid w:val="009A2A8D"/>
    <w:rsid w:val="009A2ECE"/>
    <w:rsid w:val="009A303F"/>
    <w:rsid w:val="009A30AE"/>
    <w:rsid w:val="009A30B0"/>
    <w:rsid w:val="009A3541"/>
    <w:rsid w:val="009A38DB"/>
    <w:rsid w:val="009A3B1C"/>
    <w:rsid w:val="009A3C0B"/>
    <w:rsid w:val="009A41F0"/>
    <w:rsid w:val="009A420F"/>
    <w:rsid w:val="009A43D9"/>
    <w:rsid w:val="009A44A5"/>
    <w:rsid w:val="009A44A7"/>
    <w:rsid w:val="009A45CA"/>
    <w:rsid w:val="009A49E3"/>
    <w:rsid w:val="009A4AC3"/>
    <w:rsid w:val="009A4B46"/>
    <w:rsid w:val="009A4C50"/>
    <w:rsid w:val="009A4F22"/>
    <w:rsid w:val="009A5312"/>
    <w:rsid w:val="009A53D9"/>
    <w:rsid w:val="009A58A5"/>
    <w:rsid w:val="009A5974"/>
    <w:rsid w:val="009A5AC9"/>
    <w:rsid w:val="009A5B0A"/>
    <w:rsid w:val="009A5B73"/>
    <w:rsid w:val="009A5CD2"/>
    <w:rsid w:val="009A5D04"/>
    <w:rsid w:val="009A5E28"/>
    <w:rsid w:val="009A6059"/>
    <w:rsid w:val="009A6393"/>
    <w:rsid w:val="009A649F"/>
    <w:rsid w:val="009A64E2"/>
    <w:rsid w:val="009A6668"/>
    <w:rsid w:val="009A68BB"/>
    <w:rsid w:val="009A6D30"/>
    <w:rsid w:val="009A6D6B"/>
    <w:rsid w:val="009A74BD"/>
    <w:rsid w:val="009A7686"/>
    <w:rsid w:val="009A7768"/>
    <w:rsid w:val="009A7873"/>
    <w:rsid w:val="009A78DC"/>
    <w:rsid w:val="009A7956"/>
    <w:rsid w:val="009A7B05"/>
    <w:rsid w:val="009A7B22"/>
    <w:rsid w:val="009B0053"/>
    <w:rsid w:val="009B01FD"/>
    <w:rsid w:val="009B05D3"/>
    <w:rsid w:val="009B06F4"/>
    <w:rsid w:val="009B0732"/>
    <w:rsid w:val="009B0884"/>
    <w:rsid w:val="009B0887"/>
    <w:rsid w:val="009B0C5B"/>
    <w:rsid w:val="009B19F7"/>
    <w:rsid w:val="009B1BE7"/>
    <w:rsid w:val="009B1C02"/>
    <w:rsid w:val="009B1CCB"/>
    <w:rsid w:val="009B1DF5"/>
    <w:rsid w:val="009B21F2"/>
    <w:rsid w:val="009B23C3"/>
    <w:rsid w:val="009B2559"/>
    <w:rsid w:val="009B28EB"/>
    <w:rsid w:val="009B2AD1"/>
    <w:rsid w:val="009B2CD9"/>
    <w:rsid w:val="009B2CF3"/>
    <w:rsid w:val="009B2CF8"/>
    <w:rsid w:val="009B2DFB"/>
    <w:rsid w:val="009B2F19"/>
    <w:rsid w:val="009B329E"/>
    <w:rsid w:val="009B3654"/>
    <w:rsid w:val="009B3772"/>
    <w:rsid w:val="009B3954"/>
    <w:rsid w:val="009B3978"/>
    <w:rsid w:val="009B440C"/>
    <w:rsid w:val="009B4553"/>
    <w:rsid w:val="009B4589"/>
    <w:rsid w:val="009B4B45"/>
    <w:rsid w:val="009B4D12"/>
    <w:rsid w:val="009B536B"/>
    <w:rsid w:val="009B54C5"/>
    <w:rsid w:val="009B5501"/>
    <w:rsid w:val="009B550A"/>
    <w:rsid w:val="009B589B"/>
    <w:rsid w:val="009B5B4F"/>
    <w:rsid w:val="009B611E"/>
    <w:rsid w:val="009B64A3"/>
    <w:rsid w:val="009B653F"/>
    <w:rsid w:val="009B658A"/>
    <w:rsid w:val="009B6898"/>
    <w:rsid w:val="009B68BF"/>
    <w:rsid w:val="009B6CB6"/>
    <w:rsid w:val="009B709E"/>
    <w:rsid w:val="009B7213"/>
    <w:rsid w:val="009B75B1"/>
    <w:rsid w:val="009B75F9"/>
    <w:rsid w:val="009B789B"/>
    <w:rsid w:val="009B791B"/>
    <w:rsid w:val="009B7A82"/>
    <w:rsid w:val="009B7C36"/>
    <w:rsid w:val="009B7C6D"/>
    <w:rsid w:val="009C017A"/>
    <w:rsid w:val="009C019E"/>
    <w:rsid w:val="009C04A4"/>
    <w:rsid w:val="009C065D"/>
    <w:rsid w:val="009C142C"/>
    <w:rsid w:val="009C17C3"/>
    <w:rsid w:val="009C1814"/>
    <w:rsid w:val="009C1BAE"/>
    <w:rsid w:val="009C1EA7"/>
    <w:rsid w:val="009C1FFE"/>
    <w:rsid w:val="009C24DD"/>
    <w:rsid w:val="009C25A3"/>
    <w:rsid w:val="009C2789"/>
    <w:rsid w:val="009C2A79"/>
    <w:rsid w:val="009C2B8F"/>
    <w:rsid w:val="009C34BF"/>
    <w:rsid w:val="009C3790"/>
    <w:rsid w:val="009C39F3"/>
    <w:rsid w:val="009C3BEC"/>
    <w:rsid w:val="009C3C42"/>
    <w:rsid w:val="009C3CAB"/>
    <w:rsid w:val="009C3F01"/>
    <w:rsid w:val="009C4190"/>
    <w:rsid w:val="009C420B"/>
    <w:rsid w:val="009C4421"/>
    <w:rsid w:val="009C4611"/>
    <w:rsid w:val="009C46CF"/>
    <w:rsid w:val="009C4DA8"/>
    <w:rsid w:val="009C4DB7"/>
    <w:rsid w:val="009C51F1"/>
    <w:rsid w:val="009C5234"/>
    <w:rsid w:val="009C5759"/>
    <w:rsid w:val="009C6104"/>
    <w:rsid w:val="009C64F8"/>
    <w:rsid w:val="009C66B2"/>
    <w:rsid w:val="009C6789"/>
    <w:rsid w:val="009C6B99"/>
    <w:rsid w:val="009C6BC5"/>
    <w:rsid w:val="009C6BE0"/>
    <w:rsid w:val="009C6F07"/>
    <w:rsid w:val="009C6F44"/>
    <w:rsid w:val="009C6FB5"/>
    <w:rsid w:val="009C7177"/>
    <w:rsid w:val="009C760A"/>
    <w:rsid w:val="009C79E9"/>
    <w:rsid w:val="009C7A58"/>
    <w:rsid w:val="009C7AC6"/>
    <w:rsid w:val="009C7DDE"/>
    <w:rsid w:val="009D01A4"/>
    <w:rsid w:val="009D0572"/>
    <w:rsid w:val="009D0683"/>
    <w:rsid w:val="009D0D7A"/>
    <w:rsid w:val="009D14B1"/>
    <w:rsid w:val="009D181E"/>
    <w:rsid w:val="009D1913"/>
    <w:rsid w:val="009D1D72"/>
    <w:rsid w:val="009D1EED"/>
    <w:rsid w:val="009D221D"/>
    <w:rsid w:val="009D23F9"/>
    <w:rsid w:val="009D277E"/>
    <w:rsid w:val="009D28AF"/>
    <w:rsid w:val="009D2CE2"/>
    <w:rsid w:val="009D3089"/>
    <w:rsid w:val="009D3475"/>
    <w:rsid w:val="009D350A"/>
    <w:rsid w:val="009D36B1"/>
    <w:rsid w:val="009D3839"/>
    <w:rsid w:val="009D3E1B"/>
    <w:rsid w:val="009D3EBD"/>
    <w:rsid w:val="009D3F0E"/>
    <w:rsid w:val="009D40CD"/>
    <w:rsid w:val="009D4147"/>
    <w:rsid w:val="009D487A"/>
    <w:rsid w:val="009D4BBF"/>
    <w:rsid w:val="009D4D56"/>
    <w:rsid w:val="009D51A5"/>
    <w:rsid w:val="009D5314"/>
    <w:rsid w:val="009D53E4"/>
    <w:rsid w:val="009D58D8"/>
    <w:rsid w:val="009D59B1"/>
    <w:rsid w:val="009D5A67"/>
    <w:rsid w:val="009D5B59"/>
    <w:rsid w:val="009D5DDA"/>
    <w:rsid w:val="009D5F10"/>
    <w:rsid w:val="009D65BA"/>
    <w:rsid w:val="009D67F6"/>
    <w:rsid w:val="009D6842"/>
    <w:rsid w:val="009D6C8D"/>
    <w:rsid w:val="009D6D54"/>
    <w:rsid w:val="009D7144"/>
    <w:rsid w:val="009D726B"/>
    <w:rsid w:val="009D7292"/>
    <w:rsid w:val="009D737F"/>
    <w:rsid w:val="009D760F"/>
    <w:rsid w:val="009D7742"/>
    <w:rsid w:val="009E0440"/>
    <w:rsid w:val="009E05F1"/>
    <w:rsid w:val="009E074A"/>
    <w:rsid w:val="009E0937"/>
    <w:rsid w:val="009E0AAC"/>
    <w:rsid w:val="009E0CB0"/>
    <w:rsid w:val="009E1009"/>
    <w:rsid w:val="009E10BE"/>
    <w:rsid w:val="009E1341"/>
    <w:rsid w:val="009E1352"/>
    <w:rsid w:val="009E1589"/>
    <w:rsid w:val="009E159C"/>
    <w:rsid w:val="009E1834"/>
    <w:rsid w:val="009E1E81"/>
    <w:rsid w:val="009E1FE0"/>
    <w:rsid w:val="009E21A9"/>
    <w:rsid w:val="009E21D8"/>
    <w:rsid w:val="009E237E"/>
    <w:rsid w:val="009E248E"/>
    <w:rsid w:val="009E261C"/>
    <w:rsid w:val="009E2CBF"/>
    <w:rsid w:val="009E2D30"/>
    <w:rsid w:val="009E3369"/>
    <w:rsid w:val="009E3426"/>
    <w:rsid w:val="009E3472"/>
    <w:rsid w:val="009E372D"/>
    <w:rsid w:val="009E3754"/>
    <w:rsid w:val="009E37F3"/>
    <w:rsid w:val="009E3AC4"/>
    <w:rsid w:val="009E3D01"/>
    <w:rsid w:val="009E3E95"/>
    <w:rsid w:val="009E3E99"/>
    <w:rsid w:val="009E4652"/>
    <w:rsid w:val="009E4854"/>
    <w:rsid w:val="009E4AA6"/>
    <w:rsid w:val="009E53FD"/>
    <w:rsid w:val="009E552E"/>
    <w:rsid w:val="009E5A14"/>
    <w:rsid w:val="009E5B1F"/>
    <w:rsid w:val="009E5D4C"/>
    <w:rsid w:val="009E6022"/>
    <w:rsid w:val="009E60C5"/>
    <w:rsid w:val="009E6461"/>
    <w:rsid w:val="009E655F"/>
    <w:rsid w:val="009E65AB"/>
    <w:rsid w:val="009E701D"/>
    <w:rsid w:val="009E738C"/>
    <w:rsid w:val="009E754F"/>
    <w:rsid w:val="009E758B"/>
    <w:rsid w:val="009E75A2"/>
    <w:rsid w:val="009E785E"/>
    <w:rsid w:val="009E7D54"/>
    <w:rsid w:val="009F0204"/>
    <w:rsid w:val="009F02BA"/>
    <w:rsid w:val="009F0370"/>
    <w:rsid w:val="009F062A"/>
    <w:rsid w:val="009F0820"/>
    <w:rsid w:val="009F1183"/>
    <w:rsid w:val="009F11DB"/>
    <w:rsid w:val="009F1B59"/>
    <w:rsid w:val="009F1D10"/>
    <w:rsid w:val="009F1EDA"/>
    <w:rsid w:val="009F213E"/>
    <w:rsid w:val="009F2CD2"/>
    <w:rsid w:val="009F3100"/>
    <w:rsid w:val="009F32DE"/>
    <w:rsid w:val="009F343C"/>
    <w:rsid w:val="009F346B"/>
    <w:rsid w:val="009F36CA"/>
    <w:rsid w:val="009F37D8"/>
    <w:rsid w:val="009F3A53"/>
    <w:rsid w:val="009F4830"/>
    <w:rsid w:val="009F49FF"/>
    <w:rsid w:val="009F4B3B"/>
    <w:rsid w:val="009F52B7"/>
    <w:rsid w:val="009F536A"/>
    <w:rsid w:val="009F55B9"/>
    <w:rsid w:val="009F58CC"/>
    <w:rsid w:val="009F5A7B"/>
    <w:rsid w:val="009F5B42"/>
    <w:rsid w:val="009F62B7"/>
    <w:rsid w:val="009F6583"/>
    <w:rsid w:val="009F65FE"/>
    <w:rsid w:val="009F6EC9"/>
    <w:rsid w:val="009F6F1D"/>
    <w:rsid w:val="009F731B"/>
    <w:rsid w:val="009F74B2"/>
    <w:rsid w:val="009F75B0"/>
    <w:rsid w:val="009F7795"/>
    <w:rsid w:val="009F77AD"/>
    <w:rsid w:val="009F77E2"/>
    <w:rsid w:val="009F78A8"/>
    <w:rsid w:val="009F78D3"/>
    <w:rsid w:val="009F7982"/>
    <w:rsid w:val="009F7CD3"/>
    <w:rsid w:val="009F7F84"/>
    <w:rsid w:val="00A004D4"/>
    <w:rsid w:val="00A00641"/>
    <w:rsid w:val="00A0064E"/>
    <w:rsid w:val="00A00DCB"/>
    <w:rsid w:val="00A00E2B"/>
    <w:rsid w:val="00A01152"/>
    <w:rsid w:val="00A0147E"/>
    <w:rsid w:val="00A01EBF"/>
    <w:rsid w:val="00A01FD6"/>
    <w:rsid w:val="00A0218C"/>
    <w:rsid w:val="00A02403"/>
    <w:rsid w:val="00A024F5"/>
    <w:rsid w:val="00A02ACB"/>
    <w:rsid w:val="00A02B29"/>
    <w:rsid w:val="00A02CBB"/>
    <w:rsid w:val="00A02E63"/>
    <w:rsid w:val="00A0300B"/>
    <w:rsid w:val="00A030C9"/>
    <w:rsid w:val="00A03658"/>
    <w:rsid w:val="00A0382B"/>
    <w:rsid w:val="00A0387F"/>
    <w:rsid w:val="00A03A7F"/>
    <w:rsid w:val="00A03AAD"/>
    <w:rsid w:val="00A04418"/>
    <w:rsid w:val="00A04B62"/>
    <w:rsid w:val="00A04D66"/>
    <w:rsid w:val="00A04DC4"/>
    <w:rsid w:val="00A05287"/>
    <w:rsid w:val="00A05334"/>
    <w:rsid w:val="00A05672"/>
    <w:rsid w:val="00A05677"/>
    <w:rsid w:val="00A056FF"/>
    <w:rsid w:val="00A05AB2"/>
    <w:rsid w:val="00A063F0"/>
    <w:rsid w:val="00A0643B"/>
    <w:rsid w:val="00A068AC"/>
    <w:rsid w:val="00A06F7D"/>
    <w:rsid w:val="00A070F6"/>
    <w:rsid w:val="00A07892"/>
    <w:rsid w:val="00A07B93"/>
    <w:rsid w:val="00A07DBE"/>
    <w:rsid w:val="00A10414"/>
    <w:rsid w:val="00A106F2"/>
    <w:rsid w:val="00A106FF"/>
    <w:rsid w:val="00A1090D"/>
    <w:rsid w:val="00A11222"/>
    <w:rsid w:val="00A113E8"/>
    <w:rsid w:val="00A1149B"/>
    <w:rsid w:val="00A115BF"/>
    <w:rsid w:val="00A116A5"/>
    <w:rsid w:val="00A1189A"/>
    <w:rsid w:val="00A11A5F"/>
    <w:rsid w:val="00A11FB3"/>
    <w:rsid w:val="00A11FCE"/>
    <w:rsid w:val="00A121E4"/>
    <w:rsid w:val="00A122E7"/>
    <w:rsid w:val="00A12308"/>
    <w:rsid w:val="00A12404"/>
    <w:rsid w:val="00A12610"/>
    <w:rsid w:val="00A127F1"/>
    <w:rsid w:val="00A12885"/>
    <w:rsid w:val="00A129AD"/>
    <w:rsid w:val="00A12B93"/>
    <w:rsid w:val="00A12EDF"/>
    <w:rsid w:val="00A13098"/>
    <w:rsid w:val="00A13512"/>
    <w:rsid w:val="00A13796"/>
    <w:rsid w:val="00A1391B"/>
    <w:rsid w:val="00A13A08"/>
    <w:rsid w:val="00A13DF5"/>
    <w:rsid w:val="00A1432E"/>
    <w:rsid w:val="00A14830"/>
    <w:rsid w:val="00A148E3"/>
    <w:rsid w:val="00A14BCE"/>
    <w:rsid w:val="00A159B6"/>
    <w:rsid w:val="00A15DE4"/>
    <w:rsid w:val="00A1673A"/>
    <w:rsid w:val="00A168F8"/>
    <w:rsid w:val="00A16ABE"/>
    <w:rsid w:val="00A16B4A"/>
    <w:rsid w:val="00A16E6D"/>
    <w:rsid w:val="00A1708F"/>
    <w:rsid w:val="00A170FB"/>
    <w:rsid w:val="00A172E8"/>
    <w:rsid w:val="00A17951"/>
    <w:rsid w:val="00A17F75"/>
    <w:rsid w:val="00A202A2"/>
    <w:rsid w:val="00A204DB"/>
    <w:rsid w:val="00A20FCA"/>
    <w:rsid w:val="00A21201"/>
    <w:rsid w:val="00A2142E"/>
    <w:rsid w:val="00A2165F"/>
    <w:rsid w:val="00A21BA8"/>
    <w:rsid w:val="00A21ED3"/>
    <w:rsid w:val="00A21FF4"/>
    <w:rsid w:val="00A22481"/>
    <w:rsid w:val="00A22752"/>
    <w:rsid w:val="00A227CC"/>
    <w:rsid w:val="00A227D7"/>
    <w:rsid w:val="00A22BAD"/>
    <w:rsid w:val="00A22C89"/>
    <w:rsid w:val="00A22E60"/>
    <w:rsid w:val="00A23016"/>
    <w:rsid w:val="00A2325C"/>
    <w:rsid w:val="00A237AB"/>
    <w:rsid w:val="00A237DB"/>
    <w:rsid w:val="00A23AE6"/>
    <w:rsid w:val="00A23CBF"/>
    <w:rsid w:val="00A23D4F"/>
    <w:rsid w:val="00A23F58"/>
    <w:rsid w:val="00A23F66"/>
    <w:rsid w:val="00A23F93"/>
    <w:rsid w:val="00A24120"/>
    <w:rsid w:val="00A24160"/>
    <w:rsid w:val="00A24233"/>
    <w:rsid w:val="00A244D1"/>
    <w:rsid w:val="00A2465D"/>
    <w:rsid w:val="00A24808"/>
    <w:rsid w:val="00A24B6B"/>
    <w:rsid w:val="00A24D33"/>
    <w:rsid w:val="00A2528E"/>
    <w:rsid w:val="00A25290"/>
    <w:rsid w:val="00A253EE"/>
    <w:rsid w:val="00A2544F"/>
    <w:rsid w:val="00A25895"/>
    <w:rsid w:val="00A25E13"/>
    <w:rsid w:val="00A25F28"/>
    <w:rsid w:val="00A26062"/>
    <w:rsid w:val="00A260AB"/>
    <w:rsid w:val="00A264E4"/>
    <w:rsid w:val="00A2659B"/>
    <w:rsid w:val="00A267AC"/>
    <w:rsid w:val="00A26CF5"/>
    <w:rsid w:val="00A27001"/>
    <w:rsid w:val="00A270F4"/>
    <w:rsid w:val="00A27156"/>
    <w:rsid w:val="00A27229"/>
    <w:rsid w:val="00A27392"/>
    <w:rsid w:val="00A2747C"/>
    <w:rsid w:val="00A2752A"/>
    <w:rsid w:val="00A27795"/>
    <w:rsid w:val="00A277F2"/>
    <w:rsid w:val="00A278AF"/>
    <w:rsid w:val="00A27B47"/>
    <w:rsid w:val="00A27D95"/>
    <w:rsid w:val="00A303D5"/>
    <w:rsid w:val="00A30627"/>
    <w:rsid w:val="00A30769"/>
    <w:rsid w:val="00A30DE2"/>
    <w:rsid w:val="00A30EE1"/>
    <w:rsid w:val="00A30FAE"/>
    <w:rsid w:val="00A31543"/>
    <w:rsid w:val="00A31680"/>
    <w:rsid w:val="00A31713"/>
    <w:rsid w:val="00A3176F"/>
    <w:rsid w:val="00A31891"/>
    <w:rsid w:val="00A31A92"/>
    <w:rsid w:val="00A31BC9"/>
    <w:rsid w:val="00A31C6D"/>
    <w:rsid w:val="00A31EC4"/>
    <w:rsid w:val="00A32254"/>
    <w:rsid w:val="00A3229B"/>
    <w:rsid w:val="00A3244A"/>
    <w:rsid w:val="00A32697"/>
    <w:rsid w:val="00A328AD"/>
    <w:rsid w:val="00A328B0"/>
    <w:rsid w:val="00A328ED"/>
    <w:rsid w:val="00A331BE"/>
    <w:rsid w:val="00A3335A"/>
    <w:rsid w:val="00A33540"/>
    <w:rsid w:val="00A33576"/>
    <w:rsid w:val="00A33652"/>
    <w:rsid w:val="00A336CA"/>
    <w:rsid w:val="00A339CD"/>
    <w:rsid w:val="00A339D0"/>
    <w:rsid w:val="00A33B5B"/>
    <w:rsid w:val="00A33BF3"/>
    <w:rsid w:val="00A33F5C"/>
    <w:rsid w:val="00A34190"/>
    <w:rsid w:val="00A3422F"/>
    <w:rsid w:val="00A343E9"/>
    <w:rsid w:val="00A3442F"/>
    <w:rsid w:val="00A3453C"/>
    <w:rsid w:val="00A34580"/>
    <w:rsid w:val="00A3491D"/>
    <w:rsid w:val="00A349E9"/>
    <w:rsid w:val="00A34FBA"/>
    <w:rsid w:val="00A34FDD"/>
    <w:rsid w:val="00A35265"/>
    <w:rsid w:val="00A352D9"/>
    <w:rsid w:val="00A35886"/>
    <w:rsid w:val="00A359C6"/>
    <w:rsid w:val="00A35AD3"/>
    <w:rsid w:val="00A35EBC"/>
    <w:rsid w:val="00A35FF7"/>
    <w:rsid w:val="00A3631E"/>
    <w:rsid w:val="00A36565"/>
    <w:rsid w:val="00A36615"/>
    <w:rsid w:val="00A36966"/>
    <w:rsid w:val="00A371AF"/>
    <w:rsid w:val="00A372B6"/>
    <w:rsid w:val="00A3738E"/>
    <w:rsid w:val="00A37802"/>
    <w:rsid w:val="00A37B1D"/>
    <w:rsid w:val="00A37ECF"/>
    <w:rsid w:val="00A37F9A"/>
    <w:rsid w:val="00A402B3"/>
    <w:rsid w:val="00A402F8"/>
    <w:rsid w:val="00A40368"/>
    <w:rsid w:val="00A40595"/>
    <w:rsid w:val="00A40D2E"/>
    <w:rsid w:val="00A415AE"/>
    <w:rsid w:val="00A4173C"/>
    <w:rsid w:val="00A41978"/>
    <w:rsid w:val="00A42508"/>
    <w:rsid w:val="00A4263F"/>
    <w:rsid w:val="00A428B3"/>
    <w:rsid w:val="00A42998"/>
    <w:rsid w:val="00A42A9A"/>
    <w:rsid w:val="00A42B67"/>
    <w:rsid w:val="00A42CAA"/>
    <w:rsid w:val="00A42D4B"/>
    <w:rsid w:val="00A43049"/>
    <w:rsid w:val="00A43054"/>
    <w:rsid w:val="00A43958"/>
    <w:rsid w:val="00A4398F"/>
    <w:rsid w:val="00A43ADA"/>
    <w:rsid w:val="00A43AF0"/>
    <w:rsid w:val="00A43E7E"/>
    <w:rsid w:val="00A43ED6"/>
    <w:rsid w:val="00A43F8F"/>
    <w:rsid w:val="00A4456C"/>
    <w:rsid w:val="00A4469F"/>
    <w:rsid w:val="00A44917"/>
    <w:rsid w:val="00A44945"/>
    <w:rsid w:val="00A44A17"/>
    <w:rsid w:val="00A44B10"/>
    <w:rsid w:val="00A44C47"/>
    <w:rsid w:val="00A44D3D"/>
    <w:rsid w:val="00A44FC7"/>
    <w:rsid w:val="00A4510E"/>
    <w:rsid w:val="00A45110"/>
    <w:rsid w:val="00A45218"/>
    <w:rsid w:val="00A457AA"/>
    <w:rsid w:val="00A45BAB"/>
    <w:rsid w:val="00A465A7"/>
    <w:rsid w:val="00A465AF"/>
    <w:rsid w:val="00A46600"/>
    <w:rsid w:val="00A466E3"/>
    <w:rsid w:val="00A469F3"/>
    <w:rsid w:val="00A46A92"/>
    <w:rsid w:val="00A46B03"/>
    <w:rsid w:val="00A46CCB"/>
    <w:rsid w:val="00A46D78"/>
    <w:rsid w:val="00A46EEC"/>
    <w:rsid w:val="00A47059"/>
    <w:rsid w:val="00A47252"/>
    <w:rsid w:val="00A474B3"/>
    <w:rsid w:val="00A474DC"/>
    <w:rsid w:val="00A47654"/>
    <w:rsid w:val="00A477BA"/>
    <w:rsid w:val="00A47844"/>
    <w:rsid w:val="00A47988"/>
    <w:rsid w:val="00A47B31"/>
    <w:rsid w:val="00A50D22"/>
    <w:rsid w:val="00A5115B"/>
    <w:rsid w:val="00A51332"/>
    <w:rsid w:val="00A51565"/>
    <w:rsid w:val="00A515DD"/>
    <w:rsid w:val="00A519AA"/>
    <w:rsid w:val="00A51A27"/>
    <w:rsid w:val="00A51B3C"/>
    <w:rsid w:val="00A526C8"/>
    <w:rsid w:val="00A52879"/>
    <w:rsid w:val="00A5324C"/>
    <w:rsid w:val="00A53B09"/>
    <w:rsid w:val="00A53B51"/>
    <w:rsid w:val="00A543F1"/>
    <w:rsid w:val="00A54524"/>
    <w:rsid w:val="00A54783"/>
    <w:rsid w:val="00A54980"/>
    <w:rsid w:val="00A54BA5"/>
    <w:rsid w:val="00A54C82"/>
    <w:rsid w:val="00A54CD6"/>
    <w:rsid w:val="00A54CDF"/>
    <w:rsid w:val="00A559E9"/>
    <w:rsid w:val="00A55BAA"/>
    <w:rsid w:val="00A55C7B"/>
    <w:rsid w:val="00A55E94"/>
    <w:rsid w:val="00A55EB1"/>
    <w:rsid w:val="00A55F00"/>
    <w:rsid w:val="00A55F3F"/>
    <w:rsid w:val="00A55FD7"/>
    <w:rsid w:val="00A560AC"/>
    <w:rsid w:val="00A563BB"/>
    <w:rsid w:val="00A563D8"/>
    <w:rsid w:val="00A56474"/>
    <w:rsid w:val="00A5666B"/>
    <w:rsid w:val="00A56754"/>
    <w:rsid w:val="00A56B50"/>
    <w:rsid w:val="00A56BC3"/>
    <w:rsid w:val="00A56CD5"/>
    <w:rsid w:val="00A56F86"/>
    <w:rsid w:val="00A570A6"/>
    <w:rsid w:val="00A57321"/>
    <w:rsid w:val="00A57746"/>
    <w:rsid w:val="00A579D6"/>
    <w:rsid w:val="00A57AEA"/>
    <w:rsid w:val="00A57D60"/>
    <w:rsid w:val="00A60042"/>
    <w:rsid w:val="00A60146"/>
    <w:rsid w:val="00A60B26"/>
    <w:rsid w:val="00A60B4D"/>
    <w:rsid w:val="00A60BFC"/>
    <w:rsid w:val="00A60C6E"/>
    <w:rsid w:val="00A60E5A"/>
    <w:rsid w:val="00A614A4"/>
    <w:rsid w:val="00A616A1"/>
    <w:rsid w:val="00A617AD"/>
    <w:rsid w:val="00A61B9D"/>
    <w:rsid w:val="00A62375"/>
    <w:rsid w:val="00A624EB"/>
    <w:rsid w:val="00A62A01"/>
    <w:rsid w:val="00A62A5C"/>
    <w:rsid w:val="00A62D24"/>
    <w:rsid w:val="00A62D99"/>
    <w:rsid w:val="00A62E9B"/>
    <w:rsid w:val="00A62F29"/>
    <w:rsid w:val="00A62F67"/>
    <w:rsid w:val="00A632A6"/>
    <w:rsid w:val="00A632D7"/>
    <w:rsid w:val="00A63877"/>
    <w:rsid w:val="00A638D2"/>
    <w:rsid w:val="00A63950"/>
    <w:rsid w:val="00A63C91"/>
    <w:rsid w:val="00A6417A"/>
    <w:rsid w:val="00A6428D"/>
    <w:rsid w:val="00A642BD"/>
    <w:rsid w:val="00A64C7C"/>
    <w:rsid w:val="00A64F54"/>
    <w:rsid w:val="00A64F9B"/>
    <w:rsid w:val="00A652B1"/>
    <w:rsid w:val="00A65524"/>
    <w:rsid w:val="00A65838"/>
    <w:rsid w:val="00A6595D"/>
    <w:rsid w:val="00A65F10"/>
    <w:rsid w:val="00A66069"/>
    <w:rsid w:val="00A6608E"/>
    <w:rsid w:val="00A6676E"/>
    <w:rsid w:val="00A667DD"/>
    <w:rsid w:val="00A6691E"/>
    <w:rsid w:val="00A66B83"/>
    <w:rsid w:val="00A66BAF"/>
    <w:rsid w:val="00A66C4D"/>
    <w:rsid w:val="00A66D70"/>
    <w:rsid w:val="00A66DB7"/>
    <w:rsid w:val="00A67374"/>
    <w:rsid w:val="00A675D0"/>
    <w:rsid w:val="00A67846"/>
    <w:rsid w:val="00A67940"/>
    <w:rsid w:val="00A67B1B"/>
    <w:rsid w:val="00A70040"/>
    <w:rsid w:val="00A7011F"/>
    <w:rsid w:val="00A70215"/>
    <w:rsid w:val="00A702BC"/>
    <w:rsid w:val="00A7038A"/>
    <w:rsid w:val="00A703E6"/>
    <w:rsid w:val="00A70400"/>
    <w:rsid w:val="00A70503"/>
    <w:rsid w:val="00A705CD"/>
    <w:rsid w:val="00A707AC"/>
    <w:rsid w:val="00A7085F"/>
    <w:rsid w:val="00A708E6"/>
    <w:rsid w:val="00A70971"/>
    <w:rsid w:val="00A70B4A"/>
    <w:rsid w:val="00A71046"/>
    <w:rsid w:val="00A712C0"/>
    <w:rsid w:val="00A712F5"/>
    <w:rsid w:val="00A7144A"/>
    <w:rsid w:val="00A714E2"/>
    <w:rsid w:val="00A716CA"/>
    <w:rsid w:val="00A718AA"/>
    <w:rsid w:val="00A71990"/>
    <w:rsid w:val="00A71B22"/>
    <w:rsid w:val="00A71D2D"/>
    <w:rsid w:val="00A720D0"/>
    <w:rsid w:val="00A7210F"/>
    <w:rsid w:val="00A72364"/>
    <w:rsid w:val="00A72612"/>
    <w:rsid w:val="00A72D17"/>
    <w:rsid w:val="00A72F55"/>
    <w:rsid w:val="00A730C9"/>
    <w:rsid w:val="00A73382"/>
    <w:rsid w:val="00A73A9D"/>
    <w:rsid w:val="00A73D19"/>
    <w:rsid w:val="00A73DC4"/>
    <w:rsid w:val="00A73E05"/>
    <w:rsid w:val="00A73FD3"/>
    <w:rsid w:val="00A74351"/>
    <w:rsid w:val="00A74382"/>
    <w:rsid w:val="00A744EE"/>
    <w:rsid w:val="00A746AE"/>
    <w:rsid w:val="00A749DE"/>
    <w:rsid w:val="00A74AF1"/>
    <w:rsid w:val="00A75098"/>
    <w:rsid w:val="00A75121"/>
    <w:rsid w:val="00A75173"/>
    <w:rsid w:val="00A75402"/>
    <w:rsid w:val="00A75405"/>
    <w:rsid w:val="00A7573C"/>
    <w:rsid w:val="00A759A3"/>
    <w:rsid w:val="00A75AEA"/>
    <w:rsid w:val="00A75C15"/>
    <w:rsid w:val="00A7612F"/>
    <w:rsid w:val="00A76153"/>
    <w:rsid w:val="00A769F8"/>
    <w:rsid w:val="00A76FED"/>
    <w:rsid w:val="00A77183"/>
    <w:rsid w:val="00A77330"/>
    <w:rsid w:val="00A77C3C"/>
    <w:rsid w:val="00A77C6C"/>
    <w:rsid w:val="00A77CB6"/>
    <w:rsid w:val="00A77FED"/>
    <w:rsid w:val="00A8040F"/>
    <w:rsid w:val="00A8093B"/>
    <w:rsid w:val="00A80977"/>
    <w:rsid w:val="00A80F21"/>
    <w:rsid w:val="00A81383"/>
    <w:rsid w:val="00A81788"/>
    <w:rsid w:val="00A81B19"/>
    <w:rsid w:val="00A81C4C"/>
    <w:rsid w:val="00A82013"/>
    <w:rsid w:val="00A8219D"/>
    <w:rsid w:val="00A821B2"/>
    <w:rsid w:val="00A8225A"/>
    <w:rsid w:val="00A82449"/>
    <w:rsid w:val="00A8270C"/>
    <w:rsid w:val="00A829FA"/>
    <w:rsid w:val="00A82E26"/>
    <w:rsid w:val="00A82F0D"/>
    <w:rsid w:val="00A82FB4"/>
    <w:rsid w:val="00A83431"/>
    <w:rsid w:val="00A8361B"/>
    <w:rsid w:val="00A83620"/>
    <w:rsid w:val="00A838E3"/>
    <w:rsid w:val="00A84168"/>
    <w:rsid w:val="00A84A7C"/>
    <w:rsid w:val="00A84D8A"/>
    <w:rsid w:val="00A8515D"/>
    <w:rsid w:val="00A85361"/>
    <w:rsid w:val="00A8549A"/>
    <w:rsid w:val="00A857C9"/>
    <w:rsid w:val="00A85936"/>
    <w:rsid w:val="00A8594F"/>
    <w:rsid w:val="00A85B7D"/>
    <w:rsid w:val="00A85BFB"/>
    <w:rsid w:val="00A85EFA"/>
    <w:rsid w:val="00A85F08"/>
    <w:rsid w:val="00A8618C"/>
    <w:rsid w:val="00A861E3"/>
    <w:rsid w:val="00A864CC"/>
    <w:rsid w:val="00A8663A"/>
    <w:rsid w:val="00A86A24"/>
    <w:rsid w:val="00A8714E"/>
    <w:rsid w:val="00A874B2"/>
    <w:rsid w:val="00A8750C"/>
    <w:rsid w:val="00A87A86"/>
    <w:rsid w:val="00A87E0A"/>
    <w:rsid w:val="00A87F5D"/>
    <w:rsid w:val="00A90078"/>
    <w:rsid w:val="00A900A6"/>
    <w:rsid w:val="00A90288"/>
    <w:rsid w:val="00A9048C"/>
    <w:rsid w:val="00A90DCB"/>
    <w:rsid w:val="00A90EC6"/>
    <w:rsid w:val="00A91073"/>
    <w:rsid w:val="00A910AE"/>
    <w:rsid w:val="00A910D0"/>
    <w:rsid w:val="00A91208"/>
    <w:rsid w:val="00A913BF"/>
    <w:rsid w:val="00A91998"/>
    <w:rsid w:val="00A923D3"/>
    <w:rsid w:val="00A926A3"/>
    <w:rsid w:val="00A926FD"/>
    <w:rsid w:val="00A9291C"/>
    <w:rsid w:val="00A92FB5"/>
    <w:rsid w:val="00A93117"/>
    <w:rsid w:val="00A93240"/>
    <w:rsid w:val="00A93D5D"/>
    <w:rsid w:val="00A93DC1"/>
    <w:rsid w:val="00A947C1"/>
    <w:rsid w:val="00A947E3"/>
    <w:rsid w:val="00A94C93"/>
    <w:rsid w:val="00A94FDA"/>
    <w:rsid w:val="00A95015"/>
    <w:rsid w:val="00A9508E"/>
    <w:rsid w:val="00A951A3"/>
    <w:rsid w:val="00A951F6"/>
    <w:rsid w:val="00A95B28"/>
    <w:rsid w:val="00A95D3B"/>
    <w:rsid w:val="00A95FAB"/>
    <w:rsid w:val="00A96041"/>
    <w:rsid w:val="00A962FC"/>
    <w:rsid w:val="00A96361"/>
    <w:rsid w:val="00A96402"/>
    <w:rsid w:val="00A96676"/>
    <w:rsid w:val="00A967DF"/>
    <w:rsid w:val="00A96AF6"/>
    <w:rsid w:val="00A96C39"/>
    <w:rsid w:val="00A96C60"/>
    <w:rsid w:val="00A96D36"/>
    <w:rsid w:val="00A96DE3"/>
    <w:rsid w:val="00A9700D"/>
    <w:rsid w:val="00A97552"/>
    <w:rsid w:val="00A97757"/>
    <w:rsid w:val="00A9791A"/>
    <w:rsid w:val="00A97926"/>
    <w:rsid w:val="00AA0031"/>
    <w:rsid w:val="00AA02C6"/>
    <w:rsid w:val="00AA041E"/>
    <w:rsid w:val="00AA062E"/>
    <w:rsid w:val="00AA06C9"/>
    <w:rsid w:val="00AA08E7"/>
    <w:rsid w:val="00AA09C4"/>
    <w:rsid w:val="00AA0E65"/>
    <w:rsid w:val="00AA1676"/>
    <w:rsid w:val="00AA1936"/>
    <w:rsid w:val="00AA1B35"/>
    <w:rsid w:val="00AA1CCF"/>
    <w:rsid w:val="00AA1F30"/>
    <w:rsid w:val="00AA2219"/>
    <w:rsid w:val="00AA2280"/>
    <w:rsid w:val="00AA2468"/>
    <w:rsid w:val="00AA253F"/>
    <w:rsid w:val="00AA2E38"/>
    <w:rsid w:val="00AA2F3C"/>
    <w:rsid w:val="00AA336D"/>
    <w:rsid w:val="00AA3BD1"/>
    <w:rsid w:val="00AA3E72"/>
    <w:rsid w:val="00AA419C"/>
    <w:rsid w:val="00AA463B"/>
    <w:rsid w:val="00AA4725"/>
    <w:rsid w:val="00AA47E9"/>
    <w:rsid w:val="00AA4D3A"/>
    <w:rsid w:val="00AA4F69"/>
    <w:rsid w:val="00AA4FE9"/>
    <w:rsid w:val="00AA5520"/>
    <w:rsid w:val="00AA584B"/>
    <w:rsid w:val="00AA5AA4"/>
    <w:rsid w:val="00AA5F64"/>
    <w:rsid w:val="00AA61C5"/>
    <w:rsid w:val="00AA621C"/>
    <w:rsid w:val="00AA644A"/>
    <w:rsid w:val="00AA6E8B"/>
    <w:rsid w:val="00AA6F96"/>
    <w:rsid w:val="00AA6FEB"/>
    <w:rsid w:val="00AA7111"/>
    <w:rsid w:val="00AA7178"/>
    <w:rsid w:val="00AA7C8C"/>
    <w:rsid w:val="00AB0683"/>
    <w:rsid w:val="00AB0A0B"/>
    <w:rsid w:val="00AB0A8F"/>
    <w:rsid w:val="00AB0B29"/>
    <w:rsid w:val="00AB0BD1"/>
    <w:rsid w:val="00AB0D1A"/>
    <w:rsid w:val="00AB11BA"/>
    <w:rsid w:val="00AB1352"/>
    <w:rsid w:val="00AB1398"/>
    <w:rsid w:val="00AB165D"/>
    <w:rsid w:val="00AB183A"/>
    <w:rsid w:val="00AB18C7"/>
    <w:rsid w:val="00AB2174"/>
    <w:rsid w:val="00AB243B"/>
    <w:rsid w:val="00AB27D5"/>
    <w:rsid w:val="00AB29ED"/>
    <w:rsid w:val="00AB2D1A"/>
    <w:rsid w:val="00AB36FE"/>
    <w:rsid w:val="00AB374A"/>
    <w:rsid w:val="00AB4037"/>
    <w:rsid w:val="00AB4151"/>
    <w:rsid w:val="00AB442E"/>
    <w:rsid w:val="00AB47A7"/>
    <w:rsid w:val="00AB47D1"/>
    <w:rsid w:val="00AB47DE"/>
    <w:rsid w:val="00AB4BF2"/>
    <w:rsid w:val="00AB4DC1"/>
    <w:rsid w:val="00AB4ECA"/>
    <w:rsid w:val="00AB52F0"/>
    <w:rsid w:val="00AB564C"/>
    <w:rsid w:val="00AB5797"/>
    <w:rsid w:val="00AB5834"/>
    <w:rsid w:val="00AB59F2"/>
    <w:rsid w:val="00AB5AA0"/>
    <w:rsid w:val="00AB60DC"/>
    <w:rsid w:val="00AB61EA"/>
    <w:rsid w:val="00AB63C8"/>
    <w:rsid w:val="00AB6550"/>
    <w:rsid w:val="00AB65BE"/>
    <w:rsid w:val="00AB6764"/>
    <w:rsid w:val="00AB6870"/>
    <w:rsid w:val="00AB6904"/>
    <w:rsid w:val="00AB6B68"/>
    <w:rsid w:val="00AB6C5D"/>
    <w:rsid w:val="00AB6D0C"/>
    <w:rsid w:val="00AB6EE4"/>
    <w:rsid w:val="00AB6FF6"/>
    <w:rsid w:val="00AB7182"/>
    <w:rsid w:val="00AB7458"/>
    <w:rsid w:val="00AB794A"/>
    <w:rsid w:val="00AB79C3"/>
    <w:rsid w:val="00AB7C5C"/>
    <w:rsid w:val="00AB7E3D"/>
    <w:rsid w:val="00AB7F1C"/>
    <w:rsid w:val="00AC022D"/>
    <w:rsid w:val="00AC0280"/>
    <w:rsid w:val="00AC037B"/>
    <w:rsid w:val="00AC0523"/>
    <w:rsid w:val="00AC0B47"/>
    <w:rsid w:val="00AC0C8E"/>
    <w:rsid w:val="00AC0CB1"/>
    <w:rsid w:val="00AC0ED0"/>
    <w:rsid w:val="00AC0F14"/>
    <w:rsid w:val="00AC12AF"/>
    <w:rsid w:val="00AC164B"/>
    <w:rsid w:val="00AC18C4"/>
    <w:rsid w:val="00AC1DD6"/>
    <w:rsid w:val="00AC1FFA"/>
    <w:rsid w:val="00AC20D1"/>
    <w:rsid w:val="00AC21A7"/>
    <w:rsid w:val="00AC275E"/>
    <w:rsid w:val="00AC2EAF"/>
    <w:rsid w:val="00AC2ED9"/>
    <w:rsid w:val="00AC3160"/>
    <w:rsid w:val="00AC34AE"/>
    <w:rsid w:val="00AC34CE"/>
    <w:rsid w:val="00AC34EC"/>
    <w:rsid w:val="00AC37B7"/>
    <w:rsid w:val="00AC38AF"/>
    <w:rsid w:val="00AC3A3F"/>
    <w:rsid w:val="00AC3B48"/>
    <w:rsid w:val="00AC3DD7"/>
    <w:rsid w:val="00AC3EC8"/>
    <w:rsid w:val="00AC40D8"/>
    <w:rsid w:val="00AC43E8"/>
    <w:rsid w:val="00AC44C9"/>
    <w:rsid w:val="00AC481C"/>
    <w:rsid w:val="00AC484F"/>
    <w:rsid w:val="00AC4AB5"/>
    <w:rsid w:val="00AC4AE1"/>
    <w:rsid w:val="00AC4D1C"/>
    <w:rsid w:val="00AC4D20"/>
    <w:rsid w:val="00AC4DA2"/>
    <w:rsid w:val="00AC5170"/>
    <w:rsid w:val="00AC51D7"/>
    <w:rsid w:val="00AC545E"/>
    <w:rsid w:val="00AC593B"/>
    <w:rsid w:val="00AC59E9"/>
    <w:rsid w:val="00AC5B50"/>
    <w:rsid w:val="00AC5BD1"/>
    <w:rsid w:val="00AC625B"/>
    <w:rsid w:val="00AC62A7"/>
    <w:rsid w:val="00AC62B9"/>
    <w:rsid w:val="00AC65DE"/>
    <w:rsid w:val="00AC6991"/>
    <w:rsid w:val="00AC6DC5"/>
    <w:rsid w:val="00AC6DDE"/>
    <w:rsid w:val="00AC70CC"/>
    <w:rsid w:val="00AC726A"/>
    <w:rsid w:val="00AC7641"/>
    <w:rsid w:val="00AC78C6"/>
    <w:rsid w:val="00AC794C"/>
    <w:rsid w:val="00AC7B99"/>
    <w:rsid w:val="00AC7C5C"/>
    <w:rsid w:val="00AC7FB3"/>
    <w:rsid w:val="00AD0038"/>
    <w:rsid w:val="00AD00F4"/>
    <w:rsid w:val="00AD0444"/>
    <w:rsid w:val="00AD053A"/>
    <w:rsid w:val="00AD069C"/>
    <w:rsid w:val="00AD0804"/>
    <w:rsid w:val="00AD080B"/>
    <w:rsid w:val="00AD086D"/>
    <w:rsid w:val="00AD0B17"/>
    <w:rsid w:val="00AD0E6A"/>
    <w:rsid w:val="00AD0E77"/>
    <w:rsid w:val="00AD0EEF"/>
    <w:rsid w:val="00AD0F65"/>
    <w:rsid w:val="00AD12F8"/>
    <w:rsid w:val="00AD13F8"/>
    <w:rsid w:val="00AD1427"/>
    <w:rsid w:val="00AD17D6"/>
    <w:rsid w:val="00AD185E"/>
    <w:rsid w:val="00AD2024"/>
    <w:rsid w:val="00AD2A33"/>
    <w:rsid w:val="00AD2A4F"/>
    <w:rsid w:val="00AD2A86"/>
    <w:rsid w:val="00AD2AF4"/>
    <w:rsid w:val="00AD2C1F"/>
    <w:rsid w:val="00AD31A5"/>
    <w:rsid w:val="00AD344B"/>
    <w:rsid w:val="00AD3560"/>
    <w:rsid w:val="00AD3B85"/>
    <w:rsid w:val="00AD3CD2"/>
    <w:rsid w:val="00AD3CE2"/>
    <w:rsid w:val="00AD4361"/>
    <w:rsid w:val="00AD471D"/>
    <w:rsid w:val="00AD4D05"/>
    <w:rsid w:val="00AD4D17"/>
    <w:rsid w:val="00AD4EA5"/>
    <w:rsid w:val="00AD5A27"/>
    <w:rsid w:val="00AD60A1"/>
    <w:rsid w:val="00AD6A87"/>
    <w:rsid w:val="00AD6BCA"/>
    <w:rsid w:val="00AD6CF0"/>
    <w:rsid w:val="00AD71FB"/>
    <w:rsid w:val="00AD721B"/>
    <w:rsid w:val="00AD759D"/>
    <w:rsid w:val="00AD7608"/>
    <w:rsid w:val="00AD7772"/>
    <w:rsid w:val="00AD77BF"/>
    <w:rsid w:val="00AD77E8"/>
    <w:rsid w:val="00AD7A6C"/>
    <w:rsid w:val="00AD7BEE"/>
    <w:rsid w:val="00AE01EC"/>
    <w:rsid w:val="00AE0203"/>
    <w:rsid w:val="00AE0357"/>
    <w:rsid w:val="00AE0745"/>
    <w:rsid w:val="00AE0BE1"/>
    <w:rsid w:val="00AE0CFB"/>
    <w:rsid w:val="00AE0D21"/>
    <w:rsid w:val="00AE1273"/>
    <w:rsid w:val="00AE137E"/>
    <w:rsid w:val="00AE1442"/>
    <w:rsid w:val="00AE14C1"/>
    <w:rsid w:val="00AE18B3"/>
    <w:rsid w:val="00AE1A65"/>
    <w:rsid w:val="00AE1CED"/>
    <w:rsid w:val="00AE1D3B"/>
    <w:rsid w:val="00AE1E12"/>
    <w:rsid w:val="00AE2057"/>
    <w:rsid w:val="00AE2088"/>
    <w:rsid w:val="00AE20A5"/>
    <w:rsid w:val="00AE2155"/>
    <w:rsid w:val="00AE217D"/>
    <w:rsid w:val="00AE22CD"/>
    <w:rsid w:val="00AE23A6"/>
    <w:rsid w:val="00AE286D"/>
    <w:rsid w:val="00AE2877"/>
    <w:rsid w:val="00AE29C6"/>
    <w:rsid w:val="00AE2B92"/>
    <w:rsid w:val="00AE313E"/>
    <w:rsid w:val="00AE37F9"/>
    <w:rsid w:val="00AE39E3"/>
    <w:rsid w:val="00AE3A15"/>
    <w:rsid w:val="00AE425C"/>
    <w:rsid w:val="00AE439A"/>
    <w:rsid w:val="00AE44CC"/>
    <w:rsid w:val="00AE45F1"/>
    <w:rsid w:val="00AE47DF"/>
    <w:rsid w:val="00AE4977"/>
    <w:rsid w:val="00AE540E"/>
    <w:rsid w:val="00AE5924"/>
    <w:rsid w:val="00AE5A4F"/>
    <w:rsid w:val="00AE5F6E"/>
    <w:rsid w:val="00AE60EC"/>
    <w:rsid w:val="00AE652C"/>
    <w:rsid w:val="00AE66B1"/>
    <w:rsid w:val="00AE67D7"/>
    <w:rsid w:val="00AE6CB0"/>
    <w:rsid w:val="00AE6E70"/>
    <w:rsid w:val="00AE70BB"/>
    <w:rsid w:val="00AE7564"/>
    <w:rsid w:val="00AE7742"/>
    <w:rsid w:val="00AE7C1E"/>
    <w:rsid w:val="00AE7E31"/>
    <w:rsid w:val="00AF01BF"/>
    <w:rsid w:val="00AF01E1"/>
    <w:rsid w:val="00AF056F"/>
    <w:rsid w:val="00AF05AF"/>
    <w:rsid w:val="00AF0732"/>
    <w:rsid w:val="00AF0B5B"/>
    <w:rsid w:val="00AF0C2F"/>
    <w:rsid w:val="00AF0C4B"/>
    <w:rsid w:val="00AF0D1B"/>
    <w:rsid w:val="00AF0DD6"/>
    <w:rsid w:val="00AF1060"/>
    <w:rsid w:val="00AF1317"/>
    <w:rsid w:val="00AF1330"/>
    <w:rsid w:val="00AF1731"/>
    <w:rsid w:val="00AF1812"/>
    <w:rsid w:val="00AF19A7"/>
    <w:rsid w:val="00AF1C13"/>
    <w:rsid w:val="00AF21D9"/>
    <w:rsid w:val="00AF242D"/>
    <w:rsid w:val="00AF242E"/>
    <w:rsid w:val="00AF26B4"/>
    <w:rsid w:val="00AF2710"/>
    <w:rsid w:val="00AF2853"/>
    <w:rsid w:val="00AF308E"/>
    <w:rsid w:val="00AF3394"/>
    <w:rsid w:val="00AF346A"/>
    <w:rsid w:val="00AF354E"/>
    <w:rsid w:val="00AF38C2"/>
    <w:rsid w:val="00AF38DB"/>
    <w:rsid w:val="00AF4194"/>
    <w:rsid w:val="00AF431B"/>
    <w:rsid w:val="00AF4455"/>
    <w:rsid w:val="00AF457C"/>
    <w:rsid w:val="00AF476D"/>
    <w:rsid w:val="00AF48BA"/>
    <w:rsid w:val="00AF4A0F"/>
    <w:rsid w:val="00AF4B69"/>
    <w:rsid w:val="00AF4C8A"/>
    <w:rsid w:val="00AF4DBA"/>
    <w:rsid w:val="00AF4FB8"/>
    <w:rsid w:val="00AF569A"/>
    <w:rsid w:val="00AF5A5E"/>
    <w:rsid w:val="00AF5F07"/>
    <w:rsid w:val="00AF5FF3"/>
    <w:rsid w:val="00AF6343"/>
    <w:rsid w:val="00AF660E"/>
    <w:rsid w:val="00AF67C9"/>
    <w:rsid w:val="00AF68EA"/>
    <w:rsid w:val="00AF6905"/>
    <w:rsid w:val="00AF69C3"/>
    <w:rsid w:val="00AF6C73"/>
    <w:rsid w:val="00AF6C7E"/>
    <w:rsid w:val="00AF709E"/>
    <w:rsid w:val="00AF7172"/>
    <w:rsid w:val="00AF7296"/>
    <w:rsid w:val="00AF735D"/>
    <w:rsid w:val="00AF75AE"/>
    <w:rsid w:val="00AF7880"/>
    <w:rsid w:val="00AF7AAE"/>
    <w:rsid w:val="00AF7ACB"/>
    <w:rsid w:val="00AF7BF8"/>
    <w:rsid w:val="00B0005A"/>
    <w:rsid w:val="00B00208"/>
    <w:rsid w:val="00B0062C"/>
    <w:rsid w:val="00B007F5"/>
    <w:rsid w:val="00B00834"/>
    <w:rsid w:val="00B01666"/>
    <w:rsid w:val="00B01C6E"/>
    <w:rsid w:val="00B02253"/>
    <w:rsid w:val="00B0225F"/>
    <w:rsid w:val="00B024CD"/>
    <w:rsid w:val="00B02B7E"/>
    <w:rsid w:val="00B02D47"/>
    <w:rsid w:val="00B031FD"/>
    <w:rsid w:val="00B03AC8"/>
    <w:rsid w:val="00B03DE9"/>
    <w:rsid w:val="00B03E3E"/>
    <w:rsid w:val="00B042B7"/>
    <w:rsid w:val="00B04BCB"/>
    <w:rsid w:val="00B0507B"/>
    <w:rsid w:val="00B05311"/>
    <w:rsid w:val="00B05334"/>
    <w:rsid w:val="00B0561C"/>
    <w:rsid w:val="00B05C5C"/>
    <w:rsid w:val="00B05CB4"/>
    <w:rsid w:val="00B05D8F"/>
    <w:rsid w:val="00B05F40"/>
    <w:rsid w:val="00B05F85"/>
    <w:rsid w:val="00B06592"/>
    <w:rsid w:val="00B06748"/>
    <w:rsid w:val="00B06F8D"/>
    <w:rsid w:val="00B071CC"/>
    <w:rsid w:val="00B077AC"/>
    <w:rsid w:val="00B078F6"/>
    <w:rsid w:val="00B07A31"/>
    <w:rsid w:val="00B07D9B"/>
    <w:rsid w:val="00B07FA5"/>
    <w:rsid w:val="00B07FBB"/>
    <w:rsid w:val="00B07FF2"/>
    <w:rsid w:val="00B1004B"/>
    <w:rsid w:val="00B10539"/>
    <w:rsid w:val="00B106A2"/>
    <w:rsid w:val="00B10707"/>
    <w:rsid w:val="00B10B1E"/>
    <w:rsid w:val="00B10B3C"/>
    <w:rsid w:val="00B10C60"/>
    <w:rsid w:val="00B10CF2"/>
    <w:rsid w:val="00B10D38"/>
    <w:rsid w:val="00B11963"/>
    <w:rsid w:val="00B119B4"/>
    <w:rsid w:val="00B121A5"/>
    <w:rsid w:val="00B124B1"/>
    <w:rsid w:val="00B12518"/>
    <w:rsid w:val="00B1282B"/>
    <w:rsid w:val="00B12915"/>
    <w:rsid w:val="00B12C27"/>
    <w:rsid w:val="00B12FBB"/>
    <w:rsid w:val="00B13011"/>
    <w:rsid w:val="00B1307C"/>
    <w:rsid w:val="00B13330"/>
    <w:rsid w:val="00B13C1E"/>
    <w:rsid w:val="00B13FA6"/>
    <w:rsid w:val="00B14024"/>
    <w:rsid w:val="00B14193"/>
    <w:rsid w:val="00B142B8"/>
    <w:rsid w:val="00B14500"/>
    <w:rsid w:val="00B14630"/>
    <w:rsid w:val="00B1474B"/>
    <w:rsid w:val="00B149A3"/>
    <w:rsid w:val="00B14B3F"/>
    <w:rsid w:val="00B14C5E"/>
    <w:rsid w:val="00B14ED6"/>
    <w:rsid w:val="00B16480"/>
    <w:rsid w:val="00B164F4"/>
    <w:rsid w:val="00B1664C"/>
    <w:rsid w:val="00B16676"/>
    <w:rsid w:val="00B167E4"/>
    <w:rsid w:val="00B171FE"/>
    <w:rsid w:val="00B172DB"/>
    <w:rsid w:val="00B175B8"/>
    <w:rsid w:val="00B1779E"/>
    <w:rsid w:val="00B1786C"/>
    <w:rsid w:val="00B17DE0"/>
    <w:rsid w:val="00B2006C"/>
    <w:rsid w:val="00B200F8"/>
    <w:rsid w:val="00B2024E"/>
    <w:rsid w:val="00B2073B"/>
    <w:rsid w:val="00B20B80"/>
    <w:rsid w:val="00B20B8B"/>
    <w:rsid w:val="00B20C1C"/>
    <w:rsid w:val="00B2105B"/>
    <w:rsid w:val="00B21463"/>
    <w:rsid w:val="00B2159A"/>
    <w:rsid w:val="00B21A8A"/>
    <w:rsid w:val="00B221AA"/>
    <w:rsid w:val="00B222D5"/>
    <w:rsid w:val="00B22473"/>
    <w:rsid w:val="00B226D1"/>
    <w:rsid w:val="00B227B6"/>
    <w:rsid w:val="00B228CD"/>
    <w:rsid w:val="00B228D0"/>
    <w:rsid w:val="00B22B0D"/>
    <w:rsid w:val="00B22FB3"/>
    <w:rsid w:val="00B23091"/>
    <w:rsid w:val="00B23201"/>
    <w:rsid w:val="00B23317"/>
    <w:rsid w:val="00B2365D"/>
    <w:rsid w:val="00B23A11"/>
    <w:rsid w:val="00B23CC7"/>
    <w:rsid w:val="00B23EDC"/>
    <w:rsid w:val="00B241B1"/>
    <w:rsid w:val="00B24248"/>
    <w:rsid w:val="00B24428"/>
    <w:rsid w:val="00B244ED"/>
    <w:rsid w:val="00B24A11"/>
    <w:rsid w:val="00B24D39"/>
    <w:rsid w:val="00B24D84"/>
    <w:rsid w:val="00B24D94"/>
    <w:rsid w:val="00B252A4"/>
    <w:rsid w:val="00B2561D"/>
    <w:rsid w:val="00B256D3"/>
    <w:rsid w:val="00B258F6"/>
    <w:rsid w:val="00B25B01"/>
    <w:rsid w:val="00B2635D"/>
    <w:rsid w:val="00B26373"/>
    <w:rsid w:val="00B263CC"/>
    <w:rsid w:val="00B264DC"/>
    <w:rsid w:val="00B2662F"/>
    <w:rsid w:val="00B2683D"/>
    <w:rsid w:val="00B268A9"/>
    <w:rsid w:val="00B26A8F"/>
    <w:rsid w:val="00B26AE5"/>
    <w:rsid w:val="00B26BED"/>
    <w:rsid w:val="00B26C79"/>
    <w:rsid w:val="00B27470"/>
    <w:rsid w:val="00B274FE"/>
    <w:rsid w:val="00B27563"/>
    <w:rsid w:val="00B278DB"/>
    <w:rsid w:val="00B27D1E"/>
    <w:rsid w:val="00B306C9"/>
    <w:rsid w:val="00B30C5B"/>
    <w:rsid w:val="00B30E1C"/>
    <w:rsid w:val="00B312D4"/>
    <w:rsid w:val="00B313C1"/>
    <w:rsid w:val="00B313EC"/>
    <w:rsid w:val="00B315F1"/>
    <w:rsid w:val="00B3192D"/>
    <w:rsid w:val="00B31AAD"/>
    <w:rsid w:val="00B31BE5"/>
    <w:rsid w:val="00B31D05"/>
    <w:rsid w:val="00B31F64"/>
    <w:rsid w:val="00B320B8"/>
    <w:rsid w:val="00B321EB"/>
    <w:rsid w:val="00B3249B"/>
    <w:rsid w:val="00B328F0"/>
    <w:rsid w:val="00B32983"/>
    <w:rsid w:val="00B329BF"/>
    <w:rsid w:val="00B32DCB"/>
    <w:rsid w:val="00B32DD3"/>
    <w:rsid w:val="00B333FC"/>
    <w:rsid w:val="00B33756"/>
    <w:rsid w:val="00B33795"/>
    <w:rsid w:val="00B33DCA"/>
    <w:rsid w:val="00B34506"/>
    <w:rsid w:val="00B346F5"/>
    <w:rsid w:val="00B348A6"/>
    <w:rsid w:val="00B34D87"/>
    <w:rsid w:val="00B34F53"/>
    <w:rsid w:val="00B35013"/>
    <w:rsid w:val="00B3507E"/>
    <w:rsid w:val="00B3528B"/>
    <w:rsid w:val="00B35711"/>
    <w:rsid w:val="00B35724"/>
    <w:rsid w:val="00B3577C"/>
    <w:rsid w:val="00B359BD"/>
    <w:rsid w:val="00B35AC2"/>
    <w:rsid w:val="00B35E69"/>
    <w:rsid w:val="00B35FD7"/>
    <w:rsid w:val="00B36252"/>
    <w:rsid w:val="00B366BC"/>
    <w:rsid w:val="00B3680F"/>
    <w:rsid w:val="00B36820"/>
    <w:rsid w:val="00B36A00"/>
    <w:rsid w:val="00B36B00"/>
    <w:rsid w:val="00B36BD8"/>
    <w:rsid w:val="00B36C29"/>
    <w:rsid w:val="00B36CCE"/>
    <w:rsid w:val="00B36E05"/>
    <w:rsid w:val="00B36F37"/>
    <w:rsid w:val="00B370AF"/>
    <w:rsid w:val="00B370CA"/>
    <w:rsid w:val="00B377F6"/>
    <w:rsid w:val="00B3787F"/>
    <w:rsid w:val="00B378F0"/>
    <w:rsid w:val="00B37A79"/>
    <w:rsid w:val="00B37B2E"/>
    <w:rsid w:val="00B37EA2"/>
    <w:rsid w:val="00B37F20"/>
    <w:rsid w:val="00B401C6"/>
    <w:rsid w:val="00B40603"/>
    <w:rsid w:val="00B40832"/>
    <w:rsid w:val="00B40984"/>
    <w:rsid w:val="00B40AA0"/>
    <w:rsid w:val="00B40AEB"/>
    <w:rsid w:val="00B40B72"/>
    <w:rsid w:val="00B40BA0"/>
    <w:rsid w:val="00B40C2D"/>
    <w:rsid w:val="00B40DAD"/>
    <w:rsid w:val="00B40E7D"/>
    <w:rsid w:val="00B41007"/>
    <w:rsid w:val="00B41091"/>
    <w:rsid w:val="00B4137E"/>
    <w:rsid w:val="00B41488"/>
    <w:rsid w:val="00B41A89"/>
    <w:rsid w:val="00B41B0C"/>
    <w:rsid w:val="00B41D57"/>
    <w:rsid w:val="00B41D62"/>
    <w:rsid w:val="00B41E00"/>
    <w:rsid w:val="00B42166"/>
    <w:rsid w:val="00B42B12"/>
    <w:rsid w:val="00B42F6A"/>
    <w:rsid w:val="00B43208"/>
    <w:rsid w:val="00B4323B"/>
    <w:rsid w:val="00B432BB"/>
    <w:rsid w:val="00B435CE"/>
    <w:rsid w:val="00B43920"/>
    <w:rsid w:val="00B44107"/>
    <w:rsid w:val="00B4423E"/>
    <w:rsid w:val="00B442BC"/>
    <w:rsid w:val="00B4432D"/>
    <w:rsid w:val="00B447BF"/>
    <w:rsid w:val="00B447D3"/>
    <w:rsid w:val="00B4526E"/>
    <w:rsid w:val="00B452E1"/>
    <w:rsid w:val="00B4547F"/>
    <w:rsid w:val="00B45591"/>
    <w:rsid w:val="00B45FDD"/>
    <w:rsid w:val="00B460C8"/>
    <w:rsid w:val="00B46358"/>
    <w:rsid w:val="00B463E4"/>
    <w:rsid w:val="00B4643F"/>
    <w:rsid w:val="00B46BD8"/>
    <w:rsid w:val="00B46E10"/>
    <w:rsid w:val="00B46E52"/>
    <w:rsid w:val="00B471D8"/>
    <w:rsid w:val="00B47735"/>
    <w:rsid w:val="00B479B1"/>
    <w:rsid w:val="00B47E68"/>
    <w:rsid w:val="00B47E8C"/>
    <w:rsid w:val="00B47F90"/>
    <w:rsid w:val="00B47FD0"/>
    <w:rsid w:val="00B5014B"/>
    <w:rsid w:val="00B50399"/>
    <w:rsid w:val="00B5093A"/>
    <w:rsid w:val="00B50AF9"/>
    <w:rsid w:val="00B50D76"/>
    <w:rsid w:val="00B50F28"/>
    <w:rsid w:val="00B5105D"/>
    <w:rsid w:val="00B5130F"/>
    <w:rsid w:val="00B51312"/>
    <w:rsid w:val="00B51357"/>
    <w:rsid w:val="00B517C0"/>
    <w:rsid w:val="00B519D6"/>
    <w:rsid w:val="00B519E8"/>
    <w:rsid w:val="00B51AD9"/>
    <w:rsid w:val="00B51C03"/>
    <w:rsid w:val="00B51FA5"/>
    <w:rsid w:val="00B52065"/>
    <w:rsid w:val="00B5214F"/>
    <w:rsid w:val="00B52157"/>
    <w:rsid w:val="00B522A5"/>
    <w:rsid w:val="00B5244D"/>
    <w:rsid w:val="00B529A9"/>
    <w:rsid w:val="00B52DD7"/>
    <w:rsid w:val="00B52F6D"/>
    <w:rsid w:val="00B52F7E"/>
    <w:rsid w:val="00B530E9"/>
    <w:rsid w:val="00B533DD"/>
    <w:rsid w:val="00B5365C"/>
    <w:rsid w:val="00B537A1"/>
    <w:rsid w:val="00B53B24"/>
    <w:rsid w:val="00B53BAF"/>
    <w:rsid w:val="00B53C88"/>
    <w:rsid w:val="00B53FF1"/>
    <w:rsid w:val="00B540DD"/>
    <w:rsid w:val="00B54146"/>
    <w:rsid w:val="00B54595"/>
    <w:rsid w:val="00B54867"/>
    <w:rsid w:val="00B54A92"/>
    <w:rsid w:val="00B552B0"/>
    <w:rsid w:val="00B55364"/>
    <w:rsid w:val="00B55395"/>
    <w:rsid w:val="00B554C5"/>
    <w:rsid w:val="00B55826"/>
    <w:rsid w:val="00B559A5"/>
    <w:rsid w:val="00B559D5"/>
    <w:rsid w:val="00B559EF"/>
    <w:rsid w:val="00B56291"/>
    <w:rsid w:val="00B562E5"/>
    <w:rsid w:val="00B564BB"/>
    <w:rsid w:val="00B5675A"/>
    <w:rsid w:val="00B56CB1"/>
    <w:rsid w:val="00B56EBF"/>
    <w:rsid w:val="00B56ED1"/>
    <w:rsid w:val="00B56F29"/>
    <w:rsid w:val="00B57133"/>
    <w:rsid w:val="00B572B9"/>
    <w:rsid w:val="00B57302"/>
    <w:rsid w:val="00B57455"/>
    <w:rsid w:val="00B575D4"/>
    <w:rsid w:val="00B57880"/>
    <w:rsid w:val="00B5795A"/>
    <w:rsid w:val="00B57ACC"/>
    <w:rsid w:val="00B57B20"/>
    <w:rsid w:val="00B60994"/>
    <w:rsid w:val="00B609C6"/>
    <w:rsid w:val="00B609DF"/>
    <w:rsid w:val="00B60A71"/>
    <w:rsid w:val="00B60B26"/>
    <w:rsid w:val="00B6122C"/>
    <w:rsid w:val="00B619BD"/>
    <w:rsid w:val="00B62180"/>
    <w:rsid w:val="00B6228D"/>
    <w:rsid w:val="00B622FA"/>
    <w:rsid w:val="00B6239F"/>
    <w:rsid w:val="00B624DD"/>
    <w:rsid w:val="00B627FD"/>
    <w:rsid w:val="00B628DA"/>
    <w:rsid w:val="00B629F8"/>
    <w:rsid w:val="00B62BA7"/>
    <w:rsid w:val="00B62E3C"/>
    <w:rsid w:val="00B632F7"/>
    <w:rsid w:val="00B6336D"/>
    <w:rsid w:val="00B63421"/>
    <w:rsid w:val="00B63685"/>
    <w:rsid w:val="00B63F87"/>
    <w:rsid w:val="00B63FA7"/>
    <w:rsid w:val="00B6415F"/>
    <w:rsid w:val="00B64498"/>
    <w:rsid w:val="00B64868"/>
    <w:rsid w:val="00B64D7F"/>
    <w:rsid w:val="00B650E1"/>
    <w:rsid w:val="00B654BC"/>
    <w:rsid w:val="00B654F0"/>
    <w:rsid w:val="00B65608"/>
    <w:rsid w:val="00B65AC8"/>
    <w:rsid w:val="00B65BA4"/>
    <w:rsid w:val="00B65D73"/>
    <w:rsid w:val="00B66155"/>
    <w:rsid w:val="00B66203"/>
    <w:rsid w:val="00B66391"/>
    <w:rsid w:val="00B66A60"/>
    <w:rsid w:val="00B66CF8"/>
    <w:rsid w:val="00B66D4A"/>
    <w:rsid w:val="00B67910"/>
    <w:rsid w:val="00B67BB0"/>
    <w:rsid w:val="00B67C36"/>
    <w:rsid w:val="00B67D05"/>
    <w:rsid w:val="00B70295"/>
    <w:rsid w:val="00B70329"/>
    <w:rsid w:val="00B70541"/>
    <w:rsid w:val="00B7085E"/>
    <w:rsid w:val="00B708C0"/>
    <w:rsid w:val="00B70B89"/>
    <w:rsid w:val="00B71309"/>
    <w:rsid w:val="00B7146C"/>
    <w:rsid w:val="00B71769"/>
    <w:rsid w:val="00B718B7"/>
    <w:rsid w:val="00B719DE"/>
    <w:rsid w:val="00B71AFA"/>
    <w:rsid w:val="00B71BE5"/>
    <w:rsid w:val="00B71FB7"/>
    <w:rsid w:val="00B72119"/>
    <w:rsid w:val="00B722C2"/>
    <w:rsid w:val="00B72354"/>
    <w:rsid w:val="00B7265D"/>
    <w:rsid w:val="00B7269B"/>
    <w:rsid w:val="00B72DA0"/>
    <w:rsid w:val="00B72F6E"/>
    <w:rsid w:val="00B7307A"/>
    <w:rsid w:val="00B73A32"/>
    <w:rsid w:val="00B73ABB"/>
    <w:rsid w:val="00B73C7E"/>
    <w:rsid w:val="00B7407E"/>
    <w:rsid w:val="00B74294"/>
    <w:rsid w:val="00B74D66"/>
    <w:rsid w:val="00B7528D"/>
    <w:rsid w:val="00B75917"/>
    <w:rsid w:val="00B75A91"/>
    <w:rsid w:val="00B75AC9"/>
    <w:rsid w:val="00B75DF0"/>
    <w:rsid w:val="00B75FDF"/>
    <w:rsid w:val="00B761FF"/>
    <w:rsid w:val="00B762B5"/>
    <w:rsid w:val="00B76616"/>
    <w:rsid w:val="00B76CBE"/>
    <w:rsid w:val="00B76DA5"/>
    <w:rsid w:val="00B76EAB"/>
    <w:rsid w:val="00B76EE7"/>
    <w:rsid w:val="00B77249"/>
    <w:rsid w:val="00B7745E"/>
    <w:rsid w:val="00B774AD"/>
    <w:rsid w:val="00B77881"/>
    <w:rsid w:val="00B7791C"/>
    <w:rsid w:val="00B803C7"/>
    <w:rsid w:val="00B80588"/>
    <w:rsid w:val="00B80719"/>
    <w:rsid w:val="00B807E5"/>
    <w:rsid w:val="00B80920"/>
    <w:rsid w:val="00B809DB"/>
    <w:rsid w:val="00B809ED"/>
    <w:rsid w:val="00B80D2B"/>
    <w:rsid w:val="00B80F43"/>
    <w:rsid w:val="00B80F45"/>
    <w:rsid w:val="00B81101"/>
    <w:rsid w:val="00B81662"/>
    <w:rsid w:val="00B81789"/>
    <w:rsid w:val="00B81823"/>
    <w:rsid w:val="00B81C1E"/>
    <w:rsid w:val="00B81F01"/>
    <w:rsid w:val="00B82270"/>
    <w:rsid w:val="00B82275"/>
    <w:rsid w:val="00B82651"/>
    <w:rsid w:val="00B82D35"/>
    <w:rsid w:val="00B834F2"/>
    <w:rsid w:val="00B83661"/>
    <w:rsid w:val="00B839AF"/>
    <w:rsid w:val="00B8414E"/>
    <w:rsid w:val="00B8424E"/>
    <w:rsid w:val="00B8426D"/>
    <w:rsid w:val="00B84456"/>
    <w:rsid w:val="00B8498B"/>
    <w:rsid w:val="00B849CF"/>
    <w:rsid w:val="00B84CD6"/>
    <w:rsid w:val="00B84D19"/>
    <w:rsid w:val="00B84EBD"/>
    <w:rsid w:val="00B85177"/>
    <w:rsid w:val="00B85287"/>
    <w:rsid w:val="00B85632"/>
    <w:rsid w:val="00B859D4"/>
    <w:rsid w:val="00B85CDD"/>
    <w:rsid w:val="00B85D93"/>
    <w:rsid w:val="00B861A5"/>
    <w:rsid w:val="00B86972"/>
    <w:rsid w:val="00B86CB7"/>
    <w:rsid w:val="00B86D59"/>
    <w:rsid w:val="00B872E1"/>
    <w:rsid w:val="00B8756F"/>
    <w:rsid w:val="00B876C8"/>
    <w:rsid w:val="00B87F07"/>
    <w:rsid w:val="00B9072C"/>
    <w:rsid w:val="00B90A4F"/>
    <w:rsid w:val="00B90ACF"/>
    <w:rsid w:val="00B9105F"/>
    <w:rsid w:val="00B91089"/>
    <w:rsid w:val="00B9157D"/>
    <w:rsid w:val="00B91C67"/>
    <w:rsid w:val="00B91E5F"/>
    <w:rsid w:val="00B926ED"/>
    <w:rsid w:val="00B9276A"/>
    <w:rsid w:val="00B9283A"/>
    <w:rsid w:val="00B9285F"/>
    <w:rsid w:val="00B92F1E"/>
    <w:rsid w:val="00B93084"/>
    <w:rsid w:val="00B93144"/>
    <w:rsid w:val="00B931A8"/>
    <w:rsid w:val="00B93287"/>
    <w:rsid w:val="00B934AE"/>
    <w:rsid w:val="00B93797"/>
    <w:rsid w:val="00B93987"/>
    <w:rsid w:val="00B93B73"/>
    <w:rsid w:val="00B93C11"/>
    <w:rsid w:val="00B93C9D"/>
    <w:rsid w:val="00B93E1D"/>
    <w:rsid w:val="00B93EE1"/>
    <w:rsid w:val="00B94115"/>
    <w:rsid w:val="00B941CA"/>
    <w:rsid w:val="00B944AF"/>
    <w:rsid w:val="00B949C7"/>
    <w:rsid w:val="00B94A79"/>
    <w:rsid w:val="00B94CAD"/>
    <w:rsid w:val="00B94D70"/>
    <w:rsid w:val="00B951FC"/>
    <w:rsid w:val="00B9529D"/>
    <w:rsid w:val="00B9532D"/>
    <w:rsid w:val="00B95539"/>
    <w:rsid w:val="00B9577B"/>
    <w:rsid w:val="00B95956"/>
    <w:rsid w:val="00B95A55"/>
    <w:rsid w:val="00B95B19"/>
    <w:rsid w:val="00B95BC0"/>
    <w:rsid w:val="00B95C93"/>
    <w:rsid w:val="00B96007"/>
    <w:rsid w:val="00B9613B"/>
    <w:rsid w:val="00B96485"/>
    <w:rsid w:val="00B96582"/>
    <w:rsid w:val="00B965F9"/>
    <w:rsid w:val="00B96716"/>
    <w:rsid w:val="00B967D3"/>
    <w:rsid w:val="00B967E5"/>
    <w:rsid w:val="00B96878"/>
    <w:rsid w:val="00B96E62"/>
    <w:rsid w:val="00B96FCB"/>
    <w:rsid w:val="00B97215"/>
    <w:rsid w:val="00B974E1"/>
    <w:rsid w:val="00B974ED"/>
    <w:rsid w:val="00B974FC"/>
    <w:rsid w:val="00B976E9"/>
    <w:rsid w:val="00B9780B"/>
    <w:rsid w:val="00B9781A"/>
    <w:rsid w:val="00B97B1C"/>
    <w:rsid w:val="00B97C2E"/>
    <w:rsid w:val="00B97D91"/>
    <w:rsid w:val="00B97ED9"/>
    <w:rsid w:val="00B97FEC"/>
    <w:rsid w:val="00BA0115"/>
    <w:rsid w:val="00BA03A9"/>
    <w:rsid w:val="00BA0786"/>
    <w:rsid w:val="00BA0E1E"/>
    <w:rsid w:val="00BA11FD"/>
    <w:rsid w:val="00BA1815"/>
    <w:rsid w:val="00BA18E6"/>
    <w:rsid w:val="00BA1C1B"/>
    <w:rsid w:val="00BA1E32"/>
    <w:rsid w:val="00BA21D0"/>
    <w:rsid w:val="00BA224D"/>
    <w:rsid w:val="00BA2334"/>
    <w:rsid w:val="00BA247C"/>
    <w:rsid w:val="00BA25E5"/>
    <w:rsid w:val="00BA26A0"/>
    <w:rsid w:val="00BA2AF2"/>
    <w:rsid w:val="00BA2B82"/>
    <w:rsid w:val="00BA2E40"/>
    <w:rsid w:val="00BA2F91"/>
    <w:rsid w:val="00BA308E"/>
    <w:rsid w:val="00BA368A"/>
    <w:rsid w:val="00BA375E"/>
    <w:rsid w:val="00BA3D00"/>
    <w:rsid w:val="00BA3EEC"/>
    <w:rsid w:val="00BA4396"/>
    <w:rsid w:val="00BA4A0A"/>
    <w:rsid w:val="00BA4B3A"/>
    <w:rsid w:val="00BA4C4F"/>
    <w:rsid w:val="00BA5665"/>
    <w:rsid w:val="00BA56A4"/>
    <w:rsid w:val="00BA58EE"/>
    <w:rsid w:val="00BA5911"/>
    <w:rsid w:val="00BA592D"/>
    <w:rsid w:val="00BA59D2"/>
    <w:rsid w:val="00BA5AA8"/>
    <w:rsid w:val="00BA5B42"/>
    <w:rsid w:val="00BA5F5C"/>
    <w:rsid w:val="00BA60CA"/>
    <w:rsid w:val="00BA61DB"/>
    <w:rsid w:val="00BA6319"/>
    <w:rsid w:val="00BA6A6B"/>
    <w:rsid w:val="00BA6EEA"/>
    <w:rsid w:val="00BA6F0F"/>
    <w:rsid w:val="00BA707A"/>
    <w:rsid w:val="00BA7441"/>
    <w:rsid w:val="00BA7984"/>
    <w:rsid w:val="00BA7AA8"/>
    <w:rsid w:val="00BA7B17"/>
    <w:rsid w:val="00BA7DAF"/>
    <w:rsid w:val="00BB0276"/>
    <w:rsid w:val="00BB0520"/>
    <w:rsid w:val="00BB0EA2"/>
    <w:rsid w:val="00BB0EE1"/>
    <w:rsid w:val="00BB112D"/>
    <w:rsid w:val="00BB11BB"/>
    <w:rsid w:val="00BB155E"/>
    <w:rsid w:val="00BB1687"/>
    <w:rsid w:val="00BB1899"/>
    <w:rsid w:val="00BB1AC6"/>
    <w:rsid w:val="00BB1E0E"/>
    <w:rsid w:val="00BB20D0"/>
    <w:rsid w:val="00BB20F1"/>
    <w:rsid w:val="00BB258A"/>
    <w:rsid w:val="00BB2634"/>
    <w:rsid w:val="00BB26BF"/>
    <w:rsid w:val="00BB276B"/>
    <w:rsid w:val="00BB290F"/>
    <w:rsid w:val="00BB29DA"/>
    <w:rsid w:val="00BB2E8D"/>
    <w:rsid w:val="00BB310D"/>
    <w:rsid w:val="00BB35A5"/>
    <w:rsid w:val="00BB4084"/>
    <w:rsid w:val="00BB46F1"/>
    <w:rsid w:val="00BB4A39"/>
    <w:rsid w:val="00BB4B4A"/>
    <w:rsid w:val="00BB4B75"/>
    <w:rsid w:val="00BB4B7F"/>
    <w:rsid w:val="00BB4CCE"/>
    <w:rsid w:val="00BB4D6D"/>
    <w:rsid w:val="00BB511F"/>
    <w:rsid w:val="00BB52C1"/>
    <w:rsid w:val="00BB52D8"/>
    <w:rsid w:val="00BB5604"/>
    <w:rsid w:val="00BB58A0"/>
    <w:rsid w:val="00BB59C5"/>
    <w:rsid w:val="00BB5BAD"/>
    <w:rsid w:val="00BB5F1D"/>
    <w:rsid w:val="00BB5F70"/>
    <w:rsid w:val="00BB60DE"/>
    <w:rsid w:val="00BB62F4"/>
    <w:rsid w:val="00BB6308"/>
    <w:rsid w:val="00BB665B"/>
    <w:rsid w:val="00BB6787"/>
    <w:rsid w:val="00BB69F6"/>
    <w:rsid w:val="00BB6CC3"/>
    <w:rsid w:val="00BB6DBC"/>
    <w:rsid w:val="00BB6EA7"/>
    <w:rsid w:val="00BB71AD"/>
    <w:rsid w:val="00BB71DE"/>
    <w:rsid w:val="00BB72FF"/>
    <w:rsid w:val="00BB75FF"/>
    <w:rsid w:val="00BB7DDD"/>
    <w:rsid w:val="00BB7E3E"/>
    <w:rsid w:val="00BB7FD3"/>
    <w:rsid w:val="00BC015C"/>
    <w:rsid w:val="00BC048B"/>
    <w:rsid w:val="00BC0879"/>
    <w:rsid w:val="00BC0CFC"/>
    <w:rsid w:val="00BC1056"/>
    <w:rsid w:val="00BC1132"/>
    <w:rsid w:val="00BC1193"/>
    <w:rsid w:val="00BC13C1"/>
    <w:rsid w:val="00BC15AB"/>
    <w:rsid w:val="00BC170A"/>
    <w:rsid w:val="00BC1A1F"/>
    <w:rsid w:val="00BC2329"/>
    <w:rsid w:val="00BC232D"/>
    <w:rsid w:val="00BC23A4"/>
    <w:rsid w:val="00BC240A"/>
    <w:rsid w:val="00BC279C"/>
    <w:rsid w:val="00BC2942"/>
    <w:rsid w:val="00BC2BBF"/>
    <w:rsid w:val="00BC2F1A"/>
    <w:rsid w:val="00BC30D4"/>
    <w:rsid w:val="00BC3480"/>
    <w:rsid w:val="00BC36F6"/>
    <w:rsid w:val="00BC37CE"/>
    <w:rsid w:val="00BC380A"/>
    <w:rsid w:val="00BC3AF6"/>
    <w:rsid w:val="00BC3B62"/>
    <w:rsid w:val="00BC3F20"/>
    <w:rsid w:val="00BC40C4"/>
    <w:rsid w:val="00BC4247"/>
    <w:rsid w:val="00BC458A"/>
    <w:rsid w:val="00BC4C49"/>
    <w:rsid w:val="00BC4DE8"/>
    <w:rsid w:val="00BC4EC6"/>
    <w:rsid w:val="00BC519F"/>
    <w:rsid w:val="00BC51D4"/>
    <w:rsid w:val="00BC534A"/>
    <w:rsid w:val="00BC5697"/>
    <w:rsid w:val="00BC5799"/>
    <w:rsid w:val="00BC57C7"/>
    <w:rsid w:val="00BC6685"/>
    <w:rsid w:val="00BC6C7A"/>
    <w:rsid w:val="00BC6EA9"/>
    <w:rsid w:val="00BC7180"/>
    <w:rsid w:val="00BC72F1"/>
    <w:rsid w:val="00BC77C8"/>
    <w:rsid w:val="00BC7897"/>
    <w:rsid w:val="00BC78CC"/>
    <w:rsid w:val="00BC7EB5"/>
    <w:rsid w:val="00BD0240"/>
    <w:rsid w:val="00BD0251"/>
    <w:rsid w:val="00BD0446"/>
    <w:rsid w:val="00BD0658"/>
    <w:rsid w:val="00BD08AD"/>
    <w:rsid w:val="00BD0CD0"/>
    <w:rsid w:val="00BD1390"/>
    <w:rsid w:val="00BD1580"/>
    <w:rsid w:val="00BD196F"/>
    <w:rsid w:val="00BD20A0"/>
    <w:rsid w:val="00BD218F"/>
    <w:rsid w:val="00BD29F1"/>
    <w:rsid w:val="00BD2C06"/>
    <w:rsid w:val="00BD2CA2"/>
    <w:rsid w:val="00BD3109"/>
    <w:rsid w:val="00BD312A"/>
    <w:rsid w:val="00BD3201"/>
    <w:rsid w:val="00BD330E"/>
    <w:rsid w:val="00BD3321"/>
    <w:rsid w:val="00BD3327"/>
    <w:rsid w:val="00BD33B5"/>
    <w:rsid w:val="00BD350A"/>
    <w:rsid w:val="00BD3682"/>
    <w:rsid w:val="00BD37C8"/>
    <w:rsid w:val="00BD3D3B"/>
    <w:rsid w:val="00BD3E99"/>
    <w:rsid w:val="00BD4009"/>
    <w:rsid w:val="00BD4262"/>
    <w:rsid w:val="00BD4440"/>
    <w:rsid w:val="00BD4714"/>
    <w:rsid w:val="00BD473C"/>
    <w:rsid w:val="00BD4B5A"/>
    <w:rsid w:val="00BD4C86"/>
    <w:rsid w:val="00BD4F87"/>
    <w:rsid w:val="00BD5317"/>
    <w:rsid w:val="00BD5386"/>
    <w:rsid w:val="00BD53BD"/>
    <w:rsid w:val="00BD56AB"/>
    <w:rsid w:val="00BD581D"/>
    <w:rsid w:val="00BD583B"/>
    <w:rsid w:val="00BD58CD"/>
    <w:rsid w:val="00BD5CB7"/>
    <w:rsid w:val="00BD5D12"/>
    <w:rsid w:val="00BD663A"/>
    <w:rsid w:val="00BD66AC"/>
    <w:rsid w:val="00BD678D"/>
    <w:rsid w:val="00BD68FA"/>
    <w:rsid w:val="00BD6A8E"/>
    <w:rsid w:val="00BD6C67"/>
    <w:rsid w:val="00BD6D5F"/>
    <w:rsid w:val="00BD7066"/>
    <w:rsid w:val="00BD71E6"/>
    <w:rsid w:val="00BD75F8"/>
    <w:rsid w:val="00BD782D"/>
    <w:rsid w:val="00BD7D3C"/>
    <w:rsid w:val="00BD7D52"/>
    <w:rsid w:val="00BD7D7F"/>
    <w:rsid w:val="00BD7D8D"/>
    <w:rsid w:val="00BD7DCF"/>
    <w:rsid w:val="00BD7E0B"/>
    <w:rsid w:val="00BD7E4B"/>
    <w:rsid w:val="00BD7E95"/>
    <w:rsid w:val="00BE0061"/>
    <w:rsid w:val="00BE0243"/>
    <w:rsid w:val="00BE0582"/>
    <w:rsid w:val="00BE083E"/>
    <w:rsid w:val="00BE0844"/>
    <w:rsid w:val="00BE0DE3"/>
    <w:rsid w:val="00BE0E8C"/>
    <w:rsid w:val="00BE1039"/>
    <w:rsid w:val="00BE1174"/>
    <w:rsid w:val="00BE1428"/>
    <w:rsid w:val="00BE14E2"/>
    <w:rsid w:val="00BE173D"/>
    <w:rsid w:val="00BE1BB1"/>
    <w:rsid w:val="00BE1EB7"/>
    <w:rsid w:val="00BE1F22"/>
    <w:rsid w:val="00BE1F6F"/>
    <w:rsid w:val="00BE2068"/>
    <w:rsid w:val="00BE20B6"/>
    <w:rsid w:val="00BE21C6"/>
    <w:rsid w:val="00BE234F"/>
    <w:rsid w:val="00BE24E5"/>
    <w:rsid w:val="00BE26F9"/>
    <w:rsid w:val="00BE28B2"/>
    <w:rsid w:val="00BE2E0D"/>
    <w:rsid w:val="00BE2E17"/>
    <w:rsid w:val="00BE3145"/>
    <w:rsid w:val="00BE32AD"/>
    <w:rsid w:val="00BE3328"/>
    <w:rsid w:val="00BE373F"/>
    <w:rsid w:val="00BE38EF"/>
    <w:rsid w:val="00BE3CA3"/>
    <w:rsid w:val="00BE3FC6"/>
    <w:rsid w:val="00BE4183"/>
    <w:rsid w:val="00BE4349"/>
    <w:rsid w:val="00BE4678"/>
    <w:rsid w:val="00BE473C"/>
    <w:rsid w:val="00BE4DDB"/>
    <w:rsid w:val="00BE5890"/>
    <w:rsid w:val="00BE5E47"/>
    <w:rsid w:val="00BE60B2"/>
    <w:rsid w:val="00BE61C5"/>
    <w:rsid w:val="00BE6558"/>
    <w:rsid w:val="00BE6D0B"/>
    <w:rsid w:val="00BE6D33"/>
    <w:rsid w:val="00BE6E65"/>
    <w:rsid w:val="00BE71CD"/>
    <w:rsid w:val="00BE7613"/>
    <w:rsid w:val="00BE7AE8"/>
    <w:rsid w:val="00BE7D7D"/>
    <w:rsid w:val="00BF03B8"/>
    <w:rsid w:val="00BF0424"/>
    <w:rsid w:val="00BF0576"/>
    <w:rsid w:val="00BF06AD"/>
    <w:rsid w:val="00BF07E6"/>
    <w:rsid w:val="00BF094E"/>
    <w:rsid w:val="00BF098F"/>
    <w:rsid w:val="00BF0A64"/>
    <w:rsid w:val="00BF0A7B"/>
    <w:rsid w:val="00BF0A82"/>
    <w:rsid w:val="00BF0AE8"/>
    <w:rsid w:val="00BF0C10"/>
    <w:rsid w:val="00BF0C5A"/>
    <w:rsid w:val="00BF0D76"/>
    <w:rsid w:val="00BF1062"/>
    <w:rsid w:val="00BF1523"/>
    <w:rsid w:val="00BF15C8"/>
    <w:rsid w:val="00BF16BB"/>
    <w:rsid w:val="00BF16CC"/>
    <w:rsid w:val="00BF1967"/>
    <w:rsid w:val="00BF1AC5"/>
    <w:rsid w:val="00BF1C1A"/>
    <w:rsid w:val="00BF1D9B"/>
    <w:rsid w:val="00BF1FCC"/>
    <w:rsid w:val="00BF2039"/>
    <w:rsid w:val="00BF2410"/>
    <w:rsid w:val="00BF272A"/>
    <w:rsid w:val="00BF287C"/>
    <w:rsid w:val="00BF2BC0"/>
    <w:rsid w:val="00BF2C89"/>
    <w:rsid w:val="00BF2E21"/>
    <w:rsid w:val="00BF306D"/>
    <w:rsid w:val="00BF330B"/>
    <w:rsid w:val="00BF3686"/>
    <w:rsid w:val="00BF3898"/>
    <w:rsid w:val="00BF3ABA"/>
    <w:rsid w:val="00BF3AE5"/>
    <w:rsid w:val="00BF3BFB"/>
    <w:rsid w:val="00BF3EFD"/>
    <w:rsid w:val="00BF4382"/>
    <w:rsid w:val="00BF4393"/>
    <w:rsid w:val="00BF4836"/>
    <w:rsid w:val="00BF49CA"/>
    <w:rsid w:val="00BF4E90"/>
    <w:rsid w:val="00BF4FEF"/>
    <w:rsid w:val="00BF5125"/>
    <w:rsid w:val="00BF565F"/>
    <w:rsid w:val="00BF5871"/>
    <w:rsid w:val="00BF5959"/>
    <w:rsid w:val="00BF5ACC"/>
    <w:rsid w:val="00BF5B76"/>
    <w:rsid w:val="00BF63D7"/>
    <w:rsid w:val="00BF686C"/>
    <w:rsid w:val="00BF6B53"/>
    <w:rsid w:val="00BF6BCE"/>
    <w:rsid w:val="00BF6D62"/>
    <w:rsid w:val="00BF6D78"/>
    <w:rsid w:val="00BF6E10"/>
    <w:rsid w:val="00BF7A3C"/>
    <w:rsid w:val="00BF7DB8"/>
    <w:rsid w:val="00C0011E"/>
    <w:rsid w:val="00C0056A"/>
    <w:rsid w:val="00C00AF9"/>
    <w:rsid w:val="00C00B16"/>
    <w:rsid w:val="00C00D9D"/>
    <w:rsid w:val="00C00E0D"/>
    <w:rsid w:val="00C010E4"/>
    <w:rsid w:val="00C01224"/>
    <w:rsid w:val="00C012D1"/>
    <w:rsid w:val="00C0131F"/>
    <w:rsid w:val="00C013E2"/>
    <w:rsid w:val="00C0148E"/>
    <w:rsid w:val="00C01668"/>
    <w:rsid w:val="00C016DD"/>
    <w:rsid w:val="00C0178F"/>
    <w:rsid w:val="00C019CC"/>
    <w:rsid w:val="00C01BCD"/>
    <w:rsid w:val="00C01BFB"/>
    <w:rsid w:val="00C01FC1"/>
    <w:rsid w:val="00C021F0"/>
    <w:rsid w:val="00C02345"/>
    <w:rsid w:val="00C026E8"/>
    <w:rsid w:val="00C02739"/>
    <w:rsid w:val="00C029E8"/>
    <w:rsid w:val="00C02D18"/>
    <w:rsid w:val="00C02DCC"/>
    <w:rsid w:val="00C02E34"/>
    <w:rsid w:val="00C03236"/>
    <w:rsid w:val="00C0326C"/>
    <w:rsid w:val="00C032E9"/>
    <w:rsid w:val="00C03833"/>
    <w:rsid w:val="00C03898"/>
    <w:rsid w:val="00C038F1"/>
    <w:rsid w:val="00C03E17"/>
    <w:rsid w:val="00C04602"/>
    <w:rsid w:val="00C0481F"/>
    <w:rsid w:val="00C04A09"/>
    <w:rsid w:val="00C04CE9"/>
    <w:rsid w:val="00C04D58"/>
    <w:rsid w:val="00C04FC5"/>
    <w:rsid w:val="00C05661"/>
    <w:rsid w:val="00C056F7"/>
    <w:rsid w:val="00C05AA3"/>
    <w:rsid w:val="00C05BA6"/>
    <w:rsid w:val="00C05BE0"/>
    <w:rsid w:val="00C063F8"/>
    <w:rsid w:val="00C06579"/>
    <w:rsid w:val="00C069AE"/>
    <w:rsid w:val="00C06CEC"/>
    <w:rsid w:val="00C06F5C"/>
    <w:rsid w:val="00C07011"/>
    <w:rsid w:val="00C0728C"/>
    <w:rsid w:val="00C0761D"/>
    <w:rsid w:val="00C07953"/>
    <w:rsid w:val="00C10126"/>
    <w:rsid w:val="00C103B1"/>
    <w:rsid w:val="00C105E9"/>
    <w:rsid w:val="00C10694"/>
    <w:rsid w:val="00C106D3"/>
    <w:rsid w:val="00C108F1"/>
    <w:rsid w:val="00C10B5B"/>
    <w:rsid w:val="00C11649"/>
    <w:rsid w:val="00C1170A"/>
    <w:rsid w:val="00C11817"/>
    <w:rsid w:val="00C11A6C"/>
    <w:rsid w:val="00C120E7"/>
    <w:rsid w:val="00C12144"/>
    <w:rsid w:val="00C122AF"/>
    <w:rsid w:val="00C12ABE"/>
    <w:rsid w:val="00C12B1E"/>
    <w:rsid w:val="00C12B5E"/>
    <w:rsid w:val="00C12EAE"/>
    <w:rsid w:val="00C132D6"/>
    <w:rsid w:val="00C1332E"/>
    <w:rsid w:val="00C13923"/>
    <w:rsid w:val="00C1409C"/>
    <w:rsid w:val="00C14311"/>
    <w:rsid w:val="00C14326"/>
    <w:rsid w:val="00C145AF"/>
    <w:rsid w:val="00C146FD"/>
    <w:rsid w:val="00C1473B"/>
    <w:rsid w:val="00C14945"/>
    <w:rsid w:val="00C14D7F"/>
    <w:rsid w:val="00C153D1"/>
    <w:rsid w:val="00C16317"/>
    <w:rsid w:val="00C16392"/>
    <w:rsid w:val="00C165B2"/>
    <w:rsid w:val="00C167F8"/>
    <w:rsid w:val="00C16820"/>
    <w:rsid w:val="00C1697C"/>
    <w:rsid w:val="00C16EE1"/>
    <w:rsid w:val="00C16F88"/>
    <w:rsid w:val="00C171EB"/>
    <w:rsid w:val="00C17370"/>
    <w:rsid w:val="00C174CA"/>
    <w:rsid w:val="00C1795F"/>
    <w:rsid w:val="00C17CC9"/>
    <w:rsid w:val="00C17CE6"/>
    <w:rsid w:val="00C17CF3"/>
    <w:rsid w:val="00C20E93"/>
    <w:rsid w:val="00C20F8C"/>
    <w:rsid w:val="00C21017"/>
    <w:rsid w:val="00C21260"/>
    <w:rsid w:val="00C21342"/>
    <w:rsid w:val="00C21581"/>
    <w:rsid w:val="00C218A5"/>
    <w:rsid w:val="00C21C0A"/>
    <w:rsid w:val="00C21F62"/>
    <w:rsid w:val="00C22191"/>
    <w:rsid w:val="00C221C8"/>
    <w:rsid w:val="00C222C0"/>
    <w:rsid w:val="00C2230C"/>
    <w:rsid w:val="00C224F2"/>
    <w:rsid w:val="00C2273B"/>
    <w:rsid w:val="00C2282E"/>
    <w:rsid w:val="00C22A4A"/>
    <w:rsid w:val="00C22A58"/>
    <w:rsid w:val="00C22AD3"/>
    <w:rsid w:val="00C22CB4"/>
    <w:rsid w:val="00C22E2C"/>
    <w:rsid w:val="00C2303A"/>
    <w:rsid w:val="00C23047"/>
    <w:rsid w:val="00C23069"/>
    <w:rsid w:val="00C23227"/>
    <w:rsid w:val="00C234CB"/>
    <w:rsid w:val="00C237B2"/>
    <w:rsid w:val="00C23995"/>
    <w:rsid w:val="00C23B47"/>
    <w:rsid w:val="00C23F32"/>
    <w:rsid w:val="00C24431"/>
    <w:rsid w:val="00C2447B"/>
    <w:rsid w:val="00C24510"/>
    <w:rsid w:val="00C245AA"/>
    <w:rsid w:val="00C24920"/>
    <w:rsid w:val="00C249E3"/>
    <w:rsid w:val="00C24C3E"/>
    <w:rsid w:val="00C24C49"/>
    <w:rsid w:val="00C24CC7"/>
    <w:rsid w:val="00C25003"/>
    <w:rsid w:val="00C25500"/>
    <w:rsid w:val="00C25AF6"/>
    <w:rsid w:val="00C25D7F"/>
    <w:rsid w:val="00C261EB"/>
    <w:rsid w:val="00C262F2"/>
    <w:rsid w:val="00C266B3"/>
    <w:rsid w:val="00C26790"/>
    <w:rsid w:val="00C26855"/>
    <w:rsid w:val="00C268C2"/>
    <w:rsid w:val="00C26A92"/>
    <w:rsid w:val="00C2719B"/>
    <w:rsid w:val="00C2720D"/>
    <w:rsid w:val="00C27444"/>
    <w:rsid w:val="00C27599"/>
    <w:rsid w:val="00C30013"/>
    <w:rsid w:val="00C30132"/>
    <w:rsid w:val="00C303D2"/>
    <w:rsid w:val="00C3041C"/>
    <w:rsid w:val="00C307FA"/>
    <w:rsid w:val="00C30E0D"/>
    <w:rsid w:val="00C30E71"/>
    <w:rsid w:val="00C31101"/>
    <w:rsid w:val="00C31473"/>
    <w:rsid w:val="00C315BB"/>
    <w:rsid w:val="00C315E4"/>
    <w:rsid w:val="00C31738"/>
    <w:rsid w:val="00C31BFB"/>
    <w:rsid w:val="00C31EC9"/>
    <w:rsid w:val="00C320A9"/>
    <w:rsid w:val="00C3291F"/>
    <w:rsid w:val="00C32B1E"/>
    <w:rsid w:val="00C32B2A"/>
    <w:rsid w:val="00C32D01"/>
    <w:rsid w:val="00C32DDA"/>
    <w:rsid w:val="00C33182"/>
    <w:rsid w:val="00C331AC"/>
    <w:rsid w:val="00C332E7"/>
    <w:rsid w:val="00C3342C"/>
    <w:rsid w:val="00C33842"/>
    <w:rsid w:val="00C33884"/>
    <w:rsid w:val="00C33980"/>
    <w:rsid w:val="00C33D76"/>
    <w:rsid w:val="00C33F73"/>
    <w:rsid w:val="00C340CD"/>
    <w:rsid w:val="00C3497B"/>
    <w:rsid w:val="00C34A85"/>
    <w:rsid w:val="00C34B27"/>
    <w:rsid w:val="00C34D06"/>
    <w:rsid w:val="00C34E3E"/>
    <w:rsid w:val="00C34F35"/>
    <w:rsid w:val="00C353CC"/>
    <w:rsid w:val="00C354FE"/>
    <w:rsid w:val="00C357A8"/>
    <w:rsid w:val="00C35827"/>
    <w:rsid w:val="00C3589D"/>
    <w:rsid w:val="00C358FB"/>
    <w:rsid w:val="00C35D0A"/>
    <w:rsid w:val="00C35D19"/>
    <w:rsid w:val="00C35E4F"/>
    <w:rsid w:val="00C361C9"/>
    <w:rsid w:val="00C36291"/>
    <w:rsid w:val="00C362A5"/>
    <w:rsid w:val="00C362BD"/>
    <w:rsid w:val="00C36440"/>
    <w:rsid w:val="00C3663C"/>
    <w:rsid w:val="00C36745"/>
    <w:rsid w:val="00C36AD0"/>
    <w:rsid w:val="00C36BD5"/>
    <w:rsid w:val="00C37525"/>
    <w:rsid w:val="00C377C2"/>
    <w:rsid w:val="00C377CD"/>
    <w:rsid w:val="00C377DE"/>
    <w:rsid w:val="00C3786C"/>
    <w:rsid w:val="00C37962"/>
    <w:rsid w:val="00C37A68"/>
    <w:rsid w:val="00C4009B"/>
    <w:rsid w:val="00C402F3"/>
    <w:rsid w:val="00C40839"/>
    <w:rsid w:val="00C408AC"/>
    <w:rsid w:val="00C408E2"/>
    <w:rsid w:val="00C41076"/>
    <w:rsid w:val="00C4127F"/>
    <w:rsid w:val="00C41319"/>
    <w:rsid w:val="00C41611"/>
    <w:rsid w:val="00C416E6"/>
    <w:rsid w:val="00C41A4B"/>
    <w:rsid w:val="00C41B4C"/>
    <w:rsid w:val="00C426BE"/>
    <w:rsid w:val="00C4276E"/>
    <w:rsid w:val="00C427EA"/>
    <w:rsid w:val="00C429D7"/>
    <w:rsid w:val="00C42B12"/>
    <w:rsid w:val="00C42D45"/>
    <w:rsid w:val="00C43010"/>
    <w:rsid w:val="00C43266"/>
    <w:rsid w:val="00C43479"/>
    <w:rsid w:val="00C4356D"/>
    <w:rsid w:val="00C435B3"/>
    <w:rsid w:val="00C439D4"/>
    <w:rsid w:val="00C43A50"/>
    <w:rsid w:val="00C43AAA"/>
    <w:rsid w:val="00C43C78"/>
    <w:rsid w:val="00C43C8E"/>
    <w:rsid w:val="00C43CD2"/>
    <w:rsid w:val="00C43DF4"/>
    <w:rsid w:val="00C43F50"/>
    <w:rsid w:val="00C441B7"/>
    <w:rsid w:val="00C44350"/>
    <w:rsid w:val="00C44367"/>
    <w:rsid w:val="00C44407"/>
    <w:rsid w:val="00C446A7"/>
    <w:rsid w:val="00C446A9"/>
    <w:rsid w:val="00C44EC2"/>
    <w:rsid w:val="00C452B1"/>
    <w:rsid w:val="00C454AB"/>
    <w:rsid w:val="00C45C86"/>
    <w:rsid w:val="00C46057"/>
    <w:rsid w:val="00C46091"/>
    <w:rsid w:val="00C4613B"/>
    <w:rsid w:val="00C463CD"/>
    <w:rsid w:val="00C464BB"/>
    <w:rsid w:val="00C46510"/>
    <w:rsid w:val="00C467F9"/>
    <w:rsid w:val="00C46AB8"/>
    <w:rsid w:val="00C46ECC"/>
    <w:rsid w:val="00C47422"/>
    <w:rsid w:val="00C47C50"/>
    <w:rsid w:val="00C47C71"/>
    <w:rsid w:val="00C47D8C"/>
    <w:rsid w:val="00C47FFA"/>
    <w:rsid w:val="00C50445"/>
    <w:rsid w:val="00C50634"/>
    <w:rsid w:val="00C50C91"/>
    <w:rsid w:val="00C50CED"/>
    <w:rsid w:val="00C51104"/>
    <w:rsid w:val="00C516BF"/>
    <w:rsid w:val="00C51DFD"/>
    <w:rsid w:val="00C525ED"/>
    <w:rsid w:val="00C52619"/>
    <w:rsid w:val="00C528CB"/>
    <w:rsid w:val="00C529A9"/>
    <w:rsid w:val="00C52B89"/>
    <w:rsid w:val="00C52BD9"/>
    <w:rsid w:val="00C52E77"/>
    <w:rsid w:val="00C5370C"/>
    <w:rsid w:val="00C53861"/>
    <w:rsid w:val="00C53A2F"/>
    <w:rsid w:val="00C541B9"/>
    <w:rsid w:val="00C54275"/>
    <w:rsid w:val="00C5453E"/>
    <w:rsid w:val="00C54635"/>
    <w:rsid w:val="00C54694"/>
    <w:rsid w:val="00C547B3"/>
    <w:rsid w:val="00C54946"/>
    <w:rsid w:val="00C54B87"/>
    <w:rsid w:val="00C54CA2"/>
    <w:rsid w:val="00C54FAE"/>
    <w:rsid w:val="00C55089"/>
    <w:rsid w:val="00C55162"/>
    <w:rsid w:val="00C55234"/>
    <w:rsid w:val="00C55250"/>
    <w:rsid w:val="00C55533"/>
    <w:rsid w:val="00C555B5"/>
    <w:rsid w:val="00C5594B"/>
    <w:rsid w:val="00C55AF4"/>
    <w:rsid w:val="00C55D3A"/>
    <w:rsid w:val="00C55EBF"/>
    <w:rsid w:val="00C55FB1"/>
    <w:rsid w:val="00C55FED"/>
    <w:rsid w:val="00C5658C"/>
    <w:rsid w:val="00C569F9"/>
    <w:rsid w:val="00C56AAD"/>
    <w:rsid w:val="00C56F18"/>
    <w:rsid w:val="00C57222"/>
    <w:rsid w:val="00C576B2"/>
    <w:rsid w:val="00C57A55"/>
    <w:rsid w:val="00C57F51"/>
    <w:rsid w:val="00C60226"/>
    <w:rsid w:val="00C607F6"/>
    <w:rsid w:val="00C6088C"/>
    <w:rsid w:val="00C60913"/>
    <w:rsid w:val="00C60A1F"/>
    <w:rsid w:val="00C60D94"/>
    <w:rsid w:val="00C6108C"/>
    <w:rsid w:val="00C612A8"/>
    <w:rsid w:val="00C6138C"/>
    <w:rsid w:val="00C6178A"/>
    <w:rsid w:val="00C61A69"/>
    <w:rsid w:val="00C61B7B"/>
    <w:rsid w:val="00C6227A"/>
    <w:rsid w:val="00C62601"/>
    <w:rsid w:val="00C626C9"/>
    <w:rsid w:val="00C627F5"/>
    <w:rsid w:val="00C62ADE"/>
    <w:rsid w:val="00C62B12"/>
    <w:rsid w:val="00C62F8A"/>
    <w:rsid w:val="00C63A32"/>
    <w:rsid w:val="00C63C5D"/>
    <w:rsid w:val="00C63D9D"/>
    <w:rsid w:val="00C63E90"/>
    <w:rsid w:val="00C6421E"/>
    <w:rsid w:val="00C64400"/>
    <w:rsid w:val="00C64484"/>
    <w:rsid w:val="00C6464D"/>
    <w:rsid w:val="00C64724"/>
    <w:rsid w:val="00C647F0"/>
    <w:rsid w:val="00C64860"/>
    <w:rsid w:val="00C649B0"/>
    <w:rsid w:val="00C64ADC"/>
    <w:rsid w:val="00C64EB8"/>
    <w:rsid w:val="00C6529A"/>
    <w:rsid w:val="00C6540C"/>
    <w:rsid w:val="00C65BAB"/>
    <w:rsid w:val="00C660FC"/>
    <w:rsid w:val="00C66286"/>
    <w:rsid w:val="00C66480"/>
    <w:rsid w:val="00C66A2B"/>
    <w:rsid w:val="00C66AD0"/>
    <w:rsid w:val="00C66B3D"/>
    <w:rsid w:val="00C66C72"/>
    <w:rsid w:val="00C67112"/>
    <w:rsid w:val="00C67432"/>
    <w:rsid w:val="00C67701"/>
    <w:rsid w:val="00C67760"/>
    <w:rsid w:val="00C677E9"/>
    <w:rsid w:val="00C678E9"/>
    <w:rsid w:val="00C6793D"/>
    <w:rsid w:val="00C67B6D"/>
    <w:rsid w:val="00C700FE"/>
    <w:rsid w:val="00C701B1"/>
    <w:rsid w:val="00C70557"/>
    <w:rsid w:val="00C706AC"/>
    <w:rsid w:val="00C70E24"/>
    <w:rsid w:val="00C70EDB"/>
    <w:rsid w:val="00C711B4"/>
    <w:rsid w:val="00C71503"/>
    <w:rsid w:val="00C717D3"/>
    <w:rsid w:val="00C71800"/>
    <w:rsid w:val="00C71AF8"/>
    <w:rsid w:val="00C71B6A"/>
    <w:rsid w:val="00C71BDC"/>
    <w:rsid w:val="00C71C31"/>
    <w:rsid w:val="00C71D06"/>
    <w:rsid w:val="00C71D0B"/>
    <w:rsid w:val="00C72161"/>
    <w:rsid w:val="00C72230"/>
    <w:rsid w:val="00C72281"/>
    <w:rsid w:val="00C72643"/>
    <w:rsid w:val="00C727FB"/>
    <w:rsid w:val="00C728E2"/>
    <w:rsid w:val="00C72B05"/>
    <w:rsid w:val="00C73623"/>
    <w:rsid w:val="00C73734"/>
    <w:rsid w:val="00C73764"/>
    <w:rsid w:val="00C73853"/>
    <w:rsid w:val="00C73A96"/>
    <w:rsid w:val="00C73B2A"/>
    <w:rsid w:val="00C73B87"/>
    <w:rsid w:val="00C73D18"/>
    <w:rsid w:val="00C73F25"/>
    <w:rsid w:val="00C7413F"/>
    <w:rsid w:val="00C741AC"/>
    <w:rsid w:val="00C74462"/>
    <w:rsid w:val="00C7454F"/>
    <w:rsid w:val="00C74A12"/>
    <w:rsid w:val="00C74B36"/>
    <w:rsid w:val="00C74BDA"/>
    <w:rsid w:val="00C74C11"/>
    <w:rsid w:val="00C74EEA"/>
    <w:rsid w:val="00C75597"/>
    <w:rsid w:val="00C756F9"/>
    <w:rsid w:val="00C75775"/>
    <w:rsid w:val="00C75830"/>
    <w:rsid w:val="00C758B1"/>
    <w:rsid w:val="00C759CC"/>
    <w:rsid w:val="00C75AFE"/>
    <w:rsid w:val="00C766C7"/>
    <w:rsid w:val="00C766CD"/>
    <w:rsid w:val="00C76886"/>
    <w:rsid w:val="00C76891"/>
    <w:rsid w:val="00C76B10"/>
    <w:rsid w:val="00C774CA"/>
    <w:rsid w:val="00C7751A"/>
    <w:rsid w:val="00C776D5"/>
    <w:rsid w:val="00C77848"/>
    <w:rsid w:val="00C77AB4"/>
    <w:rsid w:val="00C8000E"/>
    <w:rsid w:val="00C801FB"/>
    <w:rsid w:val="00C803C3"/>
    <w:rsid w:val="00C803F0"/>
    <w:rsid w:val="00C80458"/>
    <w:rsid w:val="00C8049E"/>
    <w:rsid w:val="00C80764"/>
    <w:rsid w:val="00C807BD"/>
    <w:rsid w:val="00C80969"/>
    <w:rsid w:val="00C809E8"/>
    <w:rsid w:val="00C80C1F"/>
    <w:rsid w:val="00C80C8D"/>
    <w:rsid w:val="00C80F76"/>
    <w:rsid w:val="00C80F8B"/>
    <w:rsid w:val="00C81634"/>
    <w:rsid w:val="00C8208A"/>
    <w:rsid w:val="00C8270F"/>
    <w:rsid w:val="00C82B6F"/>
    <w:rsid w:val="00C82B8B"/>
    <w:rsid w:val="00C82F38"/>
    <w:rsid w:val="00C8312E"/>
    <w:rsid w:val="00C83AD3"/>
    <w:rsid w:val="00C841A1"/>
    <w:rsid w:val="00C8431F"/>
    <w:rsid w:val="00C844D2"/>
    <w:rsid w:val="00C8463C"/>
    <w:rsid w:val="00C846C1"/>
    <w:rsid w:val="00C84CB4"/>
    <w:rsid w:val="00C84E09"/>
    <w:rsid w:val="00C84EE2"/>
    <w:rsid w:val="00C84F98"/>
    <w:rsid w:val="00C85665"/>
    <w:rsid w:val="00C856A6"/>
    <w:rsid w:val="00C85BF6"/>
    <w:rsid w:val="00C85C5C"/>
    <w:rsid w:val="00C867D5"/>
    <w:rsid w:val="00C86864"/>
    <w:rsid w:val="00C868D6"/>
    <w:rsid w:val="00C86A8A"/>
    <w:rsid w:val="00C86FEE"/>
    <w:rsid w:val="00C870C9"/>
    <w:rsid w:val="00C87101"/>
    <w:rsid w:val="00C87463"/>
    <w:rsid w:val="00C877D9"/>
    <w:rsid w:val="00C87804"/>
    <w:rsid w:val="00C87C5E"/>
    <w:rsid w:val="00C87D37"/>
    <w:rsid w:val="00C87E44"/>
    <w:rsid w:val="00C87F7C"/>
    <w:rsid w:val="00C87F88"/>
    <w:rsid w:val="00C90062"/>
    <w:rsid w:val="00C90170"/>
    <w:rsid w:val="00C90A21"/>
    <w:rsid w:val="00C90E64"/>
    <w:rsid w:val="00C90FAC"/>
    <w:rsid w:val="00C91135"/>
    <w:rsid w:val="00C911B1"/>
    <w:rsid w:val="00C91919"/>
    <w:rsid w:val="00C91EA3"/>
    <w:rsid w:val="00C92281"/>
    <w:rsid w:val="00C92498"/>
    <w:rsid w:val="00C924AC"/>
    <w:rsid w:val="00C926F8"/>
    <w:rsid w:val="00C92993"/>
    <w:rsid w:val="00C929B2"/>
    <w:rsid w:val="00C92BBF"/>
    <w:rsid w:val="00C92BED"/>
    <w:rsid w:val="00C92CF2"/>
    <w:rsid w:val="00C92FCC"/>
    <w:rsid w:val="00C93531"/>
    <w:rsid w:val="00C93C4F"/>
    <w:rsid w:val="00C93D60"/>
    <w:rsid w:val="00C93FB6"/>
    <w:rsid w:val="00C9419F"/>
    <w:rsid w:val="00C94454"/>
    <w:rsid w:val="00C94462"/>
    <w:rsid w:val="00C94652"/>
    <w:rsid w:val="00C94973"/>
    <w:rsid w:val="00C94E74"/>
    <w:rsid w:val="00C95196"/>
    <w:rsid w:val="00C956A3"/>
    <w:rsid w:val="00C95F3C"/>
    <w:rsid w:val="00C960DD"/>
    <w:rsid w:val="00C96678"/>
    <w:rsid w:val="00C96C3C"/>
    <w:rsid w:val="00C96D10"/>
    <w:rsid w:val="00C96E7C"/>
    <w:rsid w:val="00C97300"/>
    <w:rsid w:val="00C9757E"/>
    <w:rsid w:val="00C976E4"/>
    <w:rsid w:val="00C97749"/>
    <w:rsid w:val="00C978C0"/>
    <w:rsid w:val="00C979F5"/>
    <w:rsid w:val="00C97FF5"/>
    <w:rsid w:val="00CA0042"/>
    <w:rsid w:val="00CA01BF"/>
    <w:rsid w:val="00CA068D"/>
    <w:rsid w:val="00CA0808"/>
    <w:rsid w:val="00CA0A81"/>
    <w:rsid w:val="00CA0CCA"/>
    <w:rsid w:val="00CA0E76"/>
    <w:rsid w:val="00CA12E2"/>
    <w:rsid w:val="00CA13F0"/>
    <w:rsid w:val="00CA13FD"/>
    <w:rsid w:val="00CA1460"/>
    <w:rsid w:val="00CA1726"/>
    <w:rsid w:val="00CA175C"/>
    <w:rsid w:val="00CA238B"/>
    <w:rsid w:val="00CA27FB"/>
    <w:rsid w:val="00CA2806"/>
    <w:rsid w:val="00CA2929"/>
    <w:rsid w:val="00CA29A5"/>
    <w:rsid w:val="00CA2A78"/>
    <w:rsid w:val="00CA2BC4"/>
    <w:rsid w:val="00CA2F72"/>
    <w:rsid w:val="00CA2FCE"/>
    <w:rsid w:val="00CA3127"/>
    <w:rsid w:val="00CA32D8"/>
    <w:rsid w:val="00CA3308"/>
    <w:rsid w:val="00CA387B"/>
    <w:rsid w:val="00CA388F"/>
    <w:rsid w:val="00CA3CC1"/>
    <w:rsid w:val="00CA43A5"/>
    <w:rsid w:val="00CA46D7"/>
    <w:rsid w:val="00CA47A6"/>
    <w:rsid w:val="00CA49A7"/>
    <w:rsid w:val="00CA4BC9"/>
    <w:rsid w:val="00CA4CFD"/>
    <w:rsid w:val="00CA4D60"/>
    <w:rsid w:val="00CA4EB2"/>
    <w:rsid w:val="00CA522A"/>
    <w:rsid w:val="00CA5674"/>
    <w:rsid w:val="00CA5B26"/>
    <w:rsid w:val="00CA5DC6"/>
    <w:rsid w:val="00CA5F80"/>
    <w:rsid w:val="00CA6084"/>
    <w:rsid w:val="00CA63FD"/>
    <w:rsid w:val="00CA645F"/>
    <w:rsid w:val="00CA6B83"/>
    <w:rsid w:val="00CA70CE"/>
    <w:rsid w:val="00CA72BA"/>
    <w:rsid w:val="00CA72E3"/>
    <w:rsid w:val="00CA7589"/>
    <w:rsid w:val="00CA7AF0"/>
    <w:rsid w:val="00CA7C81"/>
    <w:rsid w:val="00CA7CD2"/>
    <w:rsid w:val="00CA7F4B"/>
    <w:rsid w:val="00CB002A"/>
    <w:rsid w:val="00CB011E"/>
    <w:rsid w:val="00CB04F1"/>
    <w:rsid w:val="00CB07AB"/>
    <w:rsid w:val="00CB07AD"/>
    <w:rsid w:val="00CB08DF"/>
    <w:rsid w:val="00CB0A6A"/>
    <w:rsid w:val="00CB0E8E"/>
    <w:rsid w:val="00CB12B1"/>
    <w:rsid w:val="00CB12D2"/>
    <w:rsid w:val="00CB184A"/>
    <w:rsid w:val="00CB1971"/>
    <w:rsid w:val="00CB197E"/>
    <w:rsid w:val="00CB1F89"/>
    <w:rsid w:val="00CB1F97"/>
    <w:rsid w:val="00CB1FB3"/>
    <w:rsid w:val="00CB1FB7"/>
    <w:rsid w:val="00CB20E6"/>
    <w:rsid w:val="00CB2A06"/>
    <w:rsid w:val="00CB2E9D"/>
    <w:rsid w:val="00CB2EC1"/>
    <w:rsid w:val="00CB399B"/>
    <w:rsid w:val="00CB421E"/>
    <w:rsid w:val="00CB4296"/>
    <w:rsid w:val="00CB4465"/>
    <w:rsid w:val="00CB46FA"/>
    <w:rsid w:val="00CB4727"/>
    <w:rsid w:val="00CB4A1F"/>
    <w:rsid w:val="00CB4C20"/>
    <w:rsid w:val="00CB4EAA"/>
    <w:rsid w:val="00CB53EE"/>
    <w:rsid w:val="00CB5492"/>
    <w:rsid w:val="00CB55FB"/>
    <w:rsid w:val="00CB5996"/>
    <w:rsid w:val="00CB5BCB"/>
    <w:rsid w:val="00CB6699"/>
    <w:rsid w:val="00CB68C4"/>
    <w:rsid w:val="00CB6985"/>
    <w:rsid w:val="00CB6C3E"/>
    <w:rsid w:val="00CB6D5E"/>
    <w:rsid w:val="00CB6E97"/>
    <w:rsid w:val="00CB6F10"/>
    <w:rsid w:val="00CB73D1"/>
    <w:rsid w:val="00CC044D"/>
    <w:rsid w:val="00CC0736"/>
    <w:rsid w:val="00CC12BF"/>
    <w:rsid w:val="00CC130B"/>
    <w:rsid w:val="00CC13D3"/>
    <w:rsid w:val="00CC13F0"/>
    <w:rsid w:val="00CC1A50"/>
    <w:rsid w:val="00CC1C51"/>
    <w:rsid w:val="00CC2251"/>
    <w:rsid w:val="00CC227C"/>
    <w:rsid w:val="00CC243F"/>
    <w:rsid w:val="00CC2595"/>
    <w:rsid w:val="00CC28F1"/>
    <w:rsid w:val="00CC2933"/>
    <w:rsid w:val="00CC2B7F"/>
    <w:rsid w:val="00CC2C35"/>
    <w:rsid w:val="00CC2F2A"/>
    <w:rsid w:val="00CC2F3D"/>
    <w:rsid w:val="00CC30BB"/>
    <w:rsid w:val="00CC349B"/>
    <w:rsid w:val="00CC3AE2"/>
    <w:rsid w:val="00CC45D0"/>
    <w:rsid w:val="00CC4925"/>
    <w:rsid w:val="00CC4F64"/>
    <w:rsid w:val="00CC4FB5"/>
    <w:rsid w:val="00CC55BF"/>
    <w:rsid w:val="00CC5734"/>
    <w:rsid w:val="00CC5852"/>
    <w:rsid w:val="00CC5A86"/>
    <w:rsid w:val="00CC5C2F"/>
    <w:rsid w:val="00CC6119"/>
    <w:rsid w:val="00CC651E"/>
    <w:rsid w:val="00CC66DA"/>
    <w:rsid w:val="00CC6837"/>
    <w:rsid w:val="00CC6882"/>
    <w:rsid w:val="00CC68FB"/>
    <w:rsid w:val="00CC6F12"/>
    <w:rsid w:val="00CC7049"/>
    <w:rsid w:val="00CC792D"/>
    <w:rsid w:val="00CC79A1"/>
    <w:rsid w:val="00CC7B63"/>
    <w:rsid w:val="00CC7F67"/>
    <w:rsid w:val="00CD0263"/>
    <w:rsid w:val="00CD02F0"/>
    <w:rsid w:val="00CD0393"/>
    <w:rsid w:val="00CD0540"/>
    <w:rsid w:val="00CD0917"/>
    <w:rsid w:val="00CD095E"/>
    <w:rsid w:val="00CD0A5A"/>
    <w:rsid w:val="00CD0E86"/>
    <w:rsid w:val="00CD0E8B"/>
    <w:rsid w:val="00CD12F8"/>
    <w:rsid w:val="00CD1883"/>
    <w:rsid w:val="00CD18D8"/>
    <w:rsid w:val="00CD1A4F"/>
    <w:rsid w:val="00CD1CD1"/>
    <w:rsid w:val="00CD1F6F"/>
    <w:rsid w:val="00CD23EB"/>
    <w:rsid w:val="00CD2733"/>
    <w:rsid w:val="00CD285B"/>
    <w:rsid w:val="00CD2E22"/>
    <w:rsid w:val="00CD31B5"/>
    <w:rsid w:val="00CD3471"/>
    <w:rsid w:val="00CD34D4"/>
    <w:rsid w:val="00CD378F"/>
    <w:rsid w:val="00CD38A8"/>
    <w:rsid w:val="00CD3A65"/>
    <w:rsid w:val="00CD3C33"/>
    <w:rsid w:val="00CD3E47"/>
    <w:rsid w:val="00CD4173"/>
    <w:rsid w:val="00CD48FB"/>
    <w:rsid w:val="00CD4F96"/>
    <w:rsid w:val="00CD4FED"/>
    <w:rsid w:val="00CD50B0"/>
    <w:rsid w:val="00CD521D"/>
    <w:rsid w:val="00CD52A5"/>
    <w:rsid w:val="00CD531E"/>
    <w:rsid w:val="00CD5353"/>
    <w:rsid w:val="00CD570C"/>
    <w:rsid w:val="00CD57C8"/>
    <w:rsid w:val="00CD5945"/>
    <w:rsid w:val="00CD594F"/>
    <w:rsid w:val="00CD5BD8"/>
    <w:rsid w:val="00CD5FF7"/>
    <w:rsid w:val="00CD60C8"/>
    <w:rsid w:val="00CD64F6"/>
    <w:rsid w:val="00CD668D"/>
    <w:rsid w:val="00CD6869"/>
    <w:rsid w:val="00CD749E"/>
    <w:rsid w:val="00CD7525"/>
    <w:rsid w:val="00CD780D"/>
    <w:rsid w:val="00CD7EC8"/>
    <w:rsid w:val="00CE0360"/>
    <w:rsid w:val="00CE039C"/>
    <w:rsid w:val="00CE0597"/>
    <w:rsid w:val="00CE05E8"/>
    <w:rsid w:val="00CE060F"/>
    <w:rsid w:val="00CE142C"/>
    <w:rsid w:val="00CE161C"/>
    <w:rsid w:val="00CE1731"/>
    <w:rsid w:val="00CE1782"/>
    <w:rsid w:val="00CE1BFB"/>
    <w:rsid w:val="00CE1EBA"/>
    <w:rsid w:val="00CE2510"/>
    <w:rsid w:val="00CE2599"/>
    <w:rsid w:val="00CE26B1"/>
    <w:rsid w:val="00CE2931"/>
    <w:rsid w:val="00CE2AB5"/>
    <w:rsid w:val="00CE3857"/>
    <w:rsid w:val="00CE38DC"/>
    <w:rsid w:val="00CE3AC4"/>
    <w:rsid w:val="00CE3BAA"/>
    <w:rsid w:val="00CE3BBB"/>
    <w:rsid w:val="00CE3F78"/>
    <w:rsid w:val="00CE3FB8"/>
    <w:rsid w:val="00CE3FE5"/>
    <w:rsid w:val="00CE40FA"/>
    <w:rsid w:val="00CE46AC"/>
    <w:rsid w:val="00CE4C8E"/>
    <w:rsid w:val="00CE4D6B"/>
    <w:rsid w:val="00CE4D98"/>
    <w:rsid w:val="00CE4EB9"/>
    <w:rsid w:val="00CE4ED7"/>
    <w:rsid w:val="00CE5542"/>
    <w:rsid w:val="00CE58C9"/>
    <w:rsid w:val="00CE58F2"/>
    <w:rsid w:val="00CE592B"/>
    <w:rsid w:val="00CE5A2E"/>
    <w:rsid w:val="00CE5CB3"/>
    <w:rsid w:val="00CE5DB7"/>
    <w:rsid w:val="00CE62C3"/>
    <w:rsid w:val="00CE6AA7"/>
    <w:rsid w:val="00CE6D24"/>
    <w:rsid w:val="00CE6FCB"/>
    <w:rsid w:val="00CE7003"/>
    <w:rsid w:val="00CE754B"/>
    <w:rsid w:val="00CE77AE"/>
    <w:rsid w:val="00CE7A4B"/>
    <w:rsid w:val="00CE7FA9"/>
    <w:rsid w:val="00CF050B"/>
    <w:rsid w:val="00CF0933"/>
    <w:rsid w:val="00CF1000"/>
    <w:rsid w:val="00CF11E8"/>
    <w:rsid w:val="00CF16F9"/>
    <w:rsid w:val="00CF1D89"/>
    <w:rsid w:val="00CF1F6B"/>
    <w:rsid w:val="00CF2240"/>
    <w:rsid w:val="00CF2473"/>
    <w:rsid w:val="00CF2478"/>
    <w:rsid w:val="00CF2772"/>
    <w:rsid w:val="00CF2A32"/>
    <w:rsid w:val="00CF33B8"/>
    <w:rsid w:val="00CF34B8"/>
    <w:rsid w:val="00CF356E"/>
    <w:rsid w:val="00CF35BD"/>
    <w:rsid w:val="00CF394F"/>
    <w:rsid w:val="00CF3D53"/>
    <w:rsid w:val="00CF3EA2"/>
    <w:rsid w:val="00CF4324"/>
    <w:rsid w:val="00CF4427"/>
    <w:rsid w:val="00CF45DD"/>
    <w:rsid w:val="00CF45E9"/>
    <w:rsid w:val="00CF45FE"/>
    <w:rsid w:val="00CF46C7"/>
    <w:rsid w:val="00CF4791"/>
    <w:rsid w:val="00CF4994"/>
    <w:rsid w:val="00CF4AEA"/>
    <w:rsid w:val="00CF4D5D"/>
    <w:rsid w:val="00CF50EF"/>
    <w:rsid w:val="00CF5348"/>
    <w:rsid w:val="00CF54E2"/>
    <w:rsid w:val="00CF5695"/>
    <w:rsid w:val="00CF589D"/>
    <w:rsid w:val="00CF5DFA"/>
    <w:rsid w:val="00CF5F47"/>
    <w:rsid w:val="00CF6194"/>
    <w:rsid w:val="00CF61B8"/>
    <w:rsid w:val="00CF658E"/>
    <w:rsid w:val="00CF66EE"/>
    <w:rsid w:val="00CF681A"/>
    <w:rsid w:val="00CF6B81"/>
    <w:rsid w:val="00CF6C26"/>
    <w:rsid w:val="00CF6D0C"/>
    <w:rsid w:val="00CF6FBF"/>
    <w:rsid w:val="00CF7024"/>
    <w:rsid w:val="00CF70EE"/>
    <w:rsid w:val="00CF723A"/>
    <w:rsid w:val="00CF72C6"/>
    <w:rsid w:val="00CF72D9"/>
    <w:rsid w:val="00CF73AD"/>
    <w:rsid w:val="00CF75A0"/>
    <w:rsid w:val="00CF7605"/>
    <w:rsid w:val="00CF7CBF"/>
    <w:rsid w:val="00D00238"/>
    <w:rsid w:val="00D00473"/>
    <w:rsid w:val="00D004A3"/>
    <w:rsid w:val="00D004F1"/>
    <w:rsid w:val="00D00587"/>
    <w:rsid w:val="00D0074C"/>
    <w:rsid w:val="00D00B26"/>
    <w:rsid w:val="00D00E7C"/>
    <w:rsid w:val="00D00E7E"/>
    <w:rsid w:val="00D00F10"/>
    <w:rsid w:val="00D00FE3"/>
    <w:rsid w:val="00D0101E"/>
    <w:rsid w:val="00D011B8"/>
    <w:rsid w:val="00D01522"/>
    <w:rsid w:val="00D01798"/>
    <w:rsid w:val="00D01F34"/>
    <w:rsid w:val="00D02316"/>
    <w:rsid w:val="00D0238D"/>
    <w:rsid w:val="00D02715"/>
    <w:rsid w:val="00D02795"/>
    <w:rsid w:val="00D02C3B"/>
    <w:rsid w:val="00D02C4D"/>
    <w:rsid w:val="00D02D63"/>
    <w:rsid w:val="00D02F8C"/>
    <w:rsid w:val="00D034CD"/>
    <w:rsid w:val="00D03668"/>
    <w:rsid w:val="00D03992"/>
    <w:rsid w:val="00D03AE0"/>
    <w:rsid w:val="00D03CA7"/>
    <w:rsid w:val="00D04734"/>
    <w:rsid w:val="00D04988"/>
    <w:rsid w:val="00D04B27"/>
    <w:rsid w:val="00D04BC3"/>
    <w:rsid w:val="00D04C96"/>
    <w:rsid w:val="00D04CD0"/>
    <w:rsid w:val="00D04E36"/>
    <w:rsid w:val="00D050C8"/>
    <w:rsid w:val="00D0516B"/>
    <w:rsid w:val="00D05348"/>
    <w:rsid w:val="00D0560B"/>
    <w:rsid w:val="00D05810"/>
    <w:rsid w:val="00D05840"/>
    <w:rsid w:val="00D05A08"/>
    <w:rsid w:val="00D05AC8"/>
    <w:rsid w:val="00D05BCB"/>
    <w:rsid w:val="00D05E7E"/>
    <w:rsid w:val="00D05E8C"/>
    <w:rsid w:val="00D0600E"/>
    <w:rsid w:val="00D0620E"/>
    <w:rsid w:val="00D0627A"/>
    <w:rsid w:val="00D06291"/>
    <w:rsid w:val="00D0653C"/>
    <w:rsid w:val="00D0676E"/>
    <w:rsid w:val="00D06824"/>
    <w:rsid w:val="00D072DB"/>
    <w:rsid w:val="00D07726"/>
    <w:rsid w:val="00D079F6"/>
    <w:rsid w:val="00D07A07"/>
    <w:rsid w:val="00D07C57"/>
    <w:rsid w:val="00D07C8F"/>
    <w:rsid w:val="00D07E6E"/>
    <w:rsid w:val="00D07ED8"/>
    <w:rsid w:val="00D07F8D"/>
    <w:rsid w:val="00D10051"/>
    <w:rsid w:val="00D10260"/>
    <w:rsid w:val="00D10345"/>
    <w:rsid w:val="00D107C5"/>
    <w:rsid w:val="00D10854"/>
    <w:rsid w:val="00D10B3E"/>
    <w:rsid w:val="00D10BBC"/>
    <w:rsid w:val="00D10D3B"/>
    <w:rsid w:val="00D10F4A"/>
    <w:rsid w:val="00D1103C"/>
    <w:rsid w:val="00D110C0"/>
    <w:rsid w:val="00D11143"/>
    <w:rsid w:val="00D11472"/>
    <w:rsid w:val="00D1178D"/>
    <w:rsid w:val="00D118D7"/>
    <w:rsid w:val="00D11DFE"/>
    <w:rsid w:val="00D12304"/>
    <w:rsid w:val="00D126C7"/>
    <w:rsid w:val="00D1281C"/>
    <w:rsid w:val="00D12A81"/>
    <w:rsid w:val="00D12A8E"/>
    <w:rsid w:val="00D12C23"/>
    <w:rsid w:val="00D12D8F"/>
    <w:rsid w:val="00D12DAE"/>
    <w:rsid w:val="00D12FC5"/>
    <w:rsid w:val="00D1320F"/>
    <w:rsid w:val="00D133FC"/>
    <w:rsid w:val="00D1340A"/>
    <w:rsid w:val="00D137F1"/>
    <w:rsid w:val="00D138AC"/>
    <w:rsid w:val="00D13BF1"/>
    <w:rsid w:val="00D13C11"/>
    <w:rsid w:val="00D13E74"/>
    <w:rsid w:val="00D1435B"/>
    <w:rsid w:val="00D143D9"/>
    <w:rsid w:val="00D14409"/>
    <w:rsid w:val="00D14AFF"/>
    <w:rsid w:val="00D14D00"/>
    <w:rsid w:val="00D15102"/>
    <w:rsid w:val="00D151E8"/>
    <w:rsid w:val="00D154D9"/>
    <w:rsid w:val="00D1555E"/>
    <w:rsid w:val="00D158B9"/>
    <w:rsid w:val="00D15919"/>
    <w:rsid w:val="00D15960"/>
    <w:rsid w:val="00D15A6D"/>
    <w:rsid w:val="00D15ACB"/>
    <w:rsid w:val="00D15C17"/>
    <w:rsid w:val="00D162FA"/>
    <w:rsid w:val="00D16AAF"/>
    <w:rsid w:val="00D16ABE"/>
    <w:rsid w:val="00D16B8D"/>
    <w:rsid w:val="00D17258"/>
    <w:rsid w:val="00D172DF"/>
    <w:rsid w:val="00D1764E"/>
    <w:rsid w:val="00D17678"/>
    <w:rsid w:val="00D17838"/>
    <w:rsid w:val="00D1787A"/>
    <w:rsid w:val="00D17A17"/>
    <w:rsid w:val="00D17A97"/>
    <w:rsid w:val="00D20231"/>
    <w:rsid w:val="00D207EB"/>
    <w:rsid w:val="00D209AE"/>
    <w:rsid w:val="00D20A88"/>
    <w:rsid w:val="00D20D17"/>
    <w:rsid w:val="00D21065"/>
    <w:rsid w:val="00D2111B"/>
    <w:rsid w:val="00D2134F"/>
    <w:rsid w:val="00D2153E"/>
    <w:rsid w:val="00D21B3B"/>
    <w:rsid w:val="00D21B61"/>
    <w:rsid w:val="00D21BB1"/>
    <w:rsid w:val="00D21C2F"/>
    <w:rsid w:val="00D22621"/>
    <w:rsid w:val="00D22639"/>
    <w:rsid w:val="00D22680"/>
    <w:rsid w:val="00D22759"/>
    <w:rsid w:val="00D228FE"/>
    <w:rsid w:val="00D22B4D"/>
    <w:rsid w:val="00D22C3A"/>
    <w:rsid w:val="00D22D32"/>
    <w:rsid w:val="00D22D45"/>
    <w:rsid w:val="00D22F19"/>
    <w:rsid w:val="00D22FA9"/>
    <w:rsid w:val="00D23124"/>
    <w:rsid w:val="00D23268"/>
    <w:rsid w:val="00D2359C"/>
    <w:rsid w:val="00D23693"/>
    <w:rsid w:val="00D23695"/>
    <w:rsid w:val="00D238B3"/>
    <w:rsid w:val="00D23947"/>
    <w:rsid w:val="00D23A89"/>
    <w:rsid w:val="00D23AB7"/>
    <w:rsid w:val="00D23AED"/>
    <w:rsid w:val="00D23E5E"/>
    <w:rsid w:val="00D23ED1"/>
    <w:rsid w:val="00D240A1"/>
    <w:rsid w:val="00D2430A"/>
    <w:rsid w:val="00D2437C"/>
    <w:rsid w:val="00D243D9"/>
    <w:rsid w:val="00D24588"/>
    <w:rsid w:val="00D245C6"/>
    <w:rsid w:val="00D2520E"/>
    <w:rsid w:val="00D2533E"/>
    <w:rsid w:val="00D255B9"/>
    <w:rsid w:val="00D2572F"/>
    <w:rsid w:val="00D25E82"/>
    <w:rsid w:val="00D25F85"/>
    <w:rsid w:val="00D2637A"/>
    <w:rsid w:val="00D26AC8"/>
    <w:rsid w:val="00D26B9C"/>
    <w:rsid w:val="00D26BAC"/>
    <w:rsid w:val="00D26D0E"/>
    <w:rsid w:val="00D270E3"/>
    <w:rsid w:val="00D27148"/>
    <w:rsid w:val="00D274BA"/>
    <w:rsid w:val="00D2754A"/>
    <w:rsid w:val="00D275C4"/>
    <w:rsid w:val="00D2781E"/>
    <w:rsid w:val="00D278B6"/>
    <w:rsid w:val="00D279FF"/>
    <w:rsid w:val="00D301A3"/>
    <w:rsid w:val="00D302C2"/>
    <w:rsid w:val="00D30418"/>
    <w:rsid w:val="00D30487"/>
    <w:rsid w:val="00D305C6"/>
    <w:rsid w:val="00D30682"/>
    <w:rsid w:val="00D30B74"/>
    <w:rsid w:val="00D30EDC"/>
    <w:rsid w:val="00D30F7F"/>
    <w:rsid w:val="00D3108A"/>
    <w:rsid w:val="00D31188"/>
    <w:rsid w:val="00D312C8"/>
    <w:rsid w:val="00D3142A"/>
    <w:rsid w:val="00D316D5"/>
    <w:rsid w:val="00D3185A"/>
    <w:rsid w:val="00D32457"/>
    <w:rsid w:val="00D32464"/>
    <w:rsid w:val="00D324C2"/>
    <w:rsid w:val="00D3266E"/>
    <w:rsid w:val="00D32795"/>
    <w:rsid w:val="00D32DB5"/>
    <w:rsid w:val="00D32FE4"/>
    <w:rsid w:val="00D3340B"/>
    <w:rsid w:val="00D334D5"/>
    <w:rsid w:val="00D33655"/>
    <w:rsid w:val="00D3371D"/>
    <w:rsid w:val="00D33781"/>
    <w:rsid w:val="00D33CCA"/>
    <w:rsid w:val="00D33E64"/>
    <w:rsid w:val="00D34052"/>
    <w:rsid w:val="00D3418F"/>
    <w:rsid w:val="00D3489F"/>
    <w:rsid w:val="00D34C57"/>
    <w:rsid w:val="00D34C62"/>
    <w:rsid w:val="00D34D92"/>
    <w:rsid w:val="00D34F75"/>
    <w:rsid w:val="00D3504B"/>
    <w:rsid w:val="00D3511F"/>
    <w:rsid w:val="00D355B3"/>
    <w:rsid w:val="00D356C6"/>
    <w:rsid w:val="00D35875"/>
    <w:rsid w:val="00D35899"/>
    <w:rsid w:val="00D35E61"/>
    <w:rsid w:val="00D364DB"/>
    <w:rsid w:val="00D36676"/>
    <w:rsid w:val="00D36AA8"/>
    <w:rsid w:val="00D36B27"/>
    <w:rsid w:val="00D36C5C"/>
    <w:rsid w:val="00D36E88"/>
    <w:rsid w:val="00D3704A"/>
    <w:rsid w:val="00D370C2"/>
    <w:rsid w:val="00D370E6"/>
    <w:rsid w:val="00D37138"/>
    <w:rsid w:val="00D37431"/>
    <w:rsid w:val="00D37AA7"/>
    <w:rsid w:val="00D37CFD"/>
    <w:rsid w:val="00D37CFE"/>
    <w:rsid w:val="00D37E2F"/>
    <w:rsid w:val="00D37FAB"/>
    <w:rsid w:val="00D40069"/>
    <w:rsid w:val="00D40116"/>
    <w:rsid w:val="00D40453"/>
    <w:rsid w:val="00D405CC"/>
    <w:rsid w:val="00D40972"/>
    <w:rsid w:val="00D40BEA"/>
    <w:rsid w:val="00D40D64"/>
    <w:rsid w:val="00D40F45"/>
    <w:rsid w:val="00D410E7"/>
    <w:rsid w:val="00D41279"/>
    <w:rsid w:val="00D41492"/>
    <w:rsid w:val="00D415B8"/>
    <w:rsid w:val="00D41B6F"/>
    <w:rsid w:val="00D422B4"/>
    <w:rsid w:val="00D42467"/>
    <w:rsid w:val="00D425A2"/>
    <w:rsid w:val="00D42DE9"/>
    <w:rsid w:val="00D43781"/>
    <w:rsid w:val="00D4383F"/>
    <w:rsid w:val="00D438B0"/>
    <w:rsid w:val="00D43A9F"/>
    <w:rsid w:val="00D43C03"/>
    <w:rsid w:val="00D43DA8"/>
    <w:rsid w:val="00D43EE9"/>
    <w:rsid w:val="00D442F1"/>
    <w:rsid w:val="00D44326"/>
    <w:rsid w:val="00D44328"/>
    <w:rsid w:val="00D445EA"/>
    <w:rsid w:val="00D447B1"/>
    <w:rsid w:val="00D44B94"/>
    <w:rsid w:val="00D450DA"/>
    <w:rsid w:val="00D45C4B"/>
    <w:rsid w:val="00D45D03"/>
    <w:rsid w:val="00D45E6A"/>
    <w:rsid w:val="00D46322"/>
    <w:rsid w:val="00D46CB1"/>
    <w:rsid w:val="00D46E99"/>
    <w:rsid w:val="00D46EB5"/>
    <w:rsid w:val="00D46F82"/>
    <w:rsid w:val="00D47161"/>
    <w:rsid w:val="00D4718E"/>
    <w:rsid w:val="00D475AC"/>
    <w:rsid w:val="00D47852"/>
    <w:rsid w:val="00D4792E"/>
    <w:rsid w:val="00D47A22"/>
    <w:rsid w:val="00D47D05"/>
    <w:rsid w:val="00D47D1F"/>
    <w:rsid w:val="00D47EF2"/>
    <w:rsid w:val="00D47FA4"/>
    <w:rsid w:val="00D47FC8"/>
    <w:rsid w:val="00D500A6"/>
    <w:rsid w:val="00D500CA"/>
    <w:rsid w:val="00D50369"/>
    <w:rsid w:val="00D50588"/>
    <w:rsid w:val="00D5068B"/>
    <w:rsid w:val="00D506D5"/>
    <w:rsid w:val="00D50A52"/>
    <w:rsid w:val="00D50DAF"/>
    <w:rsid w:val="00D50F11"/>
    <w:rsid w:val="00D51062"/>
    <w:rsid w:val="00D51150"/>
    <w:rsid w:val="00D516DC"/>
    <w:rsid w:val="00D51971"/>
    <w:rsid w:val="00D51A25"/>
    <w:rsid w:val="00D51A8A"/>
    <w:rsid w:val="00D520C2"/>
    <w:rsid w:val="00D52433"/>
    <w:rsid w:val="00D52609"/>
    <w:rsid w:val="00D52621"/>
    <w:rsid w:val="00D52860"/>
    <w:rsid w:val="00D52F95"/>
    <w:rsid w:val="00D53476"/>
    <w:rsid w:val="00D53B76"/>
    <w:rsid w:val="00D53F30"/>
    <w:rsid w:val="00D540EF"/>
    <w:rsid w:val="00D5415B"/>
    <w:rsid w:val="00D542A3"/>
    <w:rsid w:val="00D54B4D"/>
    <w:rsid w:val="00D54CD5"/>
    <w:rsid w:val="00D54FF1"/>
    <w:rsid w:val="00D55162"/>
    <w:rsid w:val="00D5570D"/>
    <w:rsid w:val="00D55830"/>
    <w:rsid w:val="00D5593B"/>
    <w:rsid w:val="00D55BC5"/>
    <w:rsid w:val="00D55D4F"/>
    <w:rsid w:val="00D55DFD"/>
    <w:rsid w:val="00D55EFC"/>
    <w:rsid w:val="00D5647A"/>
    <w:rsid w:val="00D567C9"/>
    <w:rsid w:val="00D57802"/>
    <w:rsid w:val="00D578C6"/>
    <w:rsid w:val="00D57C1A"/>
    <w:rsid w:val="00D57E1B"/>
    <w:rsid w:val="00D57FBB"/>
    <w:rsid w:val="00D601FB"/>
    <w:rsid w:val="00D60383"/>
    <w:rsid w:val="00D60408"/>
    <w:rsid w:val="00D60576"/>
    <w:rsid w:val="00D60717"/>
    <w:rsid w:val="00D6084A"/>
    <w:rsid w:val="00D611A0"/>
    <w:rsid w:val="00D612B0"/>
    <w:rsid w:val="00D613BE"/>
    <w:rsid w:val="00D61700"/>
    <w:rsid w:val="00D61B05"/>
    <w:rsid w:val="00D61CD3"/>
    <w:rsid w:val="00D61FAB"/>
    <w:rsid w:val="00D62106"/>
    <w:rsid w:val="00D6218B"/>
    <w:rsid w:val="00D62249"/>
    <w:rsid w:val="00D6232A"/>
    <w:rsid w:val="00D6236A"/>
    <w:rsid w:val="00D624B0"/>
    <w:rsid w:val="00D62504"/>
    <w:rsid w:val="00D629EC"/>
    <w:rsid w:val="00D62CD7"/>
    <w:rsid w:val="00D62DC2"/>
    <w:rsid w:val="00D63204"/>
    <w:rsid w:val="00D632A5"/>
    <w:rsid w:val="00D63359"/>
    <w:rsid w:val="00D634B0"/>
    <w:rsid w:val="00D63692"/>
    <w:rsid w:val="00D63966"/>
    <w:rsid w:val="00D639ED"/>
    <w:rsid w:val="00D639F5"/>
    <w:rsid w:val="00D63DCB"/>
    <w:rsid w:val="00D64219"/>
    <w:rsid w:val="00D6445C"/>
    <w:rsid w:val="00D64517"/>
    <w:rsid w:val="00D64A43"/>
    <w:rsid w:val="00D64BEE"/>
    <w:rsid w:val="00D64D0B"/>
    <w:rsid w:val="00D64EF9"/>
    <w:rsid w:val="00D65011"/>
    <w:rsid w:val="00D651FE"/>
    <w:rsid w:val="00D654A1"/>
    <w:rsid w:val="00D65945"/>
    <w:rsid w:val="00D65C78"/>
    <w:rsid w:val="00D65E0E"/>
    <w:rsid w:val="00D662B8"/>
    <w:rsid w:val="00D665E9"/>
    <w:rsid w:val="00D6720C"/>
    <w:rsid w:val="00D67746"/>
    <w:rsid w:val="00D67944"/>
    <w:rsid w:val="00D679F9"/>
    <w:rsid w:val="00D67E35"/>
    <w:rsid w:val="00D67EA6"/>
    <w:rsid w:val="00D67EC8"/>
    <w:rsid w:val="00D67F97"/>
    <w:rsid w:val="00D67FBE"/>
    <w:rsid w:val="00D701A3"/>
    <w:rsid w:val="00D701D4"/>
    <w:rsid w:val="00D702D0"/>
    <w:rsid w:val="00D70580"/>
    <w:rsid w:val="00D70EEF"/>
    <w:rsid w:val="00D71016"/>
    <w:rsid w:val="00D71543"/>
    <w:rsid w:val="00D71A18"/>
    <w:rsid w:val="00D71AB7"/>
    <w:rsid w:val="00D71DC8"/>
    <w:rsid w:val="00D71E09"/>
    <w:rsid w:val="00D723EE"/>
    <w:rsid w:val="00D727FA"/>
    <w:rsid w:val="00D72B62"/>
    <w:rsid w:val="00D72BF0"/>
    <w:rsid w:val="00D72F91"/>
    <w:rsid w:val="00D72FF5"/>
    <w:rsid w:val="00D73208"/>
    <w:rsid w:val="00D73213"/>
    <w:rsid w:val="00D73B71"/>
    <w:rsid w:val="00D73D34"/>
    <w:rsid w:val="00D73D5A"/>
    <w:rsid w:val="00D74308"/>
    <w:rsid w:val="00D74782"/>
    <w:rsid w:val="00D74AB1"/>
    <w:rsid w:val="00D74F20"/>
    <w:rsid w:val="00D7503D"/>
    <w:rsid w:val="00D75045"/>
    <w:rsid w:val="00D7511C"/>
    <w:rsid w:val="00D75181"/>
    <w:rsid w:val="00D75316"/>
    <w:rsid w:val="00D75336"/>
    <w:rsid w:val="00D75480"/>
    <w:rsid w:val="00D75D25"/>
    <w:rsid w:val="00D75EE6"/>
    <w:rsid w:val="00D7606A"/>
    <w:rsid w:val="00D767E7"/>
    <w:rsid w:val="00D767EF"/>
    <w:rsid w:val="00D76910"/>
    <w:rsid w:val="00D76AF8"/>
    <w:rsid w:val="00D76C1C"/>
    <w:rsid w:val="00D770AB"/>
    <w:rsid w:val="00D77252"/>
    <w:rsid w:val="00D774E5"/>
    <w:rsid w:val="00D777BF"/>
    <w:rsid w:val="00D77903"/>
    <w:rsid w:val="00D80236"/>
    <w:rsid w:val="00D80267"/>
    <w:rsid w:val="00D803D3"/>
    <w:rsid w:val="00D80680"/>
    <w:rsid w:val="00D806DB"/>
    <w:rsid w:val="00D8076B"/>
    <w:rsid w:val="00D8076D"/>
    <w:rsid w:val="00D80797"/>
    <w:rsid w:val="00D80A90"/>
    <w:rsid w:val="00D812CF"/>
    <w:rsid w:val="00D814AA"/>
    <w:rsid w:val="00D816B0"/>
    <w:rsid w:val="00D818A9"/>
    <w:rsid w:val="00D8190B"/>
    <w:rsid w:val="00D819FE"/>
    <w:rsid w:val="00D81DD3"/>
    <w:rsid w:val="00D81DF3"/>
    <w:rsid w:val="00D81EDC"/>
    <w:rsid w:val="00D82044"/>
    <w:rsid w:val="00D8231C"/>
    <w:rsid w:val="00D8236A"/>
    <w:rsid w:val="00D82685"/>
    <w:rsid w:val="00D82A46"/>
    <w:rsid w:val="00D82A82"/>
    <w:rsid w:val="00D82E6D"/>
    <w:rsid w:val="00D8327E"/>
    <w:rsid w:val="00D83420"/>
    <w:rsid w:val="00D83665"/>
    <w:rsid w:val="00D83842"/>
    <w:rsid w:val="00D83BEE"/>
    <w:rsid w:val="00D84294"/>
    <w:rsid w:val="00D842BE"/>
    <w:rsid w:val="00D84535"/>
    <w:rsid w:val="00D84A33"/>
    <w:rsid w:val="00D84D63"/>
    <w:rsid w:val="00D85479"/>
    <w:rsid w:val="00D857D1"/>
    <w:rsid w:val="00D859F6"/>
    <w:rsid w:val="00D85BD5"/>
    <w:rsid w:val="00D85DB8"/>
    <w:rsid w:val="00D85FFE"/>
    <w:rsid w:val="00D86264"/>
    <w:rsid w:val="00D863C2"/>
    <w:rsid w:val="00D865A3"/>
    <w:rsid w:val="00D866AD"/>
    <w:rsid w:val="00D867DF"/>
    <w:rsid w:val="00D8688C"/>
    <w:rsid w:val="00D868D9"/>
    <w:rsid w:val="00D8765E"/>
    <w:rsid w:val="00D90191"/>
    <w:rsid w:val="00D9060E"/>
    <w:rsid w:val="00D910E5"/>
    <w:rsid w:val="00D9110B"/>
    <w:rsid w:val="00D918E9"/>
    <w:rsid w:val="00D918F0"/>
    <w:rsid w:val="00D91992"/>
    <w:rsid w:val="00D91E8D"/>
    <w:rsid w:val="00D91FED"/>
    <w:rsid w:val="00D922F6"/>
    <w:rsid w:val="00D92BB3"/>
    <w:rsid w:val="00D92DA7"/>
    <w:rsid w:val="00D93008"/>
    <w:rsid w:val="00D9314B"/>
    <w:rsid w:val="00D93236"/>
    <w:rsid w:val="00D932DD"/>
    <w:rsid w:val="00D937BD"/>
    <w:rsid w:val="00D93989"/>
    <w:rsid w:val="00D93C29"/>
    <w:rsid w:val="00D93FF8"/>
    <w:rsid w:val="00D94256"/>
    <w:rsid w:val="00D944CD"/>
    <w:rsid w:val="00D9463C"/>
    <w:rsid w:val="00D94748"/>
    <w:rsid w:val="00D94891"/>
    <w:rsid w:val="00D94B01"/>
    <w:rsid w:val="00D94DAE"/>
    <w:rsid w:val="00D94E2E"/>
    <w:rsid w:val="00D95220"/>
    <w:rsid w:val="00D95699"/>
    <w:rsid w:val="00D95EA2"/>
    <w:rsid w:val="00D95F51"/>
    <w:rsid w:val="00D95F97"/>
    <w:rsid w:val="00D96088"/>
    <w:rsid w:val="00D96134"/>
    <w:rsid w:val="00D9613F"/>
    <w:rsid w:val="00D961A1"/>
    <w:rsid w:val="00D96253"/>
    <w:rsid w:val="00D963AA"/>
    <w:rsid w:val="00D9688F"/>
    <w:rsid w:val="00D96CBE"/>
    <w:rsid w:val="00D973D5"/>
    <w:rsid w:val="00D973EB"/>
    <w:rsid w:val="00D9776D"/>
    <w:rsid w:val="00D977F6"/>
    <w:rsid w:val="00D97890"/>
    <w:rsid w:val="00D97BF9"/>
    <w:rsid w:val="00D97CF0"/>
    <w:rsid w:val="00D97E2C"/>
    <w:rsid w:val="00DA0E63"/>
    <w:rsid w:val="00DA0E9F"/>
    <w:rsid w:val="00DA1510"/>
    <w:rsid w:val="00DA1566"/>
    <w:rsid w:val="00DA15F8"/>
    <w:rsid w:val="00DA1953"/>
    <w:rsid w:val="00DA222F"/>
    <w:rsid w:val="00DA2610"/>
    <w:rsid w:val="00DA28F2"/>
    <w:rsid w:val="00DA2B74"/>
    <w:rsid w:val="00DA2D68"/>
    <w:rsid w:val="00DA2E1B"/>
    <w:rsid w:val="00DA3015"/>
    <w:rsid w:val="00DA3133"/>
    <w:rsid w:val="00DA3318"/>
    <w:rsid w:val="00DA38BB"/>
    <w:rsid w:val="00DA3FB7"/>
    <w:rsid w:val="00DA45E7"/>
    <w:rsid w:val="00DA462A"/>
    <w:rsid w:val="00DA47CC"/>
    <w:rsid w:val="00DA4B53"/>
    <w:rsid w:val="00DA5010"/>
    <w:rsid w:val="00DA50D8"/>
    <w:rsid w:val="00DA52DF"/>
    <w:rsid w:val="00DA564A"/>
    <w:rsid w:val="00DA591F"/>
    <w:rsid w:val="00DA5A06"/>
    <w:rsid w:val="00DA5A55"/>
    <w:rsid w:val="00DA5A8D"/>
    <w:rsid w:val="00DA5FBB"/>
    <w:rsid w:val="00DA62D8"/>
    <w:rsid w:val="00DA6336"/>
    <w:rsid w:val="00DA6732"/>
    <w:rsid w:val="00DA6877"/>
    <w:rsid w:val="00DA6A0D"/>
    <w:rsid w:val="00DA6E7C"/>
    <w:rsid w:val="00DA6EE5"/>
    <w:rsid w:val="00DA6F5D"/>
    <w:rsid w:val="00DA70C7"/>
    <w:rsid w:val="00DA73DA"/>
    <w:rsid w:val="00DA76C0"/>
    <w:rsid w:val="00DA774B"/>
    <w:rsid w:val="00DA77C4"/>
    <w:rsid w:val="00DA77E3"/>
    <w:rsid w:val="00DA7C3B"/>
    <w:rsid w:val="00DA7C54"/>
    <w:rsid w:val="00DA7F5A"/>
    <w:rsid w:val="00DB05ED"/>
    <w:rsid w:val="00DB06AD"/>
    <w:rsid w:val="00DB0AB3"/>
    <w:rsid w:val="00DB11EE"/>
    <w:rsid w:val="00DB13BC"/>
    <w:rsid w:val="00DB195F"/>
    <w:rsid w:val="00DB19A4"/>
    <w:rsid w:val="00DB1A46"/>
    <w:rsid w:val="00DB20B4"/>
    <w:rsid w:val="00DB227A"/>
    <w:rsid w:val="00DB2453"/>
    <w:rsid w:val="00DB2498"/>
    <w:rsid w:val="00DB279A"/>
    <w:rsid w:val="00DB281F"/>
    <w:rsid w:val="00DB2E6A"/>
    <w:rsid w:val="00DB3110"/>
    <w:rsid w:val="00DB3191"/>
    <w:rsid w:val="00DB3566"/>
    <w:rsid w:val="00DB35AF"/>
    <w:rsid w:val="00DB3740"/>
    <w:rsid w:val="00DB37A2"/>
    <w:rsid w:val="00DB3859"/>
    <w:rsid w:val="00DB3914"/>
    <w:rsid w:val="00DB3C18"/>
    <w:rsid w:val="00DB3F25"/>
    <w:rsid w:val="00DB3FCF"/>
    <w:rsid w:val="00DB4243"/>
    <w:rsid w:val="00DB4A0D"/>
    <w:rsid w:val="00DB4EE7"/>
    <w:rsid w:val="00DB51CD"/>
    <w:rsid w:val="00DB523B"/>
    <w:rsid w:val="00DB5305"/>
    <w:rsid w:val="00DB5376"/>
    <w:rsid w:val="00DB538A"/>
    <w:rsid w:val="00DB55C2"/>
    <w:rsid w:val="00DB5620"/>
    <w:rsid w:val="00DB5900"/>
    <w:rsid w:val="00DB5B4A"/>
    <w:rsid w:val="00DB5D65"/>
    <w:rsid w:val="00DB5E2B"/>
    <w:rsid w:val="00DB6224"/>
    <w:rsid w:val="00DB6505"/>
    <w:rsid w:val="00DB6C69"/>
    <w:rsid w:val="00DB6D1F"/>
    <w:rsid w:val="00DB6FEC"/>
    <w:rsid w:val="00DB717F"/>
    <w:rsid w:val="00DB71C4"/>
    <w:rsid w:val="00DB7280"/>
    <w:rsid w:val="00DB7516"/>
    <w:rsid w:val="00DB76FE"/>
    <w:rsid w:val="00DB77C4"/>
    <w:rsid w:val="00DB7C09"/>
    <w:rsid w:val="00DB7C69"/>
    <w:rsid w:val="00DC031D"/>
    <w:rsid w:val="00DC03FF"/>
    <w:rsid w:val="00DC07BF"/>
    <w:rsid w:val="00DC07C3"/>
    <w:rsid w:val="00DC089C"/>
    <w:rsid w:val="00DC08C9"/>
    <w:rsid w:val="00DC0D64"/>
    <w:rsid w:val="00DC0EBE"/>
    <w:rsid w:val="00DC0F41"/>
    <w:rsid w:val="00DC117C"/>
    <w:rsid w:val="00DC129D"/>
    <w:rsid w:val="00DC146F"/>
    <w:rsid w:val="00DC1520"/>
    <w:rsid w:val="00DC1BD8"/>
    <w:rsid w:val="00DC2051"/>
    <w:rsid w:val="00DC2321"/>
    <w:rsid w:val="00DC2525"/>
    <w:rsid w:val="00DC2B84"/>
    <w:rsid w:val="00DC3009"/>
    <w:rsid w:val="00DC3162"/>
    <w:rsid w:val="00DC3164"/>
    <w:rsid w:val="00DC35D6"/>
    <w:rsid w:val="00DC377B"/>
    <w:rsid w:val="00DC38E2"/>
    <w:rsid w:val="00DC3BF4"/>
    <w:rsid w:val="00DC3EB1"/>
    <w:rsid w:val="00DC4366"/>
    <w:rsid w:val="00DC4502"/>
    <w:rsid w:val="00DC4516"/>
    <w:rsid w:val="00DC4857"/>
    <w:rsid w:val="00DC49B1"/>
    <w:rsid w:val="00DC4C09"/>
    <w:rsid w:val="00DC4D49"/>
    <w:rsid w:val="00DC4E06"/>
    <w:rsid w:val="00DC4F62"/>
    <w:rsid w:val="00DC501A"/>
    <w:rsid w:val="00DC5202"/>
    <w:rsid w:val="00DC5293"/>
    <w:rsid w:val="00DC55F5"/>
    <w:rsid w:val="00DC5836"/>
    <w:rsid w:val="00DC5C1A"/>
    <w:rsid w:val="00DC602E"/>
    <w:rsid w:val="00DC665B"/>
    <w:rsid w:val="00DC6A37"/>
    <w:rsid w:val="00DC6B22"/>
    <w:rsid w:val="00DC6CC5"/>
    <w:rsid w:val="00DC729F"/>
    <w:rsid w:val="00DC7640"/>
    <w:rsid w:val="00DC77F6"/>
    <w:rsid w:val="00DC78E7"/>
    <w:rsid w:val="00DC793A"/>
    <w:rsid w:val="00DC7ED7"/>
    <w:rsid w:val="00DD0146"/>
    <w:rsid w:val="00DD04B5"/>
    <w:rsid w:val="00DD0664"/>
    <w:rsid w:val="00DD0ADD"/>
    <w:rsid w:val="00DD0B51"/>
    <w:rsid w:val="00DD0C4B"/>
    <w:rsid w:val="00DD0D3F"/>
    <w:rsid w:val="00DD0D74"/>
    <w:rsid w:val="00DD0D8D"/>
    <w:rsid w:val="00DD1063"/>
    <w:rsid w:val="00DD10AA"/>
    <w:rsid w:val="00DD12C9"/>
    <w:rsid w:val="00DD162E"/>
    <w:rsid w:val="00DD17FB"/>
    <w:rsid w:val="00DD1B01"/>
    <w:rsid w:val="00DD1BB5"/>
    <w:rsid w:val="00DD1C2F"/>
    <w:rsid w:val="00DD1F59"/>
    <w:rsid w:val="00DD1FCC"/>
    <w:rsid w:val="00DD2694"/>
    <w:rsid w:val="00DD2706"/>
    <w:rsid w:val="00DD27B9"/>
    <w:rsid w:val="00DD2863"/>
    <w:rsid w:val="00DD2CA6"/>
    <w:rsid w:val="00DD2D42"/>
    <w:rsid w:val="00DD2E01"/>
    <w:rsid w:val="00DD2EBA"/>
    <w:rsid w:val="00DD3424"/>
    <w:rsid w:val="00DD356C"/>
    <w:rsid w:val="00DD39A0"/>
    <w:rsid w:val="00DD3A06"/>
    <w:rsid w:val="00DD3BCF"/>
    <w:rsid w:val="00DD3E6F"/>
    <w:rsid w:val="00DD4069"/>
    <w:rsid w:val="00DD464E"/>
    <w:rsid w:val="00DD5055"/>
    <w:rsid w:val="00DD51C2"/>
    <w:rsid w:val="00DD542D"/>
    <w:rsid w:val="00DD5629"/>
    <w:rsid w:val="00DD569B"/>
    <w:rsid w:val="00DD56EF"/>
    <w:rsid w:val="00DD57C2"/>
    <w:rsid w:val="00DD5A77"/>
    <w:rsid w:val="00DD5C72"/>
    <w:rsid w:val="00DD5DDA"/>
    <w:rsid w:val="00DD6C0C"/>
    <w:rsid w:val="00DD6E31"/>
    <w:rsid w:val="00DD6F87"/>
    <w:rsid w:val="00DD7044"/>
    <w:rsid w:val="00DD7123"/>
    <w:rsid w:val="00DD74FE"/>
    <w:rsid w:val="00DD7641"/>
    <w:rsid w:val="00DD7789"/>
    <w:rsid w:val="00DD7801"/>
    <w:rsid w:val="00DD799B"/>
    <w:rsid w:val="00DD7B6F"/>
    <w:rsid w:val="00DD7BEB"/>
    <w:rsid w:val="00DD7C96"/>
    <w:rsid w:val="00DD7F9B"/>
    <w:rsid w:val="00DE0115"/>
    <w:rsid w:val="00DE01EC"/>
    <w:rsid w:val="00DE0540"/>
    <w:rsid w:val="00DE0586"/>
    <w:rsid w:val="00DE0667"/>
    <w:rsid w:val="00DE0922"/>
    <w:rsid w:val="00DE0C24"/>
    <w:rsid w:val="00DE0C8B"/>
    <w:rsid w:val="00DE0EE6"/>
    <w:rsid w:val="00DE0F9F"/>
    <w:rsid w:val="00DE13DC"/>
    <w:rsid w:val="00DE149A"/>
    <w:rsid w:val="00DE1577"/>
    <w:rsid w:val="00DE1A2D"/>
    <w:rsid w:val="00DE1AE0"/>
    <w:rsid w:val="00DE1AE6"/>
    <w:rsid w:val="00DE1E2A"/>
    <w:rsid w:val="00DE1E53"/>
    <w:rsid w:val="00DE20D1"/>
    <w:rsid w:val="00DE247F"/>
    <w:rsid w:val="00DE2606"/>
    <w:rsid w:val="00DE273B"/>
    <w:rsid w:val="00DE287F"/>
    <w:rsid w:val="00DE29C1"/>
    <w:rsid w:val="00DE30C5"/>
    <w:rsid w:val="00DE33BD"/>
    <w:rsid w:val="00DE36AD"/>
    <w:rsid w:val="00DE3769"/>
    <w:rsid w:val="00DE3C30"/>
    <w:rsid w:val="00DE3C7D"/>
    <w:rsid w:val="00DE3D54"/>
    <w:rsid w:val="00DE3F02"/>
    <w:rsid w:val="00DE4048"/>
    <w:rsid w:val="00DE4090"/>
    <w:rsid w:val="00DE4919"/>
    <w:rsid w:val="00DE493A"/>
    <w:rsid w:val="00DE49E1"/>
    <w:rsid w:val="00DE4F15"/>
    <w:rsid w:val="00DE513C"/>
    <w:rsid w:val="00DE5233"/>
    <w:rsid w:val="00DE525A"/>
    <w:rsid w:val="00DE5271"/>
    <w:rsid w:val="00DE5355"/>
    <w:rsid w:val="00DE5679"/>
    <w:rsid w:val="00DE589F"/>
    <w:rsid w:val="00DE5D13"/>
    <w:rsid w:val="00DE5E03"/>
    <w:rsid w:val="00DE6226"/>
    <w:rsid w:val="00DE6A9B"/>
    <w:rsid w:val="00DE6CCD"/>
    <w:rsid w:val="00DE6D50"/>
    <w:rsid w:val="00DE6DA6"/>
    <w:rsid w:val="00DE6F9A"/>
    <w:rsid w:val="00DE73D8"/>
    <w:rsid w:val="00DE7619"/>
    <w:rsid w:val="00DE767F"/>
    <w:rsid w:val="00DE776B"/>
    <w:rsid w:val="00DE7836"/>
    <w:rsid w:val="00DE7F5E"/>
    <w:rsid w:val="00DF0058"/>
    <w:rsid w:val="00DF02AE"/>
    <w:rsid w:val="00DF0565"/>
    <w:rsid w:val="00DF0596"/>
    <w:rsid w:val="00DF0734"/>
    <w:rsid w:val="00DF0801"/>
    <w:rsid w:val="00DF0D7B"/>
    <w:rsid w:val="00DF1120"/>
    <w:rsid w:val="00DF129B"/>
    <w:rsid w:val="00DF142F"/>
    <w:rsid w:val="00DF1494"/>
    <w:rsid w:val="00DF1648"/>
    <w:rsid w:val="00DF1A27"/>
    <w:rsid w:val="00DF1C7F"/>
    <w:rsid w:val="00DF1E0F"/>
    <w:rsid w:val="00DF2F6E"/>
    <w:rsid w:val="00DF31CE"/>
    <w:rsid w:val="00DF31E5"/>
    <w:rsid w:val="00DF33C2"/>
    <w:rsid w:val="00DF3688"/>
    <w:rsid w:val="00DF36D9"/>
    <w:rsid w:val="00DF37E3"/>
    <w:rsid w:val="00DF393B"/>
    <w:rsid w:val="00DF3B43"/>
    <w:rsid w:val="00DF3F09"/>
    <w:rsid w:val="00DF4378"/>
    <w:rsid w:val="00DF45F7"/>
    <w:rsid w:val="00DF47DD"/>
    <w:rsid w:val="00DF4842"/>
    <w:rsid w:val="00DF4A46"/>
    <w:rsid w:val="00DF4DBB"/>
    <w:rsid w:val="00DF4E6A"/>
    <w:rsid w:val="00DF51E2"/>
    <w:rsid w:val="00DF5255"/>
    <w:rsid w:val="00DF5378"/>
    <w:rsid w:val="00DF5439"/>
    <w:rsid w:val="00DF5462"/>
    <w:rsid w:val="00DF576C"/>
    <w:rsid w:val="00DF5A34"/>
    <w:rsid w:val="00DF5A8C"/>
    <w:rsid w:val="00DF5B70"/>
    <w:rsid w:val="00DF5C0E"/>
    <w:rsid w:val="00DF5FE5"/>
    <w:rsid w:val="00DF62FC"/>
    <w:rsid w:val="00DF6383"/>
    <w:rsid w:val="00DF650B"/>
    <w:rsid w:val="00DF6696"/>
    <w:rsid w:val="00DF6CB1"/>
    <w:rsid w:val="00DF6EF0"/>
    <w:rsid w:val="00DF6FBE"/>
    <w:rsid w:val="00DF7086"/>
    <w:rsid w:val="00DF721A"/>
    <w:rsid w:val="00DF7281"/>
    <w:rsid w:val="00DF7618"/>
    <w:rsid w:val="00DF77A9"/>
    <w:rsid w:val="00DF7B68"/>
    <w:rsid w:val="00E00264"/>
    <w:rsid w:val="00E00540"/>
    <w:rsid w:val="00E00622"/>
    <w:rsid w:val="00E0095A"/>
    <w:rsid w:val="00E0099E"/>
    <w:rsid w:val="00E0109B"/>
    <w:rsid w:val="00E011A9"/>
    <w:rsid w:val="00E017C7"/>
    <w:rsid w:val="00E01925"/>
    <w:rsid w:val="00E01DB4"/>
    <w:rsid w:val="00E01E97"/>
    <w:rsid w:val="00E023FA"/>
    <w:rsid w:val="00E0253C"/>
    <w:rsid w:val="00E0255B"/>
    <w:rsid w:val="00E02A7E"/>
    <w:rsid w:val="00E02A89"/>
    <w:rsid w:val="00E03042"/>
    <w:rsid w:val="00E030F0"/>
    <w:rsid w:val="00E03571"/>
    <w:rsid w:val="00E036BA"/>
    <w:rsid w:val="00E03B6B"/>
    <w:rsid w:val="00E03C25"/>
    <w:rsid w:val="00E03DCF"/>
    <w:rsid w:val="00E04094"/>
    <w:rsid w:val="00E040A9"/>
    <w:rsid w:val="00E04455"/>
    <w:rsid w:val="00E0454C"/>
    <w:rsid w:val="00E04883"/>
    <w:rsid w:val="00E048CA"/>
    <w:rsid w:val="00E04DAB"/>
    <w:rsid w:val="00E04DCA"/>
    <w:rsid w:val="00E04FEF"/>
    <w:rsid w:val="00E05685"/>
    <w:rsid w:val="00E05972"/>
    <w:rsid w:val="00E05B3B"/>
    <w:rsid w:val="00E05DCF"/>
    <w:rsid w:val="00E0681B"/>
    <w:rsid w:val="00E06945"/>
    <w:rsid w:val="00E06DE3"/>
    <w:rsid w:val="00E06E7D"/>
    <w:rsid w:val="00E0729A"/>
    <w:rsid w:val="00E0758C"/>
    <w:rsid w:val="00E07782"/>
    <w:rsid w:val="00E07C82"/>
    <w:rsid w:val="00E07D60"/>
    <w:rsid w:val="00E07DAB"/>
    <w:rsid w:val="00E07EF2"/>
    <w:rsid w:val="00E10E0B"/>
    <w:rsid w:val="00E111D6"/>
    <w:rsid w:val="00E1126E"/>
    <w:rsid w:val="00E11596"/>
    <w:rsid w:val="00E1161C"/>
    <w:rsid w:val="00E1171F"/>
    <w:rsid w:val="00E11973"/>
    <w:rsid w:val="00E121D6"/>
    <w:rsid w:val="00E12452"/>
    <w:rsid w:val="00E12585"/>
    <w:rsid w:val="00E127CA"/>
    <w:rsid w:val="00E12821"/>
    <w:rsid w:val="00E12889"/>
    <w:rsid w:val="00E12B97"/>
    <w:rsid w:val="00E12E40"/>
    <w:rsid w:val="00E12F7A"/>
    <w:rsid w:val="00E12F95"/>
    <w:rsid w:val="00E13036"/>
    <w:rsid w:val="00E13424"/>
    <w:rsid w:val="00E13481"/>
    <w:rsid w:val="00E135D1"/>
    <w:rsid w:val="00E139FA"/>
    <w:rsid w:val="00E13C66"/>
    <w:rsid w:val="00E13EC6"/>
    <w:rsid w:val="00E141FE"/>
    <w:rsid w:val="00E14277"/>
    <w:rsid w:val="00E149FC"/>
    <w:rsid w:val="00E14CD0"/>
    <w:rsid w:val="00E14E53"/>
    <w:rsid w:val="00E15098"/>
    <w:rsid w:val="00E152B2"/>
    <w:rsid w:val="00E15409"/>
    <w:rsid w:val="00E1543A"/>
    <w:rsid w:val="00E158FA"/>
    <w:rsid w:val="00E15915"/>
    <w:rsid w:val="00E15A0C"/>
    <w:rsid w:val="00E15F03"/>
    <w:rsid w:val="00E16037"/>
    <w:rsid w:val="00E16585"/>
    <w:rsid w:val="00E16825"/>
    <w:rsid w:val="00E16D36"/>
    <w:rsid w:val="00E1720E"/>
    <w:rsid w:val="00E173C6"/>
    <w:rsid w:val="00E175C6"/>
    <w:rsid w:val="00E176B5"/>
    <w:rsid w:val="00E17AFF"/>
    <w:rsid w:val="00E17B17"/>
    <w:rsid w:val="00E20002"/>
    <w:rsid w:val="00E20236"/>
    <w:rsid w:val="00E2035D"/>
    <w:rsid w:val="00E203B6"/>
    <w:rsid w:val="00E2067F"/>
    <w:rsid w:val="00E20800"/>
    <w:rsid w:val="00E209C3"/>
    <w:rsid w:val="00E212A3"/>
    <w:rsid w:val="00E214CC"/>
    <w:rsid w:val="00E215F4"/>
    <w:rsid w:val="00E217B8"/>
    <w:rsid w:val="00E2182E"/>
    <w:rsid w:val="00E219F7"/>
    <w:rsid w:val="00E21C6D"/>
    <w:rsid w:val="00E2209B"/>
    <w:rsid w:val="00E22466"/>
    <w:rsid w:val="00E22498"/>
    <w:rsid w:val="00E226A7"/>
    <w:rsid w:val="00E22825"/>
    <w:rsid w:val="00E22DC5"/>
    <w:rsid w:val="00E22DE8"/>
    <w:rsid w:val="00E23037"/>
    <w:rsid w:val="00E23088"/>
    <w:rsid w:val="00E233C9"/>
    <w:rsid w:val="00E234AA"/>
    <w:rsid w:val="00E23549"/>
    <w:rsid w:val="00E235E2"/>
    <w:rsid w:val="00E23673"/>
    <w:rsid w:val="00E23B96"/>
    <w:rsid w:val="00E241A3"/>
    <w:rsid w:val="00E245AD"/>
    <w:rsid w:val="00E24619"/>
    <w:rsid w:val="00E2493C"/>
    <w:rsid w:val="00E24ABF"/>
    <w:rsid w:val="00E24F3D"/>
    <w:rsid w:val="00E24F8F"/>
    <w:rsid w:val="00E2504A"/>
    <w:rsid w:val="00E25118"/>
    <w:rsid w:val="00E256D0"/>
    <w:rsid w:val="00E25A78"/>
    <w:rsid w:val="00E25B44"/>
    <w:rsid w:val="00E26781"/>
    <w:rsid w:val="00E26CA8"/>
    <w:rsid w:val="00E26E3F"/>
    <w:rsid w:val="00E26F2D"/>
    <w:rsid w:val="00E26FA9"/>
    <w:rsid w:val="00E2709E"/>
    <w:rsid w:val="00E27534"/>
    <w:rsid w:val="00E27709"/>
    <w:rsid w:val="00E27840"/>
    <w:rsid w:val="00E279C3"/>
    <w:rsid w:val="00E27F3F"/>
    <w:rsid w:val="00E27FA8"/>
    <w:rsid w:val="00E3001D"/>
    <w:rsid w:val="00E3013F"/>
    <w:rsid w:val="00E30E14"/>
    <w:rsid w:val="00E31319"/>
    <w:rsid w:val="00E31476"/>
    <w:rsid w:val="00E3185F"/>
    <w:rsid w:val="00E31EC6"/>
    <w:rsid w:val="00E3227F"/>
    <w:rsid w:val="00E322D9"/>
    <w:rsid w:val="00E32346"/>
    <w:rsid w:val="00E325FD"/>
    <w:rsid w:val="00E3261F"/>
    <w:rsid w:val="00E327DC"/>
    <w:rsid w:val="00E32C2E"/>
    <w:rsid w:val="00E32C2F"/>
    <w:rsid w:val="00E32FC3"/>
    <w:rsid w:val="00E338E7"/>
    <w:rsid w:val="00E3394C"/>
    <w:rsid w:val="00E339B3"/>
    <w:rsid w:val="00E33BC0"/>
    <w:rsid w:val="00E33E10"/>
    <w:rsid w:val="00E3420A"/>
    <w:rsid w:val="00E34767"/>
    <w:rsid w:val="00E34780"/>
    <w:rsid w:val="00E34783"/>
    <w:rsid w:val="00E34C29"/>
    <w:rsid w:val="00E34C8E"/>
    <w:rsid w:val="00E35858"/>
    <w:rsid w:val="00E35A44"/>
    <w:rsid w:val="00E35A4A"/>
    <w:rsid w:val="00E35C97"/>
    <w:rsid w:val="00E36030"/>
    <w:rsid w:val="00E3622D"/>
    <w:rsid w:val="00E363D0"/>
    <w:rsid w:val="00E368B3"/>
    <w:rsid w:val="00E368FD"/>
    <w:rsid w:val="00E36C6B"/>
    <w:rsid w:val="00E36D66"/>
    <w:rsid w:val="00E3736A"/>
    <w:rsid w:val="00E37542"/>
    <w:rsid w:val="00E3776D"/>
    <w:rsid w:val="00E379BB"/>
    <w:rsid w:val="00E37E9E"/>
    <w:rsid w:val="00E37FFD"/>
    <w:rsid w:val="00E4024D"/>
    <w:rsid w:val="00E40572"/>
    <w:rsid w:val="00E40747"/>
    <w:rsid w:val="00E40AB9"/>
    <w:rsid w:val="00E40ED5"/>
    <w:rsid w:val="00E41044"/>
    <w:rsid w:val="00E41066"/>
    <w:rsid w:val="00E4148F"/>
    <w:rsid w:val="00E41633"/>
    <w:rsid w:val="00E41729"/>
    <w:rsid w:val="00E419EB"/>
    <w:rsid w:val="00E42009"/>
    <w:rsid w:val="00E421CD"/>
    <w:rsid w:val="00E4227F"/>
    <w:rsid w:val="00E4252C"/>
    <w:rsid w:val="00E42746"/>
    <w:rsid w:val="00E42AD0"/>
    <w:rsid w:val="00E42D74"/>
    <w:rsid w:val="00E432E3"/>
    <w:rsid w:val="00E43319"/>
    <w:rsid w:val="00E43674"/>
    <w:rsid w:val="00E438AA"/>
    <w:rsid w:val="00E4396F"/>
    <w:rsid w:val="00E43B8C"/>
    <w:rsid w:val="00E43F29"/>
    <w:rsid w:val="00E44090"/>
    <w:rsid w:val="00E441BF"/>
    <w:rsid w:val="00E4448E"/>
    <w:rsid w:val="00E448FA"/>
    <w:rsid w:val="00E44A34"/>
    <w:rsid w:val="00E44F4E"/>
    <w:rsid w:val="00E45117"/>
    <w:rsid w:val="00E4552A"/>
    <w:rsid w:val="00E45749"/>
    <w:rsid w:val="00E45C1C"/>
    <w:rsid w:val="00E45FA5"/>
    <w:rsid w:val="00E462D6"/>
    <w:rsid w:val="00E4636B"/>
    <w:rsid w:val="00E46412"/>
    <w:rsid w:val="00E467B7"/>
    <w:rsid w:val="00E4692C"/>
    <w:rsid w:val="00E46992"/>
    <w:rsid w:val="00E46AA9"/>
    <w:rsid w:val="00E46F73"/>
    <w:rsid w:val="00E46FE8"/>
    <w:rsid w:val="00E4724C"/>
    <w:rsid w:val="00E4730F"/>
    <w:rsid w:val="00E47356"/>
    <w:rsid w:val="00E47697"/>
    <w:rsid w:val="00E476BD"/>
    <w:rsid w:val="00E47751"/>
    <w:rsid w:val="00E47778"/>
    <w:rsid w:val="00E47992"/>
    <w:rsid w:val="00E47B53"/>
    <w:rsid w:val="00E47BED"/>
    <w:rsid w:val="00E47C5F"/>
    <w:rsid w:val="00E47F44"/>
    <w:rsid w:val="00E502AD"/>
    <w:rsid w:val="00E50356"/>
    <w:rsid w:val="00E50D3F"/>
    <w:rsid w:val="00E50D55"/>
    <w:rsid w:val="00E511DB"/>
    <w:rsid w:val="00E518AC"/>
    <w:rsid w:val="00E51B8F"/>
    <w:rsid w:val="00E51BD1"/>
    <w:rsid w:val="00E51DFD"/>
    <w:rsid w:val="00E51F07"/>
    <w:rsid w:val="00E529BE"/>
    <w:rsid w:val="00E52C84"/>
    <w:rsid w:val="00E52CB3"/>
    <w:rsid w:val="00E52F8D"/>
    <w:rsid w:val="00E530B9"/>
    <w:rsid w:val="00E537B6"/>
    <w:rsid w:val="00E53829"/>
    <w:rsid w:val="00E53ABD"/>
    <w:rsid w:val="00E53BAE"/>
    <w:rsid w:val="00E54335"/>
    <w:rsid w:val="00E54596"/>
    <w:rsid w:val="00E546F2"/>
    <w:rsid w:val="00E54D97"/>
    <w:rsid w:val="00E54F6F"/>
    <w:rsid w:val="00E551D9"/>
    <w:rsid w:val="00E55383"/>
    <w:rsid w:val="00E55447"/>
    <w:rsid w:val="00E55D06"/>
    <w:rsid w:val="00E55D52"/>
    <w:rsid w:val="00E55DF2"/>
    <w:rsid w:val="00E55FAD"/>
    <w:rsid w:val="00E56036"/>
    <w:rsid w:val="00E5611B"/>
    <w:rsid w:val="00E56557"/>
    <w:rsid w:val="00E5671E"/>
    <w:rsid w:val="00E56AEC"/>
    <w:rsid w:val="00E56C40"/>
    <w:rsid w:val="00E56CDB"/>
    <w:rsid w:val="00E56D40"/>
    <w:rsid w:val="00E5746A"/>
    <w:rsid w:val="00E57578"/>
    <w:rsid w:val="00E57716"/>
    <w:rsid w:val="00E57957"/>
    <w:rsid w:val="00E57C69"/>
    <w:rsid w:val="00E601F2"/>
    <w:rsid w:val="00E606A4"/>
    <w:rsid w:val="00E60E86"/>
    <w:rsid w:val="00E60F8B"/>
    <w:rsid w:val="00E61714"/>
    <w:rsid w:val="00E6193B"/>
    <w:rsid w:val="00E61C3C"/>
    <w:rsid w:val="00E61CB7"/>
    <w:rsid w:val="00E61E0E"/>
    <w:rsid w:val="00E6203E"/>
    <w:rsid w:val="00E62087"/>
    <w:rsid w:val="00E620A9"/>
    <w:rsid w:val="00E621CA"/>
    <w:rsid w:val="00E621DA"/>
    <w:rsid w:val="00E62200"/>
    <w:rsid w:val="00E622F8"/>
    <w:rsid w:val="00E62D46"/>
    <w:rsid w:val="00E62FC6"/>
    <w:rsid w:val="00E630D2"/>
    <w:rsid w:val="00E63317"/>
    <w:rsid w:val="00E6368E"/>
    <w:rsid w:val="00E638A0"/>
    <w:rsid w:val="00E63911"/>
    <w:rsid w:val="00E639AB"/>
    <w:rsid w:val="00E63B79"/>
    <w:rsid w:val="00E64079"/>
    <w:rsid w:val="00E64255"/>
    <w:rsid w:val="00E645B1"/>
    <w:rsid w:val="00E645CC"/>
    <w:rsid w:val="00E64F48"/>
    <w:rsid w:val="00E65164"/>
    <w:rsid w:val="00E652DB"/>
    <w:rsid w:val="00E652F5"/>
    <w:rsid w:val="00E65392"/>
    <w:rsid w:val="00E653EB"/>
    <w:rsid w:val="00E6541B"/>
    <w:rsid w:val="00E6552E"/>
    <w:rsid w:val="00E65AF3"/>
    <w:rsid w:val="00E65E23"/>
    <w:rsid w:val="00E65E5F"/>
    <w:rsid w:val="00E66543"/>
    <w:rsid w:val="00E6663A"/>
    <w:rsid w:val="00E6675D"/>
    <w:rsid w:val="00E667E8"/>
    <w:rsid w:val="00E66A1E"/>
    <w:rsid w:val="00E66C6E"/>
    <w:rsid w:val="00E673D1"/>
    <w:rsid w:val="00E67417"/>
    <w:rsid w:val="00E67A5A"/>
    <w:rsid w:val="00E67CED"/>
    <w:rsid w:val="00E67E8E"/>
    <w:rsid w:val="00E67F3F"/>
    <w:rsid w:val="00E7004B"/>
    <w:rsid w:val="00E7013B"/>
    <w:rsid w:val="00E7017E"/>
    <w:rsid w:val="00E7045A"/>
    <w:rsid w:val="00E7058A"/>
    <w:rsid w:val="00E707F2"/>
    <w:rsid w:val="00E70DC4"/>
    <w:rsid w:val="00E70E56"/>
    <w:rsid w:val="00E70F8B"/>
    <w:rsid w:val="00E70FB7"/>
    <w:rsid w:val="00E70FE5"/>
    <w:rsid w:val="00E71192"/>
    <w:rsid w:val="00E71225"/>
    <w:rsid w:val="00E717ED"/>
    <w:rsid w:val="00E71A30"/>
    <w:rsid w:val="00E71A7D"/>
    <w:rsid w:val="00E71B7F"/>
    <w:rsid w:val="00E71F15"/>
    <w:rsid w:val="00E72F9F"/>
    <w:rsid w:val="00E7375A"/>
    <w:rsid w:val="00E73902"/>
    <w:rsid w:val="00E73A2C"/>
    <w:rsid w:val="00E73B2C"/>
    <w:rsid w:val="00E73D89"/>
    <w:rsid w:val="00E73F01"/>
    <w:rsid w:val="00E73F8E"/>
    <w:rsid w:val="00E740FF"/>
    <w:rsid w:val="00E7421D"/>
    <w:rsid w:val="00E74293"/>
    <w:rsid w:val="00E74315"/>
    <w:rsid w:val="00E7444F"/>
    <w:rsid w:val="00E747E3"/>
    <w:rsid w:val="00E74832"/>
    <w:rsid w:val="00E74881"/>
    <w:rsid w:val="00E74A6E"/>
    <w:rsid w:val="00E74B0D"/>
    <w:rsid w:val="00E74C79"/>
    <w:rsid w:val="00E75134"/>
    <w:rsid w:val="00E75566"/>
    <w:rsid w:val="00E75758"/>
    <w:rsid w:val="00E75771"/>
    <w:rsid w:val="00E75B29"/>
    <w:rsid w:val="00E75C57"/>
    <w:rsid w:val="00E75E83"/>
    <w:rsid w:val="00E75F24"/>
    <w:rsid w:val="00E768D4"/>
    <w:rsid w:val="00E76A59"/>
    <w:rsid w:val="00E76DD1"/>
    <w:rsid w:val="00E77331"/>
    <w:rsid w:val="00E77412"/>
    <w:rsid w:val="00E7796F"/>
    <w:rsid w:val="00E77C7A"/>
    <w:rsid w:val="00E77DCD"/>
    <w:rsid w:val="00E80093"/>
    <w:rsid w:val="00E801DE"/>
    <w:rsid w:val="00E80380"/>
    <w:rsid w:val="00E803CA"/>
    <w:rsid w:val="00E803EC"/>
    <w:rsid w:val="00E8051B"/>
    <w:rsid w:val="00E80723"/>
    <w:rsid w:val="00E80924"/>
    <w:rsid w:val="00E80A90"/>
    <w:rsid w:val="00E80C31"/>
    <w:rsid w:val="00E80C9F"/>
    <w:rsid w:val="00E80D7A"/>
    <w:rsid w:val="00E80EC0"/>
    <w:rsid w:val="00E8120D"/>
    <w:rsid w:val="00E817D1"/>
    <w:rsid w:val="00E81897"/>
    <w:rsid w:val="00E81B30"/>
    <w:rsid w:val="00E8218F"/>
    <w:rsid w:val="00E82212"/>
    <w:rsid w:val="00E82A26"/>
    <w:rsid w:val="00E82BEB"/>
    <w:rsid w:val="00E82C13"/>
    <w:rsid w:val="00E82DB9"/>
    <w:rsid w:val="00E82FFE"/>
    <w:rsid w:val="00E833EA"/>
    <w:rsid w:val="00E836A9"/>
    <w:rsid w:val="00E83B43"/>
    <w:rsid w:val="00E83ED9"/>
    <w:rsid w:val="00E8400E"/>
    <w:rsid w:val="00E8401A"/>
    <w:rsid w:val="00E846A3"/>
    <w:rsid w:val="00E84B85"/>
    <w:rsid w:val="00E84BEB"/>
    <w:rsid w:val="00E84CAF"/>
    <w:rsid w:val="00E84CD4"/>
    <w:rsid w:val="00E85082"/>
    <w:rsid w:val="00E85226"/>
    <w:rsid w:val="00E852AB"/>
    <w:rsid w:val="00E85E41"/>
    <w:rsid w:val="00E85EBF"/>
    <w:rsid w:val="00E8628D"/>
    <w:rsid w:val="00E8672A"/>
    <w:rsid w:val="00E86822"/>
    <w:rsid w:val="00E8697B"/>
    <w:rsid w:val="00E8703C"/>
    <w:rsid w:val="00E8707F"/>
    <w:rsid w:val="00E876B8"/>
    <w:rsid w:val="00E8770E"/>
    <w:rsid w:val="00E877C0"/>
    <w:rsid w:val="00E87957"/>
    <w:rsid w:val="00E87989"/>
    <w:rsid w:val="00E87D2B"/>
    <w:rsid w:val="00E90126"/>
    <w:rsid w:val="00E9030C"/>
    <w:rsid w:val="00E90458"/>
    <w:rsid w:val="00E90729"/>
    <w:rsid w:val="00E9086B"/>
    <w:rsid w:val="00E908E8"/>
    <w:rsid w:val="00E91291"/>
    <w:rsid w:val="00E91368"/>
    <w:rsid w:val="00E91869"/>
    <w:rsid w:val="00E91A44"/>
    <w:rsid w:val="00E91B50"/>
    <w:rsid w:val="00E920B4"/>
    <w:rsid w:val="00E92164"/>
    <w:rsid w:val="00E9241D"/>
    <w:rsid w:val="00E92646"/>
    <w:rsid w:val="00E9285E"/>
    <w:rsid w:val="00E928B5"/>
    <w:rsid w:val="00E929E0"/>
    <w:rsid w:val="00E92BDB"/>
    <w:rsid w:val="00E92C7D"/>
    <w:rsid w:val="00E933CE"/>
    <w:rsid w:val="00E93A5F"/>
    <w:rsid w:val="00E93CCA"/>
    <w:rsid w:val="00E93D71"/>
    <w:rsid w:val="00E93D8A"/>
    <w:rsid w:val="00E941FC"/>
    <w:rsid w:val="00E94389"/>
    <w:rsid w:val="00E94852"/>
    <w:rsid w:val="00E94CDF"/>
    <w:rsid w:val="00E94FD3"/>
    <w:rsid w:val="00E95055"/>
    <w:rsid w:val="00E953BC"/>
    <w:rsid w:val="00E957CF"/>
    <w:rsid w:val="00E9588B"/>
    <w:rsid w:val="00E95B3D"/>
    <w:rsid w:val="00E95DC8"/>
    <w:rsid w:val="00E964D9"/>
    <w:rsid w:val="00E964F1"/>
    <w:rsid w:val="00E96648"/>
    <w:rsid w:val="00E9667D"/>
    <w:rsid w:val="00E96711"/>
    <w:rsid w:val="00E96951"/>
    <w:rsid w:val="00E9698D"/>
    <w:rsid w:val="00E96C57"/>
    <w:rsid w:val="00E96FBE"/>
    <w:rsid w:val="00E97371"/>
    <w:rsid w:val="00E974F9"/>
    <w:rsid w:val="00E9786C"/>
    <w:rsid w:val="00E97E5B"/>
    <w:rsid w:val="00EA01AE"/>
    <w:rsid w:val="00EA03F2"/>
    <w:rsid w:val="00EA04BA"/>
    <w:rsid w:val="00EA0715"/>
    <w:rsid w:val="00EA079C"/>
    <w:rsid w:val="00EA099C"/>
    <w:rsid w:val="00EA0A56"/>
    <w:rsid w:val="00EA0B2F"/>
    <w:rsid w:val="00EA0E91"/>
    <w:rsid w:val="00EA1321"/>
    <w:rsid w:val="00EA1733"/>
    <w:rsid w:val="00EA1919"/>
    <w:rsid w:val="00EA197D"/>
    <w:rsid w:val="00EA1D5E"/>
    <w:rsid w:val="00EA20A0"/>
    <w:rsid w:val="00EA2BF8"/>
    <w:rsid w:val="00EA2CA7"/>
    <w:rsid w:val="00EA2F35"/>
    <w:rsid w:val="00EA2F6F"/>
    <w:rsid w:val="00EA3608"/>
    <w:rsid w:val="00EA36F3"/>
    <w:rsid w:val="00EA3E78"/>
    <w:rsid w:val="00EA4158"/>
    <w:rsid w:val="00EA434A"/>
    <w:rsid w:val="00EA4600"/>
    <w:rsid w:val="00EA4AEA"/>
    <w:rsid w:val="00EA4CBE"/>
    <w:rsid w:val="00EA4D90"/>
    <w:rsid w:val="00EA4E9B"/>
    <w:rsid w:val="00EA548E"/>
    <w:rsid w:val="00EA55C6"/>
    <w:rsid w:val="00EA57B5"/>
    <w:rsid w:val="00EA5C17"/>
    <w:rsid w:val="00EA5CC7"/>
    <w:rsid w:val="00EA5FD9"/>
    <w:rsid w:val="00EA608B"/>
    <w:rsid w:val="00EA6602"/>
    <w:rsid w:val="00EA6A92"/>
    <w:rsid w:val="00EA6B45"/>
    <w:rsid w:val="00EA6E92"/>
    <w:rsid w:val="00EA6EFE"/>
    <w:rsid w:val="00EA702E"/>
    <w:rsid w:val="00EA72AE"/>
    <w:rsid w:val="00EA73FD"/>
    <w:rsid w:val="00EA742C"/>
    <w:rsid w:val="00EA7A58"/>
    <w:rsid w:val="00EA7E0F"/>
    <w:rsid w:val="00EA7EEA"/>
    <w:rsid w:val="00EB0049"/>
    <w:rsid w:val="00EB0107"/>
    <w:rsid w:val="00EB015E"/>
    <w:rsid w:val="00EB017B"/>
    <w:rsid w:val="00EB0219"/>
    <w:rsid w:val="00EB06FC"/>
    <w:rsid w:val="00EB0799"/>
    <w:rsid w:val="00EB0A6A"/>
    <w:rsid w:val="00EB0CBD"/>
    <w:rsid w:val="00EB0E24"/>
    <w:rsid w:val="00EB0F9A"/>
    <w:rsid w:val="00EB19CB"/>
    <w:rsid w:val="00EB1A33"/>
    <w:rsid w:val="00EB1A7D"/>
    <w:rsid w:val="00EB1D2B"/>
    <w:rsid w:val="00EB1F09"/>
    <w:rsid w:val="00EB2086"/>
    <w:rsid w:val="00EB2135"/>
    <w:rsid w:val="00EB2757"/>
    <w:rsid w:val="00EB2952"/>
    <w:rsid w:val="00EB29D7"/>
    <w:rsid w:val="00EB2D3B"/>
    <w:rsid w:val="00EB2EA7"/>
    <w:rsid w:val="00EB2EB9"/>
    <w:rsid w:val="00EB2F44"/>
    <w:rsid w:val="00EB3331"/>
    <w:rsid w:val="00EB377E"/>
    <w:rsid w:val="00EB3AE7"/>
    <w:rsid w:val="00EB3E84"/>
    <w:rsid w:val="00EB3E85"/>
    <w:rsid w:val="00EB42FC"/>
    <w:rsid w:val="00EB431A"/>
    <w:rsid w:val="00EB435E"/>
    <w:rsid w:val="00EB4B5D"/>
    <w:rsid w:val="00EB4E88"/>
    <w:rsid w:val="00EB5035"/>
    <w:rsid w:val="00EB51CD"/>
    <w:rsid w:val="00EB526C"/>
    <w:rsid w:val="00EB52E8"/>
    <w:rsid w:val="00EB54A7"/>
    <w:rsid w:val="00EB56E8"/>
    <w:rsid w:val="00EB57E9"/>
    <w:rsid w:val="00EB5845"/>
    <w:rsid w:val="00EB5A1B"/>
    <w:rsid w:val="00EB6043"/>
    <w:rsid w:val="00EB686A"/>
    <w:rsid w:val="00EB6D7E"/>
    <w:rsid w:val="00EB6DCA"/>
    <w:rsid w:val="00EB6F54"/>
    <w:rsid w:val="00EB6F6C"/>
    <w:rsid w:val="00EB729B"/>
    <w:rsid w:val="00EB72A2"/>
    <w:rsid w:val="00EB7391"/>
    <w:rsid w:val="00EB74B8"/>
    <w:rsid w:val="00EB78C1"/>
    <w:rsid w:val="00EB7959"/>
    <w:rsid w:val="00EB7D68"/>
    <w:rsid w:val="00EC00D1"/>
    <w:rsid w:val="00EC0490"/>
    <w:rsid w:val="00EC06CA"/>
    <w:rsid w:val="00EC0CB5"/>
    <w:rsid w:val="00EC0FB5"/>
    <w:rsid w:val="00EC1288"/>
    <w:rsid w:val="00EC149C"/>
    <w:rsid w:val="00EC15D5"/>
    <w:rsid w:val="00EC160F"/>
    <w:rsid w:val="00EC1B2D"/>
    <w:rsid w:val="00EC1F3B"/>
    <w:rsid w:val="00EC236A"/>
    <w:rsid w:val="00EC246F"/>
    <w:rsid w:val="00EC28D1"/>
    <w:rsid w:val="00EC2B81"/>
    <w:rsid w:val="00EC2C1D"/>
    <w:rsid w:val="00EC2E4C"/>
    <w:rsid w:val="00EC32F3"/>
    <w:rsid w:val="00EC356B"/>
    <w:rsid w:val="00EC3779"/>
    <w:rsid w:val="00EC3A0E"/>
    <w:rsid w:val="00EC3DEA"/>
    <w:rsid w:val="00EC3F84"/>
    <w:rsid w:val="00EC40A0"/>
    <w:rsid w:val="00EC40E7"/>
    <w:rsid w:val="00EC44FA"/>
    <w:rsid w:val="00EC46A3"/>
    <w:rsid w:val="00EC4A84"/>
    <w:rsid w:val="00EC4F02"/>
    <w:rsid w:val="00EC4FB1"/>
    <w:rsid w:val="00EC51FB"/>
    <w:rsid w:val="00EC5693"/>
    <w:rsid w:val="00EC56B2"/>
    <w:rsid w:val="00EC57B0"/>
    <w:rsid w:val="00EC57D5"/>
    <w:rsid w:val="00EC5869"/>
    <w:rsid w:val="00EC58EF"/>
    <w:rsid w:val="00EC5960"/>
    <w:rsid w:val="00EC5A47"/>
    <w:rsid w:val="00EC5D9B"/>
    <w:rsid w:val="00EC5DBA"/>
    <w:rsid w:val="00EC5FB9"/>
    <w:rsid w:val="00EC5FCE"/>
    <w:rsid w:val="00EC602B"/>
    <w:rsid w:val="00EC66FE"/>
    <w:rsid w:val="00EC67CF"/>
    <w:rsid w:val="00EC6ACD"/>
    <w:rsid w:val="00EC6D6F"/>
    <w:rsid w:val="00EC6E11"/>
    <w:rsid w:val="00EC7418"/>
    <w:rsid w:val="00EC75AE"/>
    <w:rsid w:val="00EC75B0"/>
    <w:rsid w:val="00EC76E1"/>
    <w:rsid w:val="00EC781D"/>
    <w:rsid w:val="00EC783E"/>
    <w:rsid w:val="00EC7AAB"/>
    <w:rsid w:val="00EC7E71"/>
    <w:rsid w:val="00EC7F39"/>
    <w:rsid w:val="00ED0009"/>
    <w:rsid w:val="00ED0378"/>
    <w:rsid w:val="00ED0792"/>
    <w:rsid w:val="00ED09A8"/>
    <w:rsid w:val="00ED0CB8"/>
    <w:rsid w:val="00ED0CFC"/>
    <w:rsid w:val="00ED114F"/>
    <w:rsid w:val="00ED1322"/>
    <w:rsid w:val="00ED169D"/>
    <w:rsid w:val="00ED1B79"/>
    <w:rsid w:val="00ED1EEB"/>
    <w:rsid w:val="00ED2039"/>
    <w:rsid w:val="00ED2B3F"/>
    <w:rsid w:val="00ED2BAB"/>
    <w:rsid w:val="00ED2C4E"/>
    <w:rsid w:val="00ED2CFC"/>
    <w:rsid w:val="00ED2D07"/>
    <w:rsid w:val="00ED2D4A"/>
    <w:rsid w:val="00ED2F32"/>
    <w:rsid w:val="00ED318C"/>
    <w:rsid w:val="00ED3266"/>
    <w:rsid w:val="00ED3368"/>
    <w:rsid w:val="00ED3423"/>
    <w:rsid w:val="00ED368D"/>
    <w:rsid w:val="00ED374D"/>
    <w:rsid w:val="00ED3C47"/>
    <w:rsid w:val="00ED3C85"/>
    <w:rsid w:val="00ED3CCA"/>
    <w:rsid w:val="00ED3EEA"/>
    <w:rsid w:val="00ED4189"/>
    <w:rsid w:val="00ED4261"/>
    <w:rsid w:val="00ED49F8"/>
    <w:rsid w:val="00ED4A01"/>
    <w:rsid w:val="00ED4AFB"/>
    <w:rsid w:val="00ED4D2A"/>
    <w:rsid w:val="00ED4DC0"/>
    <w:rsid w:val="00ED532A"/>
    <w:rsid w:val="00ED5366"/>
    <w:rsid w:val="00ED5503"/>
    <w:rsid w:val="00ED5D75"/>
    <w:rsid w:val="00ED5F1D"/>
    <w:rsid w:val="00ED61AE"/>
    <w:rsid w:val="00ED63B2"/>
    <w:rsid w:val="00ED65F5"/>
    <w:rsid w:val="00ED691C"/>
    <w:rsid w:val="00ED69EB"/>
    <w:rsid w:val="00ED6A2B"/>
    <w:rsid w:val="00ED6A36"/>
    <w:rsid w:val="00ED6B61"/>
    <w:rsid w:val="00ED6C66"/>
    <w:rsid w:val="00ED708C"/>
    <w:rsid w:val="00ED730D"/>
    <w:rsid w:val="00ED752F"/>
    <w:rsid w:val="00ED762F"/>
    <w:rsid w:val="00ED764D"/>
    <w:rsid w:val="00ED7730"/>
    <w:rsid w:val="00ED7B5C"/>
    <w:rsid w:val="00ED7D30"/>
    <w:rsid w:val="00ED7DDA"/>
    <w:rsid w:val="00EE0151"/>
    <w:rsid w:val="00EE0304"/>
    <w:rsid w:val="00EE0486"/>
    <w:rsid w:val="00EE04CE"/>
    <w:rsid w:val="00EE054E"/>
    <w:rsid w:val="00EE0638"/>
    <w:rsid w:val="00EE0CDA"/>
    <w:rsid w:val="00EE0F29"/>
    <w:rsid w:val="00EE1241"/>
    <w:rsid w:val="00EE1C48"/>
    <w:rsid w:val="00EE227C"/>
    <w:rsid w:val="00EE29AF"/>
    <w:rsid w:val="00EE2A6C"/>
    <w:rsid w:val="00EE2C7E"/>
    <w:rsid w:val="00EE2F0B"/>
    <w:rsid w:val="00EE3247"/>
    <w:rsid w:val="00EE3294"/>
    <w:rsid w:val="00EE3446"/>
    <w:rsid w:val="00EE3B3D"/>
    <w:rsid w:val="00EE3B7E"/>
    <w:rsid w:val="00EE3B86"/>
    <w:rsid w:val="00EE3C9F"/>
    <w:rsid w:val="00EE3E2C"/>
    <w:rsid w:val="00EE3F32"/>
    <w:rsid w:val="00EE4101"/>
    <w:rsid w:val="00EE418F"/>
    <w:rsid w:val="00EE4415"/>
    <w:rsid w:val="00EE4488"/>
    <w:rsid w:val="00EE469E"/>
    <w:rsid w:val="00EE4F9F"/>
    <w:rsid w:val="00EE5200"/>
    <w:rsid w:val="00EE52E6"/>
    <w:rsid w:val="00EE5519"/>
    <w:rsid w:val="00EE56BA"/>
    <w:rsid w:val="00EE5946"/>
    <w:rsid w:val="00EE5BF8"/>
    <w:rsid w:val="00EE5C09"/>
    <w:rsid w:val="00EE5D9C"/>
    <w:rsid w:val="00EE5DB7"/>
    <w:rsid w:val="00EE5EFB"/>
    <w:rsid w:val="00EE6064"/>
    <w:rsid w:val="00EE62FA"/>
    <w:rsid w:val="00EE66A3"/>
    <w:rsid w:val="00EE6905"/>
    <w:rsid w:val="00EE6C26"/>
    <w:rsid w:val="00EE6D4F"/>
    <w:rsid w:val="00EE6ECD"/>
    <w:rsid w:val="00EE6EEA"/>
    <w:rsid w:val="00EE6F3F"/>
    <w:rsid w:val="00EE72E8"/>
    <w:rsid w:val="00EE730B"/>
    <w:rsid w:val="00EE799A"/>
    <w:rsid w:val="00EE7B0E"/>
    <w:rsid w:val="00EE7EC6"/>
    <w:rsid w:val="00EF0029"/>
    <w:rsid w:val="00EF0236"/>
    <w:rsid w:val="00EF03D3"/>
    <w:rsid w:val="00EF0544"/>
    <w:rsid w:val="00EF08CB"/>
    <w:rsid w:val="00EF11C9"/>
    <w:rsid w:val="00EF12EA"/>
    <w:rsid w:val="00EF1366"/>
    <w:rsid w:val="00EF13AB"/>
    <w:rsid w:val="00EF14F8"/>
    <w:rsid w:val="00EF1C13"/>
    <w:rsid w:val="00EF1CAD"/>
    <w:rsid w:val="00EF1E1E"/>
    <w:rsid w:val="00EF1F28"/>
    <w:rsid w:val="00EF25EC"/>
    <w:rsid w:val="00EF2643"/>
    <w:rsid w:val="00EF28ED"/>
    <w:rsid w:val="00EF2A2D"/>
    <w:rsid w:val="00EF306F"/>
    <w:rsid w:val="00EF3531"/>
    <w:rsid w:val="00EF35D7"/>
    <w:rsid w:val="00EF37A9"/>
    <w:rsid w:val="00EF3E73"/>
    <w:rsid w:val="00EF3E7F"/>
    <w:rsid w:val="00EF435C"/>
    <w:rsid w:val="00EF44CE"/>
    <w:rsid w:val="00EF4505"/>
    <w:rsid w:val="00EF4580"/>
    <w:rsid w:val="00EF49C1"/>
    <w:rsid w:val="00EF4BC7"/>
    <w:rsid w:val="00EF4BF3"/>
    <w:rsid w:val="00EF4C3F"/>
    <w:rsid w:val="00EF4D68"/>
    <w:rsid w:val="00EF5116"/>
    <w:rsid w:val="00EF5778"/>
    <w:rsid w:val="00EF5950"/>
    <w:rsid w:val="00EF59A5"/>
    <w:rsid w:val="00EF5AF5"/>
    <w:rsid w:val="00EF5B88"/>
    <w:rsid w:val="00EF5C85"/>
    <w:rsid w:val="00EF5F6B"/>
    <w:rsid w:val="00EF6037"/>
    <w:rsid w:val="00EF615E"/>
    <w:rsid w:val="00EF637F"/>
    <w:rsid w:val="00EF6635"/>
    <w:rsid w:val="00EF6872"/>
    <w:rsid w:val="00EF68A3"/>
    <w:rsid w:val="00EF6930"/>
    <w:rsid w:val="00EF6B93"/>
    <w:rsid w:val="00EF6C13"/>
    <w:rsid w:val="00EF7220"/>
    <w:rsid w:val="00EF7534"/>
    <w:rsid w:val="00EF7C25"/>
    <w:rsid w:val="00EF7CCE"/>
    <w:rsid w:val="00EF7D1D"/>
    <w:rsid w:val="00EF7EB5"/>
    <w:rsid w:val="00EF7F71"/>
    <w:rsid w:val="00F00047"/>
    <w:rsid w:val="00F00218"/>
    <w:rsid w:val="00F0025A"/>
    <w:rsid w:val="00F0040F"/>
    <w:rsid w:val="00F0098F"/>
    <w:rsid w:val="00F009C2"/>
    <w:rsid w:val="00F009CB"/>
    <w:rsid w:val="00F00A57"/>
    <w:rsid w:val="00F00B9B"/>
    <w:rsid w:val="00F00BCD"/>
    <w:rsid w:val="00F00E0A"/>
    <w:rsid w:val="00F00E0D"/>
    <w:rsid w:val="00F0120D"/>
    <w:rsid w:val="00F012AA"/>
    <w:rsid w:val="00F0157E"/>
    <w:rsid w:val="00F018DE"/>
    <w:rsid w:val="00F01983"/>
    <w:rsid w:val="00F01E03"/>
    <w:rsid w:val="00F01EF3"/>
    <w:rsid w:val="00F02266"/>
    <w:rsid w:val="00F02286"/>
    <w:rsid w:val="00F0250C"/>
    <w:rsid w:val="00F02D44"/>
    <w:rsid w:val="00F02E9E"/>
    <w:rsid w:val="00F03056"/>
    <w:rsid w:val="00F0321A"/>
    <w:rsid w:val="00F032AD"/>
    <w:rsid w:val="00F0360B"/>
    <w:rsid w:val="00F03A75"/>
    <w:rsid w:val="00F03C8C"/>
    <w:rsid w:val="00F04317"/>
    <w:rsid w:val="00F04859"/>
    <w:rsid w:val="00F048F1"/>
    <w:rsid w:val="00F04C41"/>
    <w:rsid w:val="00F052A5"/>
    <w:rsid w:val="00F05447"/>
    <w:rsid w:val="00F05479"/>
    <w:rsid w:val="00F056ED"/>
    <w:rsid w:val="00F05828"/>
    <w:rsid w:val="00F05976"/>
    <w:rsid w:val="00F05A59"/>
    <w:rsid w:val="00F06070"/>
    <w:rsid w:val="00F063D1"/>
    <w:rsid w:val="00F068AF"/>
    <w:rsid w:val="00F06D80"/>
    <w:rsid w:val="00F06F6F"/>
    <w:rsid w:val="00F07542"/>
    <w:rsid w:val="00F100CB"/>
    <w:rsid w:val="00F102D7"/>
    <w:rsid w:val="00F10567"/>
    <w:rsid w:val="00F1058A"/>
    <w:rsid w:val="00F10716"/>
    <w:rsid w:val="00F108D6"/>
    <w:rsid w:val="00F10AFC"/>
    <w:rsid w:val="00F10EAC"/>
    <w:rsid w:val="00F1126A"/>
    <w:rsid w:val="00F114C8"/>
    <w:rsid w:val="00F115C2"/>
    <w:rsid w:val="00F1193F"/>
    <w:rsid w:val="00F11BA2"/>
    <w:rsid w:val="00F11CFF"/>
    <w:rsid w:val="00F11D0A"/>
    <w:rsid w:val="00F12481"/>
    <w:rsid w:val="00F125FB"/>
    <w:rsid w:val="00F128AD"/>
    <w:rsid w:val="00F1294A"/>
    <w:rsid w:val="00F12A48"/>
    <w:rsid w:val="00F14298"/>
    <w:rsid w:val="00F14314"/>
    <w:rsid w:val="00F14538"/>
    <w:rsid w:val="00F14673"/>
    <w:rsid w:val="00F149EB"/>
    <w:rsid w:val="00F14EED"/>
    <w:rsid w:val="00F14F12"/>
    <w:rsid w:val="00F15078"/>
    <w:rsid w:val="00F15A39"/>
    <w:rsid w:val="00F1629E"/>
    <w:rsid w:val="00F1631D"/>
    <w:rsid w:val="00F168EA"/>
    <w:rsid w:val="00F169A8"/>
    <w:rsid w:val="00F16C6B"/>
    <w:rsid w:val="00F16F2D"/>
    <w:rsid w:val="00F16FA7"/>
    <w:rsid w:val="00F17137"/>
    <w:rsid w:val="00F1716C"/>
    <w:rsid w:val="00F17AEB"/>
    <w:rsid w:val="00F17C17"/>
    <w:rsid w:val="00F17D81"/>
    <w:rsid w:val="00F17DAE"/>
    <w:rsid w:val="00F17E3A"/>
    <w:rsid w:val="00F20384"/>
    <w:rsid w:val="00F20467"/>
    <w:rsid w:val="00F2069C"/>
    <w:rsid w:val="00F20852"/>
    <w:rsid w:val="00F208D5"/>
    <w:rsid w:val="00F208E9"/>
    <w:rsid w:val="00F20C16"/>
    <w:rsid w:val="00F21016"/>
    <w:rsid w:val="00F212D7"/>
    <w:rsid w:val="00F21368"/>
    <w:rsid w:val="00F2155F"/>
    <w:rsid w:val="00F21927"/>
    <w:rsid w:val="00F21A92"/>
    <w:rsid w:val="00F21B9D"/>
    <w:rsid w:val="00F21E95"/>
    <w:rsid w:val="00F22698"/>
    <w:rsid w:val="00F22A5A"/>
    <w:rsid w:val="00F22C33"/>
    <w:rsid w:val="00F2302F"/>
    <w:rsid w:val="00F2329B"/>
    <w:rsid w:val="00F2386A"/>
    <w:rsid w:val="00F23DE1"/>
    <w:rsid w:val="00F23DED"/>
    <w:rsid w:val="00F24569"/>
    <w:rsid w:val="00F246A3"/>
    <w:rsid w:val="00F24735"/>
    <w:rsid w:val="00F24FC4"/>
    <w:rsid w:val="00F25422"/>
    <w:rsid w:val="00F25479"/>
    <w:rsid w:val="00F2554E"/>
    <w:rsid w:val="00F25917"/>
    <w:rsid w:val="00F25BD6"/>
    <w:rsid w:val="00F25DB8"/>
    <w:rsid w:val="00F25F35"/>
    <w:rsid w:val="00F262C3"/>
    <w:rsid w:val="00F26BB5"/>
    <w:rsid w:val="00F2758D"/>
    <w:rsid w:val="00F275F4"/>
    <w:rsid w:val="00F27690"/>
    <w:rsid w:val="00F277DC"/>
    <w:rsid w:val="00F27897"/>
    <w:rsid w:val="00F27B95"/>
    <w:rsid w:val="00F27DF6"/>
    <w:rsid w:val="00F27E87"/>
    <w:rsid w:val="00F27FA6"/>
    <w:rsid w:val="00F27FB1"/>
    <w:rsid w:val="00F30002"/>
    <w:rsid w:val="00F30274"/>
    <w:rsid w:val="00F30277"/>
    <w:rsid w:val="00F30528"/>
    <w:rsid w:val="00F305E8"/>
    <w:rsid w:val="00F307BA"/>
    <w:rsid w:val="00F30866"/>
    <w:rsid w:val="00F310AF"/>
    <w:rsid w:val="00F318E7"/>
    <w:rsid w:val="00F31D7B"/>
    <w:rsid w:val="00F31F7E"/>
    <w:rsid w:val="00F31F8F"/>
    <w:rsid w:val="00F321B0"/>
    <w:rsid w:val="00F3233E"/>
    <w:rsid w:val="00F32794"/>
    <w:rsid w:val="00F3292B"/>
    <w:rsid w:val="00F329D6"/>
    <w:rsid w:val="00F32F2D"/>
    <w:rsid w:val="00F33296"/>
    <w:rsid w:val="00F33342"/>
    <w:rsid w:val="00F334B6"/>
    <w:rsid w:val="00F33D38"/>
    <w:rsid w:val="00F34193"/>
    <w:rsid w:val="00F34745"/>
    <w:rsid w:val="00F3495F"/>
    <w:rsid w:val="00F34C6C"/>
    <w:rsid w:val="00F34E00"/>
    <w:rsid w:val="00F34E40"/>
    <w:rsid w:val="00F35262"/>
    <w:rsid w:val="00F353B3"/>
    <w:rsid w:val="00F3540E"/>
    <w:rsid w:val="00F354EB"/>
    <w:rsid w:val="00F35D89"/>
    <w:rsid w:val="00F35FFA"/>
    <w:rsid w:val="00F361F3"/>
    <w:rsid w:val="00F36247"/>
    <w:rsid w:val="00F367DA"/>
    <w:rsid w:val="00F36844"/>
    <w:rsid w:val="00F3686A"/>
    <w:rsid w:val="00F3701C"/>
    <w:rsid w:val="00F37040"/>
    <w:rsid w:val="00F3704F"/>
    <w:rsid w:val="00F3706C"/>
    <w:rsid w:val="00F372BB"/>
    <w:rsid w:val="00F3754F"/>
    <w:rsid w:val="00F376C4"/>
    <w:rsid w:val="00F37822"/>
    <w:rsid w:val="00F37829"/>
    <w:rsid w:val="00F378A3"/>
    <w:rsid w:val="00F403CF"/>
    <w:rsid w:val="00F40548"/>
    <w:rsid w:val="00F40748"/>
    <w:rsid w:val="00F4099F"/>
    <w:rsid w:val="00F41367"/>
    <w:rsid w:val="00F42338"/>
    <w:rsid w:val="00F42444"/>
    <w:rsid w:val="00F426BE"/>
    <w:rsid w:val="00F4283D"/>
    <w:rsid w:val="00F429F1"/>
    <w:rsid w:val="00F42CF7"/>
    <w:rsid w:val="00F430B0"/>
    <w:rsid w:val="00F430EC"/>
    <w:rsid w:val="00F4338E"/>
    <w:rsid w:val="00F434B7"/>
    <w:rsid w:val="00F43594"/>
    <w:rsid w:val="00F4387A"/>
    <w:rsid w:val="00F438C1"/>
    <w:rsid w:val="00F43A39"/>
    <w:rsid w:val="00F4456C"/>
    <w:rsid w:val="00F44B28"/>
    <w:rsid w:val="00F44C57"/>
    <w:rsid w:val="00F44C58"/>
    <w:rsid w:val="00F44CB6"/>
    <w:rsid w:val="00F45556"/>
    <w:rsid w:val="00F45A8E"/>
    <w:rsid w:val="00F45C06"/>
    <w:rsid w:val="00F45D58"/>
    <w:rsid w:val="00F4627A"/>
    <w:rsid w:val="00F4698B"/>
    <w:rsid w:val="00F46C98"/>
    <w:rsid w:val="00F46DBA"/>
    <w:rsid w:val="00F46F91"/>
    <w:rsid w:val="00F4706D"/>
    <w:rsid w:val="00F4721C"/>
    <w:rsid w:val="00F47496"/>
    <w:rsid w:val="00F47514"/>
    <w:rsid w:val="00F47A3B"/>
    <w:rsid w:val="00F47AF0"/>
    <w:rsid w:val="00F47CC6"/>
    <w:rsid w:val="00F5014A"/>
    <w:rsid w:val="00F5038F"/>
    <w:rsid w:val="00F504AA"/>
    <w:rsid w:val="00F50617"/>
    <w:rsid w:val="00F50949"/>
    <w:rsid w:val="00F50974"/>
    <w:rsid w:val="00F50BAC"/>
    <w:rsid w:val="00F50C26"/>
    <w:rsid w:val="00F50D80"/>
    <w:rsid w:val="00F50DD3"/>
    <w:rsid w:val="00F5104E"/>
    <w:rsid w:val="00F5117C"/>
    <w:rsid w:val="00F51214"/>
    <w:rsid w:val="00F5124B"/>
    <w:rsid w:val="00F51372"/>
    <w:rsid w:val="00F513CC"/>
    <w:rsid w:val="00F51440"/>
    <w:rsid w:val="00F514B6"/>
    <w:rsid w:val="00F51584"/>
    <w:rsid w:val="00F51663"/>
    <w:rsid w:val="00F517D5"/>
    <w:rsid w:val="00F51A20"/>
    <w:rsid w:val="00F51B3A"/>
    <w:rsid w:val="00F51EA4"/>
    <w:rsid w:val="00F51EFD"/>
    <w:rsid w:val="00F520AD"/>
    <w:rsid w:val="00F525A0"/>
    <w:rsid w:val="00F527DF"/>
    <w:rsid w:val="00F528F0"/>
    <w:rsid w:val="00F52DB0"/>
    <w:rsid w:val="00F53358"/>
    <w:rsid w:val="00F536AC"/>
    <w:rsid w:val="00F538FE"/>
    <w:rsid w:val="00F53AD2"/>
    <w:rsid w:val="00F53C35"/>
    <w:rsid w:val="00F53E77"/>
    <w:rsid w:val="00F53F3F"/>
    <w:rsid w:val="00F53FCD"/>
    <w:rsid w:val="00F54006"/>
    <w:rsid w:val="00F540BD"/>
    <w:rsid w:val="00F54554"/>
    <w:rsid w:val="00F547B2"/>
    <w:rsid w:val="00F551FD"/>
    <w:rsid w:val="00F553C2"/>
    <w:rsid w:val="00F5563A"/>
    <w:rsid w:val="00F5574B"/>
    <w:rsid w:val="00F5590D"/>
    <w:rsid w:val="00F55AA2"/>
    <w:rsid w:val="00F55B2B"/>
    <w:rsid w:val="00F55FE8"/>
    <w:rsid w:val="00F560FA"/>
    <w:rsid w:val="00F561F4"/>
    <w:rsid w:val="00F565E5"/>
    <w:rsid w:val="00F5675A"/>
    <w:rsid w:val="00F56E26"/>
    <w:rsid w:val="00F57755"/>
    <w:rsid w:val="00F577C8"/>
    <w:rsid w:val="00F57A0A"/>
    <w:rsid w:val="00F57D5E"/>
    <w:rsid w:val="00F57EA5"/>
    <w:rsid w:val="00F57F78"/>
    <w:rsid w:val="00F57FDF"/>
    <w:rsid w:val="00F6017B"/>
    <w:rsid w:val="00F60186"/>
    <w:rsid w:val="00F602D8"/>
    <w:rsid w:val="00F60703"/>
    <w:rsid w:val="00F60780"/>
    <w:rsid w:val="00F60B1D"/>
    <w:rsid w:val="00F60CDA"/>
    <w:rsid w:val="00F60DEB"/>
    <w:rsid w:val="00F61823"/>
    <w:rsid w:val="00F61AF4"/>
    <w:rsid w:val="00F62244"/>
    <w:rsid w:val="00F622BB"/>
    <w:rsid w:val="00F6231B"/>
    <w:rsid w:val="00F62748"/>
    <w:rsid w:val="00F62CAE"/>
    <w:rsid w:val="00F62E20"/>
    <w:rsid w:val="00F62F2D"/>
    <w:rsid w:val="00F6307E"/>
    <w:rsid w:val="00F63221"/>
    <w:rsid w:val="00F6345D"/>
    <w:rsid w:val="00F638D7"/>
    <w:rsid w:val="00F63B68"/>
    <w:rsid w:val="00F63C94"/>
    <w:rsid w:val="00F63DF7"/>
    <w:rsid w:val="00F63E77"/>
    <w:rsid w:val="00F64101"/>
    <w:rsid w:val="00F646DF"/>
    <w:rsid w:val="00F64779"/>
    <w:rsid w:val="00F64CEB"/>
    <w:rsid w:val="00F64DDF"/>
    <w:rsid w:val="00F65408"/>
    <w:rsid w:val="00F65448"/>
    <w:rsid w:val="00F6557C"/>
    <w:rsid w:val="00F655DB"/>
    <w:rsid w:val="00F65978"/>
    <w:rsid w:val="00F65AC7"/>
    <w:rsid w:val="00F65B7F"/>
    <w:rsid w:val="00F65DD2"/>
    <w:rsid w:val="00F65FDA"/>
    <w:rsid w:val="00F66143"/>
    <w:rsid w:val="00F662CD"/>
    <w:rsid w:val="00F6635B"/>
    <w:rsid w:val="00F66537"/>
    <w:rsid w:val="00F6663F"/>
    <w:rsid w:val="00F667F5"/>
    <w:rsid w:val="00F66854"/>
    <w:rsid w:val="00F66BE5"/>
    <w:rsid w:val="00F66F2C"/>
    <w:rsid w:val="00F67070"/>
    <w:rsid w:val="00F6710E"/>
    <w:rsid w:val="00F6714A"/>
    <w:rsid w:val="00F675F0"/>
    <w:rsid w:val="00F67840"/>
    <w:rsid w:val="00F679CE"/>
    <w:rsid w:val="00F67B6B"/>
    <w:rsid w:val="00F67E4C"/>
    <w:rsid w:val="00F67E54"/>
    <w:rsid w:val="00F7009B"/>
    <w:rsid w:val="00F705D5"/>
    <w:rsid w:val="00F70763"/>
    <w:rsid w:val="00F707E1"/>
    <w:rsid w:val="00F70894"/>
    <w:rsid w:val="00F70DF8"/>
    <w:rsid w:val="00F70DFB"/>
    <w:rsid w:val="00F70EED"/>
    <w:rsid w:val="00F711BE"/>
    <w:rsid w:val="00F71A37"/>
    <w:rsid w:val="00F71DEC"/>
    <w:rsid w:val="00F721D1"/>
    <w:rsid w:val="00F72448"/>
    <w:rsid w:val="00F7251D"/>
    <w:rsid w:val="00F72AE9"/>
    <w:rsid w:val="00F72B08"/>
    <w:rsid w:val="00F72B1B"/>
    <w:rsid w:val="00F72E98"/>
    <w:rsid w:val="00F731DB"/>
    <w:rsid w:val="00F73525"/>
    <w:rsid w:val="00F73630"/>
    <w:rsid w:val="00F73A5C"/>
    <w:rsid w:val="00F73A82"/>
    <w:rsid w:val="00F73C1D"/>
    <w:rsid w:val="00F741B0"/>
    <w:rsid w:val="00F7422E"/>
    <w:rsid w:val="00F74258"/>
    <w:rsid w:val="00F7439D"/>
    <w:rsid w:val="00F743EC"/>
    <w:rsid w:val="00F7443A"/>
    <w:rsid w:val="00F74B81"/>
    <w:rsid w:val="00F74C7F"/>
    <w:rsid w:val="00F75369"/>
    <w:rsid w:val="00F7558A"/>
    <w:rsid w:val="00F75687"/>
    <w:rsid w:val="00F762D0"/>
    <w:rsid w:val="00F7691D"/>
    <w:rsid w:val="00F76F1D"/>
    <w:rsid w:val="00F77085"/>
    <w:rsid w:val="00F770C7"/>
    <w:rsid w:val="00F77223"/>
    <w:rsid w:val="00F77DE3"/>
    <w:rsid w:val="00F77DEC"/>
    <w:rsid w:val="00F80444"/>
    <w:rsid w:val="00F80769"/>
    <w:rsid w:val="00F80841"/>
    <w:rsid w:val="00F808A4"/>
    <w:rsid w:val="00F813B9"/>
    <w:rsid w:val="00F814BD"/>
    <w:rsid w:val="00F81864"/>
    <w:rsid w:val="00F818FD"/>
    <w:rsid w:val="00F8194C"/>
    <w:rsid w:val="00F81A1C"/>
    <w:rsid w:val="00F81B49"/>
    <w:rsid w:val="00F81BED"/>
    <w:rsid w:val="00F81C53"/>
    <w:rsid w:val="00F82020"/>
    <w:rsid w:val="00F821BE"/>
    <w:rsid w:val="00F8220A"/>
    <w:rsid w:val="00F8229B"/>
    <w:rsid w:val="00F823A7"/>
    <w:rsid w:val="00F82406"/>
    <w:rsid w:val="00F82437"/>
    <w:rsid w:val="00F825BC"/>
    <w:rsid w:val="00F8281F"/>
    <w:rsid w:val="00F82EC0"/>
    <w:rsid w:val="00F8328C"/>
    <w:rsid w:val="00F833D2"/>
    <w:rsid w:val="00F834C1"/>
    <w:rsid w:val="00F838D9"/>
    <w:rsid w:val="00F83935"/>
    <w:rsid w:val="00F83B08"/>
    <w:rsid w:val="00F83CDF"/>
    <w:rsid w:val="00F83D0D"/>
    <w:rsid w:val="00F83FFE"/>
    <w:rsid w:val="00F84339"/>
    <w:rsid w:val="00F84462"/>
    <w:rsid w:val="00F844A8"/>
    <w:rsid w:val="00F84564"/>
    <w:rsid w:val="00F845C3"/>
    <w:rsid w:val="00F84646"/>
    <w:rsid w:val="00F8470D"/>
    <w:rsid w:val="00F84B45"/>
    <w:rsid w:val="00F84D49"/>
    <w:rsid w:val="00F85338"/>
    <w:rsid w:val="00F853A7"/>
    <w:rsid w:val="00F8553A"/>
    <w:rsid w:val="00F857B6"/>
    <w:rsid w:val="00F85D21"/>
    <w:rsid w:val="00F85D7D"/>
    <w:rsid w:val="00F85EAC"/>
    <w:rsid w:val="00F860D6"/>
    <w:rsid w:val="00F862AE"/>
    <w:rsid w:val="00F8681C"/>
    <w:rsid w:val="00F86A28"/>
    <w:rsid w:val="00F86A6B"/>
    <w:rsid w:val="00F86D92"/>
    <w:rsid w:val="00F86E68"/>
    <w:rsid w:val="00F87236"/>
    <w:rsid w:val="00F87519"/>
    <w:rsid w:val="00F875F6"/>
    <w:rsid w:val="00F87777"/>
    <w:rsid w:val="00F87AE5"/>
    <w:rsid w:val="00F87E56"/>
    <w:rsid w:val="00F9022A"/>
    <w:rsid w:val="00F905A3"/>
    <w:rsid w:val="00F90815"/>
    <w:rsid w:val="00F90C37"/>
    <w:rsid w:val="00F90CFA"/>
    <w:rsid w:val="00F91386"/>
    <w:rsid w:val="00F91401"/>
    <w:rsid w:val="00F91432"/>
    <w:rsid w:val="00F9192B"/>
    <w:rsid w:val="00F91AE3"/>
    <w:rsid w:val="00F926A2"/>
    <w:rsid w:val="00F92AA7"/>
    <w:rsid w:val="00F92E28"/>
    <w:rsid w:val="00F92F33"/>
    <w:rsid w:val="00F92F5A"/>
    <w:rsid w:val="00F933A8"/>
    <w:rsid w:val="00F9341F"/>
    <w:rsid w:val="00F93636"/>
    <w:rsid w:val="00F93A1C"/>
    <w:rsid w:val="00F93C8A"/>
    <w:rsid w:val="00F93D03"/>
    <w:rsid w:val="00F93F21"/>
    <w:rsid w:val="00F93F7E"/>
    <w:rsid w:val="00F94085"/>
    <w:rsid w:val="00F945A2"/>
    <w:rsid w:val="00F94707"/>
    <w:rsid w:val="00F9498D"/>
    <w:rsid w:val="00F9508A"/>
    <w:rsid w:val="00F95093"/>
    <w:rsid w:val="00F955B6"/>
    <w:rsid w:val="00F9596F"/>
    <w:rsid w:val="00F96028"/>
    <w:rsid w:val="00F9613A"/>
    <w:rsid w:val="00F96252"/>
    <w:rsid w:val="00F963B4"/>
    <w:rsid w:val="00F9645F"/>
    <w:rsid w:val="00F9656F"/>
    <w:rsid w:val="00F96783"/>
    <w:rsid w:val="00F96A80"/>
    <w:rsid w:val="00F96AE3"/>
    <w:rsid w:val="00F96B56"/>
    <w:rsid w:val="00F96C99"/>
    <w:rsid w:val="00F96D67"/>
    <w:rsid w:val="00F96E81"/>
    <w:rsid w:val="00F970DF"/>
    <w:rsid w:val="00F973CF"/>
    <w:rsid w:val="00F97704"/>
    <w:rsid w:val="00F979CE"/>
    <w:rsid w:val="00F979E7"/>
    <w:rsid w:val="00F97C0E"/>
    <w:rsid w:val="00F97C6A"/>
    <w:rsid w:val="00FA00A6"/>
    <w:rsid w:val="00FA0142"/>
    <w:rsid w:val="00FA0467"/>
    <w:rsid w:val="00FA04DB"/>
    <w:rsid w:val="00FA0628"/>
    <w:rsid w:val="00FA0639"/>
    <w:rsid w:val="00FA0852"/>
    <w:rsid w:val="00FA08A7"/>
    <w:rsid w:val="00FA0974"/>
    <w:rsid w:val="00FA0EEA"/>
    <w:rsid w:val="00FA0FF1"/>
    <w:rsid w:val="00FA1217"/>
    <w:rsid w:val="00FA1647"/>
    <w:rsid w:val="00FA1CB4"/>
    <w:rsid w:val="00FA1F9F"/>
    <w:rsid w:val="00FA21A9"/>
    <w:rsid w:val="00FA273C"/>
    <w:rsid w:val="00FA27AC"/>
    <w:rsid w:val="00FA2D1D"/>
    <w:rsid w:val="00FA310C"/>
    <w:rsid w:val="00FA3112"/>
    <w:rsid w:val="00FA31DD"/>
    <w:rsid w:val="00FA3420"/>
    <w:rsid w:val="00FA3474"/>
    <w:rsid w:val="00FA34DA"/>
    <w:rsid w:val="00FA3665"/>
    <w:rsid w:val="00FA3B70"/>
    <w:rsid w:val="00FA3ED7"/>
    <w:rsid w:val="00FA44C5"/>
    <w:rsid w:val="00FA5269"/>
    <w:rsid w:val="00FA560C"/>
    <w:rsid w:val="00FA5E17"/>
    <w:rsid w:val="00FA5F9B"/>
    <w:rsid w:val="00FA609B"/>
    <w:rsid w:val="00FA6248"/>
    <w:rsid w:val="00FA63A6"/>
    <w:rsid w:val="00FA6753"/>
    <w:rsid w:val="00FA687D"/>
    <w:rsid w:val="00FA6880"/>
    <w:rsid w:val="00FA6A72"/>
    <w:rsid w:val="00FA6AB7"/>
    <w:rsid w:val="00FA6AF6"/>
    <w:rsid w:val="00FA6B41"/>
    <w:rsid w:val="00FA6C55"/>
    <w:rsid w:val="00FA6E1A"/>
    <w:rsid w:val="00FA6E5A"/>
    <w:rsid w:val="00FA6FF5"/>
    <w:rsid w:val="00FA7030"/>
    <w:rsid w:val="00FA743E"/>
    <w:rsid w:val="00FA770E"/>
    <w:rsid w:val="00FA795E"/>
    <w:rsid w:val="00FA797B"/>
    <w:rsid w:val="00FA7ABA"/>
    <w:rsid w:val="00FA7E0C"/>
    <w:rsid w:val="00FA7EA8"/>
    <w:rsid w:val="00FA7EFE"/>
    <w:rsid w:val="00FB0095"/>
    <w:rsid w:val="00FB03D4"/>
    <w:rsid w:val="00FB0564"/>
    <w:rsid w:val="00FB064E"/>
    <w:rsid w:val="00FB06E2"/>
    <w:rsid w:val="00FB0785"/>
    <w:rsid w:val="00FB0A77"/>
    <w:rsid w:val="00FB0BC3"/>
    <w:rsid w:val="00FB0D59"/>
    <w:rsid w:val="00FB17BC"/>
    <w:rsid w:val="00FB1800"/>
    <w:rsid w:val="00FB1A2E"/>
    <w:rsid w:val="00FB1D8E"/>
    <w:rsid w:val="00FB1FAC"/>
    <w:rsid w:val="00FB2D51"/>
    <w:rsid w:val="00FB2F63"/>
    <w:rsid w:val="00FB3107"/>
    <w:rsid w:val="00FB34D2"/>
    <w:rsid w:val="00FB3703"/>
    <w:rsid w:val="00FB38CA"/>
    <w:rsid w:val="00FB3E6C"/>
    <w:rsid w:val="00FB4096"/>
    <w:rsid w:val="00FB41C8"/>
    <w:rsid w:val="00FB41F4"/>
    <w:rsid w:val="00FB477C"/>
    <w:rsid w:val="00FB4833"/>
    <w:rsid w:val="00FB5481"/>
    <w:rsid w:val="00FB5796"/>
    <w:rsid w:val="00FB58A6"/>
    <w:rsid w:val="00FB59C0"/>
    <w:rsid w:val="00FB5AB4"/>
    <w:rsid w:val="00FB5FF8"/>
    <w:rsid w:val="00FB5FFE"/>
    <w:rsid w:val="00FB60EB"/>
    <w:rsid w:val="00FB639A"/>
    <w:rsid w:val="00FB687B"/>
    <w:rsid w:val="00FB6D29"/>
    <w:rsid w:val="00FB6D41"/>
    <w:rsid w:val="00FB726C"/>
    <w:rsid w:val="00FB77EE"/>
    <w:rsid w:val="00FB7844"/>
    <w:rsid w:val="00FB79A5"/>
    <w:rsid w:val="00FB7DE4"/>
    <w:rsid w:val="00FB7DEE"/>
    <w:rsid w:val="00FB7E91"/>
    <w:rsid w:val="00FB7EA9"/>
    <w:rsid w:val="00FB7FC3"/>
    <w:rsid w:val="00FC0343"/>
    <w:rsid w:val="00FC0BC6"/>
    <w:rsid w:val="00FC0C26"/>
    <w:rsid w:val="00FC0EF6"/>
    <w:rsid w:val="00FC0F45"/>
    <w:rsid w:val="00FC0FA0"/>
    <w:rsid w:val="00FC1025"/>
    <w:rsid w:val="00FC1D44"/>
    <w:rsid w:val="00FC1FB2"/>
    <w:rsid w:val="00FC2250"/>
    <w:rsid w:val="00FC248E"/>
    <w:rsid w:val="00FC25D3"/>
    <w:rsid w:val="00FC2896"/>
    <w:rsid w:val="00FC28B0"/>
    <w:rsid w:val="00FC2D04"/>
    <w:rsid w:val="00FC2D29"/>
    <w:rsid w:val="00FC31B4"/>
    <w:rsid w:val="00FC38CD"/>
    <w:rsid w:val="00FC3A5B"/>
    <w:rsid w:val="00FC3B63"/>
    <w:rsid w:val="00FC3D13"/>
    <w:rsid w:val="00FC3DC3"/>
    <w:rsid w:val="00FC4210"/>
    <w:rsid w:val="00FC456B"/>
    <w:rsid w:val="00FC4816"/>
    <w:rsid w:val="00FC4976"/>
    <w:rsid w:val="00FC49A2"/>
    <w:rsid w:val="00FC5206"/>
    <w:rsid w:val="00FC55F0"/>
    <w:rsid w:val="00FC5649"/>
    <w:rsid w:val="00FC5892"/>
    <w:rsid w:val="00FC5C96"/>
    <w:rsid w:val="00FC5FB8"/>
    <w:rsid w:val="00FC6025"/>
    <w:rsid w:val="00FC6371"/>
    <w:rsid w:val="00FC6496"/>
    <w:rsid w:val="00FC66E2"/>
    <w:rsid w:val="00FC6768"/>
    <w:rsid w:val="00FC6AF6"/>
    <w:rsid w:val="00FC7645"/>
    <w:rsid w:val="00FC7711"/>
    <w:rsid w:val="00FC798F"/>
    <w:rsid w:val="00FC7F09"/>
    <w:rsid w:val="00FD00FC"/>
    <w:rsid w:val="00FD01BD"/>
    <w:rsid w:val="00FD03D6"/>
    <w:rsid w:val="00FD0598"/>
    <w:rsid w:val="00FD08F9"/>
    <w:rsid w:val="00FD0910"/>
    <w:rsid w:val="00FD0A87"/>
    <w:rsid w:val="00FD0B94"/>
    <w:rsid w:val="00FD0E18"/>
    <w:rsid w:val="00FD0F36"/>
    <w:rsid w:val="00FD0F6C"/>
    <w:rsid w:val="00FD111F"/>
    <w:rsid w:val="00FD1355"/>
    <w:rsid w:val="00FD17E4"/>
    <w:rsid w:val="00FD1901"/>
    <w:rsid w:val="00FD19D8"/>
    <w:rsid w:val="00FD1AB0"/>
    <w:rsid w:val="00FD1BA9"/>
    <w:rsid w:val="00FD1CC8"/>
    <w:rsid w:val="00FD1DBA"/>
    <w:rsid w:val="00FD240D"/>
    <w:rsid w:val="00FD27CD"/>
    <w:rsid w:val="00FD28DE"/>
    <w:rsid w:val="00FD2A6C"/>
    <w:rsid w:val="00FD2C27"/>
    <w:rsid w:val="00FD3563"/>
    <w:rsid w:val="00FD36FE"/>
    <w:rsid w:val="00FD3835"/>
    <w:rsid w:val="00FD3878"/>
    <w:rsid w:val="00FD38DE"/>
    <w:rsid w:val="00FD3C8A"/>
    <w:rsid w:val="00FD3D88"/>
    <w:rsid w:val="00FD3E43"/>
    <w:rsid w:val="00FD41E6"/>
    <w:rsid w:val="00FD4704"/>
    <w:rsid w:val="00FD47DC"/>
    <w:rsid w:val="00FD4811"/>
    <w:rsid w:val="00FD4C21"/>
    <w:rsid w:val="00FD4D62"/>
    <w:rsid w:val="00FD4E1C"/>
    <w:rsid w:val="00FD4EAC"/>
    <w:rsid w:val="00FD5358"/>
    <w:rsid w:val="00FD5478"/>
    <w:rsid w:val="00FD59E2"/>
    <w:rsid w:val="00FD5B56"/>
    <w:rsid w:val="00FD5C56"/>
    <w:rsid w:val="00FD5CFE"/>
    <w:rsid w:val="00FD5DDA"/>
    <w:rsid w:val="00FD61FF"/>
    <w:rsid w:val="00FD6897"/>
    <w:rsid w:val="00FD69A2"/>
    <w:rsid w:val="00FD6BD3"/>
    <w:rsid w:val="00FD6FD6"/>
    <w:rsid w:val="00FD72DA"/>
    <w:rsid w:val="00FD767F"/>
    <w:rsid w:val="00FD77A0"/>
    <w:rsid w:val="00FD7FB2"/>
    <w:rsid w:val="00FE0035"/>
    <w:rsid w:val="00FE05D4"/>
    <w:rsid w:val="00FE08CD"/>
    <w:rsid w:val="00FE0BE8"/>
    <w:rsid w:val="00FE0CA6"/>
    <w:rsid w:val="00FE128A"/>
    <w:rsid w:val="00FE1330"/>
    <w:rsid w:val="00FE15A4"/>
    <w:rsid w:val="00FE1811"/>
    <w:rsid w:val="00FE1A0C"/>
    <w:rsid w:val="00FE1CB9"/>
    <w:rsid w:val="00FE218F"/>
    <w:rsid w:val="00FE2298"/>
    <w:rsid w:val="00FE23E0"/>
    <w:rsid w:val="00FE2A99"/>
    <w:rsid w:val="00FE2FC5"/>
    <w:rsid w:val="00FE32EC"/>
    <w:rsid w:val="00FE3364"/>
    <w:rsid w:val="00FE36CD"/>
    <w:rsid w:val="00FE381A"/>
    <w:rsid w:val="00FE3966"/>
    <w:rsid w:val="00FE3CF1"/>
    <w:rsid w:val="00FE4026"/>
    <w:rsid w:val="00FE40A2"/>
    <w:rsid w:val="00FE4428"/>
    <w:rsid w:val="00FE445C"/>
    <w:rsid w:val="00FE4933"/>
    <w:rsid w:val="00FE4D2F"/>
    <w:rsid w:val="00FE4EDA"/>
    <w:rsid w:val="00FE4F5C"/>
    <w:rsid w:val="00FE50AE"/>
    <w:rsid w:val="00FE52D0"/>
    <w:rsid w:val="00FE543F"/>
    <w:rsid w:val="00FE56FF"/>
    <w:rsid w:val="00FE5BC0"/>
    <w:rsid w:val="00FE5BD1"/>
    <w:rsid w:val="00FE5F8F"/>
    <w:rsid w:val="00FE6744"/>
    <w:rsid w:val="00FE68DF"/>
    <w:rsid w:val="00FE6B95"/>
    <w:rsid w:val="00FE6BF8"/>
    <w:rsid w:val="00FE6DED"/>
    <w:rsid w:val="00FE6F03"/>
    <w:rsid w:val="00FE7144"/>
    <w:rsid w:val="00FE71A4"/>
    <w:rsid w:val="00FE781E"/>
    <w:rsid w:val="00FE7D61"/>
    <w:rsid w:val="00FF0031"/>
    <w:rsid w:val="00FF059C"/>
    <w:rsid w:val="00FF0D1E"/>
    <w:rsid w:val="00FF1041"/>
    <w:rsid w:val="00FF1099"/>
    <w:rsid w:val="00FF10F8"/>
    <w:rsid w:val="00FF11F3"/>
    <w:rsid w:val="00FF122D"/>
    <w:rsid w:val="00FF1273"/>
    <w:rsid w:val="00FF1375"/>
    <w:rsid w:val="00FF15D0"/>
    <w:rsid w:val="00FF1656"/>
    <w:rsid w:val="00FF1A6E"/>
    <w:rsid w:val="00FF1FAD"/>
    <w:rsid w:val="00FF2086"/>
    <w:rsid w:val="00FF209F"/>
    <w:rsid w:val="00FF2468"/>
    <w:rsid w:val="00FF2706"/>
    <w:rsid w:val="00FF2886"/>
    <w:rsid w:val="00FF28C0"/>
    <w:rsid w:val="00FF2C4F"/>
    <w:rsid w:val="00FF2DD3"/>
    <w:rsid w:val="00FF2FE8"/>
    <w:rsid w:val="00FF3145"/>
    <w:rsid w:val="00FF3310"/>
    <w:rsid w:val="00FF3320"/>
    <w:rsid w:val="00FF33BD"/>
    <w:rsid w:val="00FF3841"/>
    <w:rsid w:val="00FF387C"/>
    <w:rsid w:val="00FF3AAF"/>
    <w:rsid w:val="00FF3C92"/>
    <w:rsid w:val="00FF3CE6"/>
    <w:rsid w:val="00FF3D2D"/>
    <w:rsid w:val="00FF3F2F"/>
    <w:rsid w:val="00FF424F"/>
    <w:rsid w:val="00FF4538"/>
    <w:rsid w:val="00FF4BA0"/>
    <w:rsid w:val="00FF4BD4"/>
    <w:rsid w:val="00FF4BFA"/>
    <w:rsid w:val="00FF4F83"/>
    <w:rsid w:val="00FF5325"/>
    <w:rsid w:val="00FF549E"/>
    <w:rsid w:val="00FF5582"/>
    <w:rsid w:val="00FF558C"/>
    <w:rsid w:val="00FF55AD"/>
    <w:rsid w:val="00FF57ED"/>
    <w:rsid w:val="00FF58E2"/>
    <w:rsid w:val="00FF5BBA"/>
    <w:rsid w:val="00FF5CD8"/>
    <w:rsid w:val="00FF5E02"/>
    <w:rsid w:val="00FF63E5"/>
    <w:rsid w:val="00FF67E4"/>
    <w:rsid w:val="00FF68C4"/>
    <w:rsid w:val="00FF692D"/>
    <w:rsid w:val="00FF6B9A"/>
    <w:rsid w:val="00FF6BDE"/>
    <w:rsid w:val="00FF6CD2"/>
    <w:rsid w:val="00FF6EB5"/>
    <w:rsid w:val="00FF71FE"/>
    <w:rsid w:val="00FF74B6"/>
    <w:rsid w:val="00FF758D"/>
    <w:rsid w:val="00FF76E3"/>
    <w:rsid w:val="00FF7BDA"/>
    <w:rsid w:val="00FF7C58"/>
    <w:rsid w:val="00FF7D93"/>
    <w:rsid w:val="13024EA3"/>
    <w:rsid w:val="147E537A"/>
    <w:rsid w:val="1C5F7103"/>
    <w:rsid w:val="257D4F76"/>
    <w:rsid w:val="29E13D56"/>
    <w:rsid w:val="2FA32731"/>
    <w:rsid w:val="34D803BD"/>
    <w:rsid w:val="5B9067AF"/>
    <w:rsid w:val="77407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99"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0"/>
    <w:qFormat/>
    <w:uiPriority w:val="0"/>
    <w:pPr>
      <w:keepNext/>
      <w:keepLines/>
      <w:pageBreakBefore/>
      <w:numPr>
        <w:ilvl w:val="0"/>
        <w:numId w:val="1"/>
      </w:numPr>
      <w:spacing w:before="340" w:after="330" w:line="578" w:lineRule="auto"/>
      <w:ind w:firstLine="0" w:firstLineChars="0"/>
      <w:outlineLvl w:val="0"/>
    </w:pPr>
    <w:rPr>
      <w:b/>
      <w:bCs/>
      <w:kern w:val="44"/>
      <w:sz w:val="44"/>
      <w:szCs w:val="44"/>
    </w:rPr>
  </w:style>
  <w:style w:type="paragraph" w:styleId="3">
    <w:name w:val="heading 2"/>
    <w:basedOn w:val="1"/>
    <w:next w:val="1"/>
    <w:link w:val="61"/>
    <w:unhideWhenUsed/>
    <w:qFormat/>
    <w:uiPriority w:val="0"/>
    <w:pPr>
      <w:keepNext/>
      <w:keepLines/>
      <w:numPr>
        <w:ilvl w:val="1"/>
        <w:numId w:val="1"/>
      </w:numPr>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4">
    <w:name w:val="heading 3"/>
    <w:basedOn w:val="1"/>
    <w:next w:val="1"/>
    <w:link w:val="62"/>
    <w:qFormat/>
    <w:uiPriority w:val="0"/>
    <w:pPr>
      <w:keepNext/>
      <w:keepLines/>
      <w:numPr>
        <w:ilvl w:val="2"/>
        <w:numId w:val="1"/>
      </w:numPr>
      <w:ind w:firstLine="0" w:firstLineChars="0"/>
      <w:jc w:val="left"/>
      <w:outlineLvl w:val="2"/>
    </w:pPr>
    <w:rPr>
      <w:b/>
      <w:bCs/>
      <w:sz w:val="28"/>
      <w:szCs w:val="32"/>
    </w:rPr>
  </w:style>
  <w:style w:type="paragraph" w:styleId="5">
    <w:name w:val="heading 4"/>
    <w:basedOn w:val="1"/>
    <w:next w:val="1"/>
    <w:link w:val="63"/>
    <w:qFormat/>
    <w:uiPriority w:val="0"/>
    <w:pPr>
      <w:keepNext/>
      <w:keepLines/>
      <w:numPr>
        <w:ilvl w:val="3"/>
        <w:numId w:val="1"/>
      </w:numPr>
      <w:adjustRightInd/>
      <w:spacing w:line="377" w:lineRule="auto"/>
      <w:ind w:firstLine="0" w:firstLineChars="0"/>
      <w:outlineLvl w:val="3"/>
    </w:pPr>
    <w:rPr>
      <w:rFonts w:hAnsi="Arial" w:asciiTheme="majorEastAsia" w:eastAsiaTheme="majorEastAsia" w:cstheme="minorBidi"/>
      <w:b/>
      <w:bCs/>
      <w:sz w:val="28"/>
      <w:szCs w:val="28"/>
    </w:rPr>
  </w:style>
  <w:style w:type="paragraph" w:styleId="6">
    <w:name w:val="heading 5"/>
    <w:basedOn w:val="1"/>
    <w:next w:val="1"/>
    <w:link w:val="64"/>
    <w:qFormat/>
    <w:uiPriority w:val="0"/>
    <w:pPr>
      <w:keepNext/>
      <w:keepLines/>
      <w:tabs>
        <w:tab w:val="left" w:pos="-2052"/>
      </w:tabs>
      <w:adjustRightInd/>
      <w:spacing w:before="280" w:after="290" w:line="376" w:lineRule="auto"/>
      <w:ind w:left="-2052" w:hanging="1008" w:firstLineChars="0"/>
      <w:outlineLvl w:val="4"/>
    </w:pPr>
    <w:rPr>
      <w:b/>
      <w:bCs/>
      <w:sz w:val="28"/>
      <w:szCs w:val="28"/>
    </w:rPr>
  </w:style>
  <w:style w:type="paragraph" w:styleId="7">
    <w:name w:val="heading 6"/>
    <w:basedOn w:val="1"/>
    <w:next w:val="1"/>
    <w:link w:val="65"/>
    <w:qFormat/>
    <w:uiPriority w:val="0"/>
    <w:pPr>
      <w:keepNext/>
      <w:keepLines/>
      <w:adjustRightInd/>
      <w:spacing w:line="240" w:lineRule="auto"/>
      <w:ind w:firstLine="0" w:firstLineChars="0"/>
      <w:outlineLvl w:val="5"/>
    </w:pPr>
    <w:rPr>
      <w:rFonts w:ascii="Arial" w:hAnsi="Arial" w:eastAsia="微软雅黑"/>
      <w:bCs/>
      <w:sz w:val="21"/>
      <w:szCs w:val="24"/>
    </w:rPr>
  </w:style>
  <w:style w:type="paragraph" w:styleId="8">
    <w:name w:val="heading 7"/>
    <w:basedOn w:val="1"/>
    <w:next w:val="1"/>
    <w:link w:val="66"/>
    <w:qFormat/>
    <w:uiPriority w:val="0"/>
    <w:pPr>
      <w:adjustRightInd/>
      <w:ind w:firstLine="0" w:firstLineChars="0"/>
      <w:jc w:val="center"/>
      <w:outlineLvl w:val="6"/>
    </w:pPr>
    <w:rPr>
      <w:rFonts w:eastAsia="微软雅黑"/>
      <w:bCs/>
      <w:sz w:val="21"/>
      <w:szCs w:val="24"/>
    </w:rPr>
  </w:style>
  <w:style w:type="paragraph" w:styleId="9">
    <w:name w:val="heading 8"/>
    <w:basedOn w:val="1"/>
    <w:next w:val="1"/>
    <w:link w:val="67"/>
    <w:qFormat/>
    <w:uiPriority w:val="0"/>
    <w:pPr>
      <w:keepNext/>
      <w:keepLines/>
      <w:tabs>
        <w:tab w:val="left" w:pos="-1620"/>
      </w:tabs>
      <w:adjustRightInd/>
      <w:spacing w:before="240" w:after="64" w:line="320" w:lineRule="auto"/>
      <w:ind w:left="-1620" w:hanging="1440" w:firstLineChars="0"/>
      <w:outlineLvl w:val="7"/>
    </w:pPr>
    <w:rPr>
      <w:rFonts w:ascii="Arial" w:hAnsi="Arial" w:eastAsia="黑体"/>
      <w:szCs w:val="24"/>
    </w:rPr>
  </w:style>
  <w:style w:type="paragraph" w:styleId="10">
    <w:name w:val="heading 9"/>
    <w:basedOn w:val="1"/>
    <w:next w:val="1"/>
    <w:link w:val="68"/>
    <w:qFormat/>
    <w:uiPriority w:val="0"/>
    <w:pPr>
      <w:keepNext/>
      <w:keepLines/>
      <w:tabs>
        <w:tab w:val="left" w:pos="-1476"/>
      </w:tabs>
      <w:adjustRightInd/>
      <w:spacing w:before="240" w:after="64" w:line="320" w:lineRule="auto"/>
      <w:ind w:left="-1476" w:hanging="1584" w:firstLineChars="0"/>
      <w:outlineLvl w:val="8"/>
    </w:pPr>
    <w:rPr>
      <w:rFonts w:ascii="Arial" w:hAnsi="Arial" w:eastAsia="黑体"/>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adjustRightInd/>
      <w:spacing w:line="240" w:lineRule="auto"/>
      <w:ind w:left="2520" w:leftChars="1200" w:firstLine="0" w:firstLineChars="0"/>
    </w:pPr>
    <w:rPr>
      <w:rFonts w:asciiTheme="minorHAnsi" w:hAnsiTheme="minorHAnsi" w:eastAsiaTheme="minorEastAsia" w:cstheme="minorBidi"/>
      <w:sz w:val="21"/>
    </w:rPr>
  </w:style>
  <w:style w:type="paragraph" w:styleId="12">
    <w:name w:val="Normal Indent"/>
    <w:basedOn w:val="1"/>
    <w:link w:val="132"/>
    <w:unhideWhenUsed/>
    <w:qFormat/>
    <w:uiPriority w:val="0"/>
    <w:pPr>
      <w:ind w:firstLine="420"/>
    </w:pPr>
  </w:style>
  <w:style w:type="paragraph" w:styleId="13">
    <w:name w:val="caption"/>
    <w:basedOn w:val="1"/>
    <w:next w:val="1"/>
    <w:link w:val="121"/>
    <w:qFormat/>
    <w:uiPriority w:val="35"/>
    <w:pPr>
      <w:adjustRightInd/>
      <w:spacing w:line="240" w:lineRule="auto"/>
      <w:ind w:firstLine="0" w:firstLineChars="0"/>
    </w:pPr>
    <w:rPr>
      <w:rFonts w:ascii="Cambria" w:hAnsi="Cambria" w:eastAsia="黑体"/>
      <w:kern w:val="0"/>
      <w:sz w:val="20"/>
      <w:szCs w:val="20"/>
    </w:rPr>
  </w:style>
  <w:style w:type="paragraph" w:styleId="14">
    <w:name w:val="Document Map"/>
    <w:basedOn w:val="1"/>
    <w:link w:val="128"/>
    <w:semiHidden/>
    <w:unhideWhenUsed/>
    <w:qFormat/>
    <w:uiPriority w:val="99"/>
    <w:rPr>
      <w:rFonts w:ascii="宋体" w:hAnsi="Calibri"/>
      <w:sz w:val="18"/>
      <w:szCs w:val="18"/>
    </w:rPr>
  </w:style>
  <w:style w:type="paragraph" w:styleId="15">
    <w:name w:val="annotation text"/>
    <w:basedOn w:val="1"/>
    <w:link w:val="104"/>
    <w:unhideWhenUsed/>
    <w:qFormat/>
    <w:uiPriority w:val="0"/>
    <w:pPr>
      <w:jc w:val="left"/>
    </w:pPr>
  </w:style>
  <w:style w:type="paragraph" w:styleId="16">
    <w:name w:val="Body Text"/>
    <w:basedOn w:val="1"/>
    <w:link w:val="116"/>
    <w:qFormat/>
    <w:uiPriority w:val="0"/>
    <w:pPr>
      <w:adjustRightInd/>
      <w:spacing w:line="240" w:lineRule="auto"/>
      <w:ind w:firstLine="0" w:firstLineChars="0"/>
      <w:jc w:val="left"/>
    </w:pPr>
    <w:rPr>
      <w:rFonts w:ascii="宋体" w:hAnsi="宋体" w:cs="宋体"/>
      <w:kern w:val="0"/>
      <w:sz w:val="28"/>
      <w:szCs w:val="28"/>
      <w:lang w:eastAsia="en-US"/>
    </w:rPr>
  </w:style>
  <w:style w:type="paragraph" w:styleId="17">
    <w:name w:val="Body Text Indent"/>
    <w:basedOn w:val="1"/>
    <w:link w:val="138"/>
    <w:qFormat/>
    <w:uiPriority w:val="0"/>
    <w:pPr>
      <w:adjustRightInd/>
      <w:spacing w:line="500" w:lineRule="exact"/>
      <w:ind w:firstLine="570" w:firstLineChars="0"/>
      <w:jc w:val="left"/>
    </w:pPr>
    <w:rPr>
      <w:sz w:val="28"/>
      <w:szCs w:val="20"/>
    </w:rPr>
  </w:style>
  <w:style w:type="paragraph" w:styleId="18">
    <w:name w:val="HTML Address"/>
    <w:basedOn w:val="1"/>
    <w:link w:val="141"/>
    <w:qFormat/>
    <w:uiPriority w:val="0"/>
    <w:pPr>
      <w:adjustRightInd/>
      <w:spacing w:line="240" w:lineRule="auto"/>
      <w:ind w:firstLine="0" w:firstLineChars="0"/>
    </w:pPr>
    <w:rPr>
      <w:i/>
      <w:kern w:val="0"/>
      <w:sz w:val="20"/>
      <w:szCs w:val="20"/>
    </w:rPr>
  </w:style>
  <w:style w:type="paragraph" w:styleId="19">
    <w:name w:val="toc 5"/>
    <w:basedOn w:val="1"/>
    <w:next w:val="1"/>
    <w:unhideWhenUsed/>
    <w:qFormat/>
    <w:uiPriority w:val="39"/>
    <w:pPr>
      <w:adjustRightInd/>
      <w:spacing w:line="240" w:lineRule="auto"/>
      <w:ind w:left="1680" w:leftChars="800" w:firstLine="0" w:firstLineChars="0"/>
    </w:pPr>
    <w:rPr>
      <w:rFonts w:asciiTheme="minorHAnsi" w:hAnsiTheme="minorHAnsi" w:eastAsiaTheme="minorEastAsia" w:cstheme="minorBidi"/>
      <w:sz w:val="21"/>
    </w:rPr>
  </w:style>
  <w:style w:type="paragraph" w:styleId="20">
    <w:name w:val="toc 3"/>
    <w:basedOn w:val="1"/>
    <w:next w:val="1"/>
    <w:unhideWhenUsed/>
    <w:qFormat/>
    <w:uiPriority w:val="39"/>
    <w:pPr>
      <w:ind w:left="840" w:leftChars="400"/>
    </w:pPr>
  </w:style>
  <w:style w:type="paragraph" w:styleId="21">
    <w:name w:val="Plain Text"/>
    <w:basedOn w:val="1"/>
    <w:link w:val="142"/>
    <w:qFormat/>
    <w:uiPriority w:val="0"/>
    <w:pPr>
      <w:adjustRightInd/>
      <w:spacing w:line="240" w:lineRule="auto"/>
      <w:ind w:firstLine="0" w:firstLineChars="0"/>
    </w:pPr>
    <w:rPr>
      <w:rFonts w:ascii="宋体" w:hAnsi="Courier New"/>
      <w:kern w:val="0"/>
      <w:sz w:val="20"/>
      <w:szCs w:val="20"/>
    </w:rPr>
  </w:style>
  <w:style w:type="paragraph" w:styleId="22">
    <w:name w:val="toc 8"/>
    <w:basedOn w:val="1"/>
    <w:next w:val="1"/>
    <w:unhideWhenUsed/>
    <w:qFormat/>
    <w:uiPriority w:val="39"/>
    <w:pPr>
      <w:adjustRightInd/>
      <w:spacing w:line="240" w:lineRule="auto"/>
      <w:ind w:left="2940" w:leftChars="1400" w:firstLine="0" w:firstLineChars="0"/>
    </w:pPr>
    <w:rPr>
      <w:rFonts w:asciiTheme="minorHAnsi" w:hAnsiTheme="minorHAnsi" w:eastAsiaTheme="minorEastAsia" w:cstheme="minorBidi"/>
      <w:sz w:val="21"/>
    </w:rPr>
  </w:style>
  <w:style w:type="paragraph" w:styleId="23">
    <w:name w:val="Date"/>
    <w:basedOn w:val="1"/>
    <w:next w:val="1"/>
    <w:link w:val="143"/>
    <w:qFormat/>
    <w:uiPriority w:val="0"/>
    <w:pPr>
      <w:adjustRightInd/>
      <w:spacing w:line="240" w:lineRule="auto"/>
      <w:ind w:left="100" w:leftChars="2500" w:firstLine="0" w:firstLineChars="0"/>
    </w:pPr>
    <w:rPr>
      <w:sz w:val="21"/>
      <w:szCs w:val="24"/>
    </w:rPr>
  </w:style>
  <w:style w:type="paragraph" w:styleId="24">
    <w:name w:val="Body Text Indent 2"/>
    <w:basedOn w:val="1"/>
    <w:link w:val="144"/>
    <w:qFormat/>
    <w:uiPriority w:val="0"/>
    <w:pPr>
      <w:adjustRightInd/>
      <w:ind w:right="12" w:rightChars="12" w:firstLine="489" w:firstLineChars="233"/>
    </w:pPr>
    <w:rPr>
      <w:rFonts w:ascii="宋体" w:hAnsi="宋体"/>
      <w:kern w:val="0"/>
      <w:sz w:val="20"/>
      <w:szCs w:val="20"/>
    </w:rPr>
  </w:style>
  <w:style w:type="paragraph" w:styleId="25">
    <w:name w:val="endnote text"/>
    <w:basedOn w:val="1"/>
    <w:link w:val="122"/>
    <w:qFormat/>
    <w:uiPriority w:val="0"/>
    <w:pPr>
      <w:adjustRightInd/>
      <w:snapToGrid w:val="0"/>
      <w:spacing w:line="240" w:lineRule="auto"/>
      <w:ind w:firstLine="0" w:firstLineChars="0"/>
      <w:jc w:val="left"/>
    </w:pPr>
    <w:rPr>
      <w:sz w:val="21"/>
      <w:szCs w:val="24"/>
    </w:rPr>
  </w:style>
  <w:style w:type="paragraph" w:styleId="26">
    <w:name w:val="Balloon Text"/>
    <w:basedOn w:val="1"/>
    <w:link w:val="69"/>
    <w:semiHidden/>
    <w:unhideWhenUsed/>
    <w:qFormat/>
    <w:uiPriority w:val="0"/>
    <w:pPr>
      <w:spacing w:line="240" w:lineRule="auto"/>
    </w:pPr>
    <w:rPr>
      <w:sz w:val="18"/>
      <w:szCs w:val="18"/>
    </w:rPr>
  </w:style>
  <w:style w:type="paragraph" w:styleId="27">
    <w:name w:val="footer"/>
    <w:basedOn w:val="1"/>
    <w:link w:val="129"/>
    <w:unhideWhenUsed/>
    <w:qFormat/>
    <w:uiPriority w:val="99"/>
    <w:pPr>
      <w:tabs>
        <w:tab w:val="center" w:pos="4153"/>
        <w:tab w:val="right" w:pos="8306"/>
      </w:tabs>
      <w:snapToGrid w:val="0"/>
      <w:spacing w:line="240" w:lineRule="auto"/>
      <w:jc w:val="left"/>
    </w:pPr>
    <w:rPr>
      <w:rFonts w:ascii="Calibri" w:hAnsi="Calibri" w:eastAsia="仿宋"/>
      <w:sz w:val="18"/>
      <w:szCs w:val="18"/>
    </w:rPr>
  </w:style>
  <w:style w:type="paragraph" w:styleId="28">
    <w:name w:val="header"/>
    <w:basedOn w:val="1"/>
    <w:link w:val="1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9">
    <w:name w:val="toc 1"/>
    <w:basedOn w:val="1"/>
    <w:next w:val="1"/>
    <w:unhideWhenUsed/>
    <w:qFormat/>
    <w:uiPriority w:val="39"/>
  </w:style>
  <w:style w:type="paragraph" w:styleId="30">
    <w:name w:val="toc 4"/>
    <w:basedOn w:val="1"/>
    <w:next w:val="1"/>
    <w:unhideWhenUsed/>
    <w:qFormat/>
    <w:uiPriority w:val="39"/>
    <w:pPr>
      <w:adjustRightInd/>
      <w:spacing w:line="240" w:lineRule="auto"/>
      <w:ind w:left="1260" w:leftChars="600" w:firstLine="0" w:firstLineChars="0"/>
    </w:pPr>
    <w:rPr>
      <w:rFonts w:asciiTheme="minorHAnsi" w:hAnsiTheme="minorHAnsi" w:eastAsiaTheme="minorEastAsia" w:cstheme="minorBidi"/>
      <w:sz w:val="21"/>
    </w:rPr>
  </w:style>
  <w:style w:type="paragraph" w:styleId="31">
    <w:name w:val="footnote text"/>
    <w:basedOn w:val="1"/>
    <w:link w:val="146"/>
    <w:semiHidden/>
    <w:qFormat/>
    <w:uiPriority w:val="0"/>
    <w:pPr>
      <w:adjustRightInd/>
      <w:snapToGrid w:val="0"/>
      <w:spacing w:line="240" w:lineRule="auto"/>
      <w:ind w:firstLine="0" w:firstLineChars="0"/>
      <w:jc w:val="left"/>
    </w:pPr>
    <w:rPr>
      <w:sz w:val="18"/>
      <w:szCs w:val="18"/>
    </w:rPr>
  </w:style>
  <w:style w:type="paragraph" w:styleId="32">
    <w:name w:val="toc 6"/>
    <w:basedOn w:val="1"/>
    <w:next w:val="1"/>
    <w:unhideWhenUsed/>
    <w:qFormat/>
    <w:uiPriority w:val="39"/>
    <w:pPr>
      <w:adjustRightInd/>
      <w:spacing w:line="240" w:lineRule="auto"/>
      <w:ind w:left="2100" w:leftChars="1000" w:firstLine="0" w:firstLineChars="0"/>
    </w:pPr>
    <w:rPr>
      <w:rFonts w:asciiTheme="minorHAnsi" w:hAnsiTheme="minorHAnsi" w:eastAsiaTheme="minorEastAsia" w:cstheme="minorBidi"/>
      <w:sz w:val="21"/>
    </w:rPr>
  </w:style>
  <w:style w:type="paragraph" w:styleId="33">
    <w:name w:val="Body Text Indent 3"/>
    <w:basedOn w:val="1"/>
    <w:link w:val="137"/>
    <w:unhideWhenUsed/>
    <w:qFormat/>
    <w:uiPriority w:val="0"/>
    <w:pPr>
      <w:adjustRightInd/>
      <w:spacing w:after="120" w:line="240" w:lineRule="auto"/>
      <w:ind w:left="420" w:leftChars="200" w:firstLine="0" w:firstLineChars="0"/>
    </w:pPr>
    <w:rPr>
      <w:rFonts w:asciiTheme="minorHAnsi" w:hAnsiTheme="minorHAnsi" w:eastAsiaTheme="minorEastAsia" w:cstheme="minorBidi"/>
      <w:sz w:val="16"/>
      <w:szCs w:val="16"/>
    </w:rPr>
  </w:style>
  <w:style w:type="paragraph" w:styleId="34">
    <w:name w:val="table of figures"/>
    <w:basedOn w:val="1"/>
    <w:next w:val="1"/>
    <w:qFormat/>
    <w:uiPriority w:val="0"/>
    <w:pPr>
      <w:adjustRightInd/>
      <w:spacing w:line="240" w:lineRule="auto"/>
      <w:ind w:left="840" w:leftChars="200" w:hanging="420" w:hangingChars="200"/>
    </w:pPr>
    <w:rPr>
      <w:rFonts w:eastAsia="微软雅黑"/>
      <w:szCs w:val="20"/>
    </w:rPr>
  </w:style>
  <w:style w:type="paragraph" w:styleId="35">
    <w:name w:val="toc 2"/>
    <w:basedOn w:val="1"/>
    <w:next w:val="1"/>
    <w:unhideWhenUsed/>
    <w:qFormat/>
    <w:uiPriority w:val="39"/>
    <w:pPr>
      <w:ind w:left="420" w:leftChars="200"/>
    </w:pPr>
  </w:style>
  <w:style w:type="paragraph" w:styleId="36">
    <w:name w:val="toc 9"/>
    <w:basedOn w:val="1"/>
    <w:next w:val="1"/>
    <w:unhideWhenUsed/>
    <w:qFormat/>
    <w:uiPriority w:val="39"/>
    <w:pPr>
      <w:adjustRightInd/>
      <w:spacing w:line="240" w:lineRule="auto"/>
      <w:ind w:left="3360" w:leftChars="1600" w:firstLine="0" w:firstLineChars="0"/>
    </w:pPr>
    <w:rPr>
      <w:rFonts w:asciiTheme="minorHAnsi" w:hAnsiTheme="minorHAnsi" w:eastAsiaTheme="minorEastAsia" w:cstheme="minorBidi"/>
      <w:sz w:val="21"/>
    </w:rPr>
  </w:style>
  <w:style w:type="paragraph" w:styleId="37">
    <w:name w:val="HTML Preformatted"/>
    <w:basedOn w:val="1"/>
    <w:link w:val="147"/>
    <w:qFormat/>
    <w:uiPriority w:val="0"/>
    <w:pPr>
      <w:adjustRightInd/>
      <w:spacing w:line="240" w:lineRule="auto"/>
      <w:ind w:firstLine="0" w:firstLineChars="0"/>
    </w:pPr>
    <w:rPr>
      <w:rFonts w:ascii="Courier New" w:hAnsi="Courier New"/>
      <w:kern w:val="0"/>
      <w:sz w:val="20"/>
      <w:szCs w:val="20"/>
    </w:rPr>
  </w:style>
  <w:style w:type="paragraph" w:styleId="38">
    <w:name w:val="Normal (Web)"/>
    <w:basedOn w:val="1"/>
    <w:link w:val="133"/>
    <w:unhideWhenUsed/>
    <w:qFormat/>
    <w:uiPriority w:val="99"/>
    <w:pPr>
      <w:widowControl/>
      <w:adjustRightInd/>
      <w:spacing w:before="100" w:beforeAutospacing="1" w:after="100" w:afterAutospacing="1" w:line="240" w:lineRule="auto"/>
      <w:ind w:firstLine="0" w:firstLineChars="0"/>
      <w:jc w:val="left"/>
    </w:pPr>
    <w:rPr>
      <w:rFonts w:ascii="宋体" w:hAnsi="宋体" w:cs="宋体"/>
      <w:kern w:val="0"/>
      <w:szCs w:val="24"/>
    </w:rPr>
  </w:style>
  <w:style w:type="paragraph" w:styleId="39">
    <w:name w:val="Title"/>
    <w:basedOn w:val="1"/>
    <w:next w:val="1"/>
    <w:link w:val="96"/>
    <w:qFormat/>
    <w:uiPriority w:val="0"/>
    <w:pPr>
      <w:keepNext/>
      <w:spacing w:before="240" w:after="60"/>
      <w:ind w:firstLine="0" w:firstLineChars="0"/>
      <w:jc w:val="center"/>
      <w:outlineLvl w:val="0"/>
    </w:pPr>
    <w:rPr>
      <w:rFonts w:asciiTheme="majorHAnsi" w:hAnsiTheme="majorHAnsi" w:eastAsiaTheme="majorEastAsia" w:cstheme="majorBidi"/>
      <w:b/>
      <w:bCs/>
      <w:sz w:val="44"/>
      <w:szCs w:val="32"/>
    </w:rPr>
  </w:style>
  <w:style w:type="paragraph" w:styleId="40">
    <w:name w:val="annotation subject"/>
    <w:basedOn w:val="15"/>
    <w:next w:val="15"/>
    <w:link w:val="107"/>
    <w:semiHidden/>
    <w:unhideWhenUsed/>
    <w:qFormat/>
    <w:uiPriority w:val="99"/>
    <w:rPr>
      <w:b/>
      <w:bCs/>
    </w:rPr>
  </w:style>
  <w:style w:type="paragraph" w:styleId="41">
    <w:name w:val="Body Text First Indent 2"/>
    <w:basedOn w:val="1"/>
    <w:link w:val="145"/>
    <w:qFormat/>
    <w:uiPriority w:val="0"/>
    <w:pPr>
      <w:spacing w:line="440" w:lineRule="exact"/>
      <w:ind w:firstLine="510" w:firstLineChars="0"/>
    </w:pPr>
    <w:rPr>
      <w:rFonts w:eastAsia="微软雅黑"/>
      <w:sz w:val="28"/>
      <w:szCs w:val="20"/>
    </w:rPr>
  </w:style>
  <w:style w:type="table" w:styleId="43">
    <w:name w:val="Table Grid"/>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Strong"/>
    <w:basedOn w:val="44"/>
    <w:qFormat/>
    <w:uiPriority w:val="22"/>
    <w:rPr>
      <w:b/>
      <w:bCs/>
    </w:rPr>
  </w:style>
  <w:style w:type="character" w:styleId="46">
    <w:name w:val="endnote reference"/>
    <w:qFormat/>
    <w:uiPriority w:val="0"/>
    <w:rPr>
      <w:vertAlign w:val="superscript"/>
    </w:rPr>
  </w:style>
  <w:style w:type="character" w:styleId="47">
    <w:name w:val="page number"/>
    <w:basedOn w:val="44"/>
    <w:qFormat/>
    <w:uiPriority w:val="0"/>
  </w:style>
  <w:style w:type="character" w:styleId="48">
    <w:name w:val="FollowedHyperlink"/>
    <w:unhideWhenUsed/>
    <w:qFormat/>
    <w:uiPriority w:val="99"/>
    <w:rPr>
      <w:color w:val="800080"/>
      <w:u w:val="single"/>
    </w:rPr>
  </w:style>
  <w:style w:type="character" w:styleId="49">
    <w:name w:val="HTML Definition"/>
    <w:qFormat/>
    <w:uiPriority w:val="0"/>
    <w:rPr>
      <w:i/>
    </w:rPr>
  </w:style>
  <w:style w:type="character" w:styleId="50">
    <w:name w:val="HTML Typewriter"/>
    <w:qFormat/>
    <w:uiPriority w:val="0"/>
    <w:rPr>
      <w:rFonts w:ascii="Courier New" w:hAnsi="Courier New"/>
      <w:sz w:val="20"/>
    </w:rPr>
  </w:style>
  <w:style w:type="character" w:styleId="51">
    <w:name w:val="HTML Acronym"/>
    <w:basedOn w:val="44"/>
    <w:qFormat/>
    <w:uiPriority w:val="0"/>
  </w:style>
  <w:style w:type="character" w:styleId="52">
    <w:name w:val="HTML Variable"/>
    <w:qFormat/>
    <w:uiPriority w:val="0"/>
    <w:rPr>
      <w:i/>
    </w:rPr>
  </w:style>
  <w:style w:type="character" w:styleId="53">
    <w:name w:val="Hyperlink"/>
    <w:basedOn w:val="44"/>
    <w:unhideWhenUsed/>
    <w:qFormat/>
    <w:uiPriority w:val="99"/>
    <w:rPr>
      <w:color w:val="0000FF" w:themeColor="hyperlink"/>
      <w:u w:val="single"/>
      <w14:textFill>
        <w14:solidFill>
          <w14:schemeClr w14:val="hlink"/>
        </w14:solidFill>
      </w14:textFill>
    </w:rPr>
  </w:style>
  <w:style w:type="character" w:styleId="54">
    <w:name w:val="HTML Code"/>
    <w:qFormat/>
    <w:uiPriority w:val="0"/>
    <w:rPr>
      <w:rFonts w:ascii="Courier New" w:hAnsi="Courier New"/>
      <w:sz w:val="20"/>
    </w:rPr>
  </w:style>
  <w:style w:type="character" w:styleId="55">
    <w:name w:val="annotation reference"/>
    <w:basedOn w:val="44"/>
    <w:unhideWhenUsed/>
    <w:qFormat/>
    <w:uiPriority w:val="99"/>
    <w:rPr>
      <w:sz w:val="21"/>
      <w:szCs w:val="21"/>
    </w:rPr>
  </w:style>
  <w:style w:type="character" w:styleId="56">
    <w:name w:val="HTML Cite"/>
    <w:qFormat/>
    <w:uiPriority w:val="0"/>
    <w:rPr>
      <w:i/>
    </w:rPr>
  </w:style>
  <w:style w:type="character" w:styleId="57">
    <w:name w:val="footnote reference"/>
    <w:semiHidden/>
    <w:qFormat/>
    <w:uiPriority w:val="99"/>
    <w:rPr>
      <w:vertAlign w:val="superscript"/>
    </w:rPr>
  </w:style>
  <w:style w:type="character" w:styleId="58">
    <w:name w:val="HTML Keyboard"/>
    <w:qFormat/>
    <w:uiPriority w:val="0"/>
    <w:rPr>
      <w:rFonts w:ascii="Courier New" w:hAnsi="Courier New"/>
      <w:sz w:val="20"/>
    </w:rPr>
  </w:style>
  <w:style w:type="character" w:styleId="59">
    <w:name w:val="HTML Sample"/>
    <w:qFormat/>
    <w:uiPriority w:val="0"/>
    <w:rPr>
      <w:rFonts w:ascii="Courier New" w:hAnsi="Courier New"/>
    </w:rPr>
  </w:style>
  <w:style w:type="character" w:customStyle="1" w:styleId="60">
    <w:name w:val="标题 1 Char"/>
    <w:basedOn w:val="44"/>
    <w:link w:val="2"/>
    <w:qFormat/>
    <w:uiPriority w:val="0"/>
    <w:rPr>
      <w:rFonts w:ascii="Times New Roman" w:hAnsi="Times New Roman" w:eastAsia="宋体" w:cs="Times New Roman"/>
      <w:b/>
      <w:bCs/>
      <w:kern w:val="44"/>
      <w:sz w:val="44"/>
      <w:szCs w:val="44"/>
    </w:rPr>
  </w:style>
  <w:style w:type="character" w:customStyle="1" w:styleId="61">
    <w:name w:val="标题 2 Char"/>
    <w:basedOn w:val="44"/>
    <w:link w:val="3"/>
    <w:qFormat/>
    <w:uiPriority w:val="0"/>
    <w:rPr>
      <w:rFonts w:asciiTheme="majorHAnsi" w:hAnsiTheme="majorHAnsi" w:eastAsiaTheme="majorEastAsia" w:cstheme="majorBidi"/>
      <w:b/>
      <w:bCs/>
      <w:kern w:val="2"/>
      <w:sz w:val="32"/>
      <w:szCs w:val="32"/>
    </w:rPr>
  </w:style>
  <w:style w:type="character" w:customStyle="1" w:styleId="62">
    <w:name w:val="标题 3 Char"/>
    <w:basedOn w:val="44"/>
    <w:link w:val="4"/>
    <w:qFormat/>
    <w:uiPriority w:val="0"/>
    <w:rPr>
      <w:rFonts w:ascii="Times New Roman" w:hAnsi="Times New Roman" w:eastAsia="宋体" w:cs="Times New Roman"/>
      <w:b/>
      <w:bCs/>
      <w:kern w:val="2"/>
      <w:sz w:val="28"/>
      <w:szCs w:val="32"/>
    </w:rPr>
  </w:style>
  <w:style w:type="character" w:customStyle="1" w:styleId="63">
    <w:name w:val="标题 4 Char"/>
    <w:basedOn w:val="44"/>
    <w:link w:val="5"/>
    <w:qFormat/>
    <w:uiPriority w:val="0"/>
    <w:rPr>
      <w:rFonts w:hAnsi="Arial" w:asciiTheme="majorEastAsia" w:eastAsiaTheme="majorEastAsia"/>
      <w:b/>
      <w:bCs/>
      <w:kern w:val="2"/>
      <w:sz w:val="28"/>
      <w:szCs w:val="28"/>
    </w:rPr>
  </w:style>
  <w:style w:type="character" w:customStyle="1" w:styleId="64">
    <w:name w:val="标题 5 Char"/>
    <w:basedOn w:val="44"/>
    <w:link w:val="6"/>
    <w:qFormat/>
    <w:uiPriority w:val="0"/>
    <w:rPr>
      <w:rFonts w:ascii="Times New Roman" w:hAnsi="Times New Roman" w:eastAsia="宋体" w:cs="Times New Roman"/>
      <w:b/>
      <w:bCs/>
      <w:sz w:val="28"/>
      <w:szCs w:val="28"/>
    </w:rPr>
  </w:style>
  <w:style w:type="character" w:customStyle="1" w:styleId="65">
    <w:name w:val="标题 6 Char"/>
    <w:basedOn w:val="44"/>
    <w:link w:val="7"/>
    <w:qFormat/>
    <w:uiPriority w:val="0"/>
    <w:rPr>
      <w:rFonts w:ascii="Arial" w:hAnsi="Arial" w:eastAsia="微软雅黑" w:cs="Times New Roman"/>
      <w:bCs/>
      <w:szCs w:val="24"/>
    </w:rPr>
  </w:style>
  <w:style w:type="character" w:customStyle="1" w:styleId="66">
    <w:name w:val="标题 7 Char"/>
    <w:basedOn w:val="44"/>
    <w:link w:val="8"/>
    <w:qFormat/>
    <w:uiPriority w:val="0"/>
    <w:rPr>
      <w:rFonts w:ascii="Times New Roman" w:hAnsi="Times New Roman" w:eastAsia="微软雅黑" w:cs="Times New Roman"/>
      <w:bCs/>
      <w:szCs w:val="24"/>
    </w:rPr>
  </w:style>
  <w:style w:type="character" w:customStyle="1" w:styleId="67">
    <w:name w:val="标题 8 Char"/>
    <w:basedOn w:val="44"/>
    <w:link w:val="9"/>
    <w:qFormat/>
    <w:uiPriority w:val="0"/>
    <w:rPr>
      <w:rFonts w:ascii="Arial" w:hAnsi="Arial" w:eastAsia="黑体" w:cs="Times New Roman"/>
      <w:sz w:val="24"/>
      <w:szCs w:val="24"/>
    </w:rPr>
  </w:style>
  <w:style w:type="character" w:customStyle="1" w:styleId="68">
    <w:name w:val="标题 9 Char"/>
    <w:basedOn w:val="44"/>
    <w:link w:val="10"/>
    <w:qFormat/>
    <w:uiPriority w:val="0"/>
    <w:rPr>
      <w:rFonts w:ascii="Arial" w:hAnsi="Arial" w:eastAsia="黑体" w:cs="Times New Roman"/>
      <w:szCs w:val="21"/>
    </w:rPr>
  </w:style>
  <w:style w:type="character" w:customStyle="1" w:styleId="69">
    <w:name w:val="批注框文本 Char"/>
    <w:basedOn w:val="44"/>
    <w:link w:val="26"/>
    <w:qFormat/>
    <w:uiPriority w:val="0"/>
    <w:rPr>
      <w:rFonts w:ascii="Calibri" w:hAnsi="Calibri" w:eastAsia="仿宋" w:cs="Times New Roman"/>
      <w:sz w:val="18"/>
      <w:szCs w:val="18"/>
    </w:rPr>
  </w:style>
  <w:style w:type="paragraph" w:customStyle="1" w:styleId="70">
    <w:name w:val="修订1"/>
    <w:hidden/>
    <w:semiHidden/>
    <w:qFormat/>
    <w:uiPriority w:val="99"/>
    <w:rPr>
      <w:rFonts w:ascii="Calibri" w:hAnsi="Calibri" w:eastAsia="仿宋" w:cs="Times New Roman"/>
      <w:kern w:val="2"/>
      <w:sz w:val="24"/>
      <w:szCs w:val="22"/>
      <w:lang w:val="en-US" w:eastAsia="zh-CN" w:bidi="ar-SA"/>
    </w:rPr>
  </w:style>
  <w:style w:type="paragraph" w:customStyle="1" w:styleId="71">
    <w:name w:val="0_2-封面大标题"/>
    <w:basedOn w:val="1"/>
    <w:qFormat/>
    <w:uiPriority w:val="0"/>
    <w:pPr>
      <w:adjustRightInd/>
      <w:ind w:firstLine="0" w:firstLineChars="0"/>
      <w:jc w:val="center"/>
    </w:pPr>
    <w:rPr>
      <w:rFonts w:cstheme="minorBidi"/>
      <w:sz w:val="56"/>
      <w:szCs w:val="21"/>
    </w:rPr>
  </w:style>
  <w:style w:type="paragraph" w:customStyle="1" w:styleId="72">
    <w:name w:val="0_1-封面小标题"/>
    <w:basedOn w:val="71"/>
    <w:qFormat/>
    <w:uiPriority w:val="0"/>
    <w:rPr>
      <w:sz w:val="40"/>
    </w:rPr>
  </w:style>
  <w:style w:type="paragraph" w:customStyle="1" w:styleId="73">
    <w:name w:val="0_3-封面供区"/>
    <w:basedOn w:val="72"/>
    <w:qFormat/>
    <w:uiPriority w:val="0"/>
    <w:rPr>
      <w:sz w:val="44"/>
    </w:rPr>
  </w:style>
  <w:style w:type="paragraph" w:customStyle="1" w:styleId="74">
    <w:name w:val="0_4-封面单位日期"/>
    <w:basedOn w:val="73"/>
    <w:qFormat/>
    <w:uiPriority w:val="0"/>
    <w:rPr>
      <w:sz w:val="36"/>
    </w:rPr>
  </w:style>
  <w:style w:type="paragraph" w:customStyle="1" w:styleId="75">
    <w:name w:val="0_5-封面审核"/>
    <w:basedOn w:val="74"/>
    <w:qFormat/>
    <w:uiPriority w:val="0"/>
    <w:pPr>
      <w:ind w:firstLine="200" w:firstLineChars="200"/>
      <w:jc w:val="both"/>
    </w:pPr>
  </w:style>
  <w:style w:type="paragraph" w:customStyle="1" w:styleId="76">
    <w:name w:val="0_6-目录标题"/>
    <w:basedOn w:val="73"/>
    <w:qFormat/>
    <w:uiPriority w:val="0"/>
    <w:rPr>
      <w:b/>
    </w:rPr>
  </w:style>
  <w:style w:type="paragraph" w:customStyle="1" w:styleId="77">
    <w:name w:val="9-附件标题1"/>
    <w:basedOn w:val="2"/>
    <w:qFormat/>
    <w:uiPriority w:val="0"/>
    <w:pPr>
      <w:numPr>
        <w:numId w:val="2"/>
      </w:numPr>
      <w:adjustRightInd/>
    </w:pPr>
    <w:rPr>
      <w:rFonts w:asciiTheme="minorEastAsia" w:cstheme="minorBidi"/>
    </w:rPr>
  </w:style>
  <w:style w:type="paragraph" w:customStyle="1" w:styleId="78">
    <w:name w:val="9-附件标题2"/>
    <w:basedOn w:val="3"/>
    <w:qFormat/>
    <w:uiPriority w:val="0"/>
    <w:pPr>
      <w:numPr>
        <w:numId w:val="2"/>
      </w:numPr>
      <w:adjustRightInd/>
      <w:spacing w:before="120" w:after="120"/>
    </w:pPr>
    <w:rPr>
      <w:rFonts w:asciiTheme="majorEastAsia"/>
    </w:rPr>
  </w:style>
  <w:style w:type="paragraph" w:customStyle="1" w:styleId="79">
    <w:name w:val="9-附件标题3"/>
    <w:basedOn w:val="4"/>
    <w:qFormat/>
    <w:uiPriority w:val="0"/>
    <w:pPr>
      <w:numPr>
        <w:numId w:val="2"/>
      </w:numPr>
      <w:adjustRightInd/>
      <w:spacing w:line="415" w:lineRule="auto"/>
      <w:jc w:val="both"/>
    </w:pPr>
    <w:rPr>
      <w:rFonts w:asciiTheme="majorEastAsia" w:eastAsiaTheme="majorEastAsia" w:cstheme="minorBidi"/>
      <w:sz w:val="32"/>
    </w:rPr>
  </w:style>
  <w:style w:type="paragraph" w:customStyle="1" w:styleId="80">
    <w:name w:val="9-附件表名"/>
    <w:basedOn w:val="1"/>
    <w:qFormat/>
    <w:uiPriority w:val="0"/>
    <w:pPr>
      <w:keepNext/>
      <w:keepLines/>
      <w:numPr>
        <w:ilvl w:val="5"/>
        <w:numId w:val="2"/>
      </w:numPr>
      <w:adjustRightInd/>
      <w:spacing w:line="240" w:lineRule="auto"/>
      <w:outlineLvl w:val="5"/>
    </w:pPr>
    <w:rPr>
      <w:rFonts w:cstheme="minorBidi"/>
      <w:sz w:val="21"/>
      <w:szCs w:val="21"/>
    </w:rPr>
  </w:style>
  <w:style w:type="paragraph" w:customStyle="1" w:styleId="81">
    <w:name w:val="9-附件图名"/>
    <w:basedOn w:val="1"/>
    <w:qFormat/>
    <w:uiPriority w:val="0"/>
    <w:pPr>
      <w:keepLines/>
      <w:numPr>
        <w:ilvl w:val="6"/>
        <w:numId w:val="2"/>
      </w:numPr>
      <w:adjustRightInd/>
      <w:ind w:firstLineChars="0"/>
      <w:jc w:val="center"/>
      <w:outlineLvl w:val="6"/>
    </w:pPr>
    <w:rPr>
      <w:rFonts w:cstheme="minorBidi"/>
      <w:sz w:val="21"/>
      <w:szCs w:val="21"/>
    </w:rPr>
  </w:style>
  <w:style w:type="paragraph" w:customStyle="1" w:styleId="82">
    <w:name w:val="表格"/>
    <w:basedOn w:val="1"/>
    <w:link w:val="83"/>
    <w:qFormat/>
    <w:uiPriority w:val="0"/>
    <w:pPr>
      <w:widowControl/>
      <w:adjustRightInd/>
      <w:spacing w:line="240" w:lineRule="auto"/>
      <w:ind w:firstLine="0" w:firstLineChars="0"/>
      <w:jc w:val="center"/>
    </w:pPr>
    <w:rPr>
      <w:rFonts w:eastAsia="仿宋" w:cs="宋体"/>
      <w:color w:val="000000"/>
      <w:sz w:val="21"/>
      <w:szCs w:val="21"/>
    </w:rPr>
  </w:style>
  <w:style w:type="character" w:customStyle="1" w:styleId="83">
    <w:name w:val="表格 Char Char"/>
    <w:link w:val="82"/>
    <w:qFormat/>
    <w:uiPriority w:val="0"/>
    <w:rPr>
      <w:rFonts w:ascii="Times New Roman" w:hAnsi="Times New Roman" w:eastAsia="仿宋" w:cs="宋体"/>
      <w:color w:val="000000"/>
      <w:szCs w:val="21"/>
    </w:rPr>
  </w:style>
  <w:style w:type="paragraph" w:customStyle="1" w:styleId="84">
    <w:name w:val="表格居中"/>
    <w:basedOn w:val="1"/>
    <w:qFormat/>
    <w:uiPriority w:val="0"/>
    <w:pPr>
      <w:snapToGrid w:val="0"/>
      <w:spacing w:line="240" w:lineRule="auto"/>
      <w:ind w:firstLine="0" w:firstLineChars="0"/>
      <w:jc w:val="center"/>
    </w:pPr>
    <w:rPr>
      <w:rFonts w:cstheme="minorBidi"/>
      <w:sz w:val="18"/>
      <w:szCs w:val="21"/>
    </w:rPr>
  </w:style>
  <w:style w:type="paragraph" w:customStyle="1" w:styleId="85">
    <w:name w:val="表格左对齐"/>
    <w:basedOn w:val="84"/>
    <w:qFormat/>
    <w:uiPriority w:val="0"/>
    <w:pPr>
      <w:ind w:firstLine="200" w:firstLineChars="200"/>
      <w:jc w:val="both"/>
    </w:pPr>
  </w:style>
  <w:style w:type="paragraph" w:customStyle="1" w:styleId="86">
    <w:name w:val="表名"/>
    <w:basedOn w:val="1"/>
    <w:next w:val="1"/>
    <w:qFormat/>
    <w:uiPriority w:val="0"/>
    <w:pPr>
      <w:keepNext/>
      <w:keepLines/>
      <w:numPr>
        <w:ilvl w:val="5"/>
        <w:numId w:val="1"/>
      </w:numPr>
      <w:adjustRightInd/>
      <w:spacing w:line="240" w:lineRule="auto"/>
      <w:ind w:firstLineChars="0"/>
      <w:outlineLvl w:val="5"/>
    </w:pPr>
    <w:rPr>
      <w:rFonts w:cstheme="minorBidi"/>
      <w:sz w:val="21"/>
      <w:szCs w:val="21"/>
    </w:rPr>
  </w:style>
  <w:style w:type="paragraph" w:customStyle="1" w:styleId="87">
    <w:name w:val="表头"/>
    <w:basedOn w:val="84"/>
    <w:qFormat/>
    <w:uiPriority w:val="0"/>
    <w:pPr>
      <w:keepNext/>
    </w:pPr>
    <w:rPr>
      <w:b/>
    </w:rPr>
  </w:style>
  <w:style w:type="paragraph" w:customStyle="1" w:styleId="88">
    <w:name w:val="表注"/>
    <w:basedOn w:val="85"/>
    <w:qFormat/>
    <w:uiPriority w:val="0"/>
    <w:pPr>
      <w:adjustRightInd/>
      <w:snapToGrid/>
      <w:ind w:left="360" w:hanging="360" w:hangingChars="200"/>
    </w:pPr>
  </w:style>
  <w:style w:type="paragraph" w:customStyle="1" w:styleId="89">
    <w:name w:val="列出段落1"/>
    <w:basedOn w:val="90"/>
    <w:qFormat/>
    <w:uiPriority w:val="0"/>
    <w:pPr>
      <w:numPr>
        <w:ilvl w:val="0"/>
        <w:numId w:val="3"/>
      </w:numPr>
      <w:ind w:firstLine="0" w:firstLineChars="0"/>
    </w:pPr>
    <w:rPr>
      <w:b/>
    </w:rPr>
  </w:style>
  <w:style w:type="paragraph" w:styleId="90">
    <w:name w:val="List Paragraph"/>
    <w:basedOn w:val="1"/>
    <w:link w:val="127"/>
    <w:qFormat/>
    <w:uiPriority w:val="0"/>
    <w:pPr>
      <w:adjustRightInd/>
      <w:ind w:firstLine="420"/>
    </w:pPr>
    <w:rPr>
      <w:rFonts w:cstheme="minorBidi"/>
      <w:szCs w:val="21"/>
    </w:rPr>
  </w:style>
  <w:style w:type="paragraph" w:customStyle="1" w:styleId="91">
    <w:name w:val="列出段落2"/>
    <w:basedOn w:val="89"/>
    <w:qFormat/>
    <w:uiPriority w:val="34"/>
    <w:pPr>
      <w:numPr>
        <w:numId w:val="4"/>
      </w:numPr>
    </w:pPr>
    <w:rPr>
      <w:b w:val="0"/>
    </w:rPr>
  </w:style>
  <w:style w:type="paragraph" w:customStyle="1" w:styleId="92">
    <w:name w:val="列出段落3"/>
    <w:basedOn w:val="91"/>
    <w:qFormat/>
    <w:uiPriority w:val="0"/>
    <w:pPr>
      <w:numPr>
        <w:numId w:val="5"/>
      </w:numPr>
    </w:pPr>
  </w:style>
  <w:style w:type="paragraph" w:customStyle="1" w:styleId="93">
    <w:name w:val="图格式"/>
    <w:basedOn w:val="84"/>
    <w:next w:val="1"/>
    <w:qFormat/>
    <w:uiPriority w:val="0"/>
    <w:pPr>
      <w:keepNext/>
      <w:spacing w:line="360" w:lineRule="auto"/>
    </w:pPr>
  </w:style>
  <w:style w:type="paragraph" w:customStyle="1" w:styleId="94">
    <w:name w:val="图名"/>
    <w:basedOn w:val="1"/>
    <w:next w:val="1"/>
    <w:link w:val="473"/>
    <w:qFormat/>
    <w:uiPriority w:val="0"/>
    <w:pPr>
      <w:keepLines/>
      <w:numPr>
        <w:ilvl w:val="6"/>
        <w:numId w:val="1"/>
      </w:numPr>
      <w:adjustRightInd/>
      <w:ind w:firstLineChars="0"/>
      <w:jc w:val="center"/>
      <w:outlineLvl w:val="6"/>
    </w:pPr>
    <w:rPr>
      <w:rFonts w:cstheme="minorBidi"/>
      <w:sz w:val="21"/>
      <w:szCs w:val="21"/>
    </w:rPr>
  </w:style>
  <w:style w:type="paragraph" w:customStyle="1" w:styleId="95">
    <w:name w:val="TOC 标题1"/>
    <w:basedOn w:val="2"/>
    <w:next w:val="1"/>
    <w:unhideWhenUsed/>
    <w:qFormat/>
    <w:uiPriority w:val="39"/>
    <w:pPr>
      <w:widowControl/>
      <w:numPr>
        <w:numId w:val="0"/>
      </w:numPr>
      <w:adjustRightInd/>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96">
    <w:name w:val="标题 Char"/>
    <w:basedOn w:val="44"/>
    <w:link w:val="39"/>
    <w:qFormat/>
    <w:uiPriority w:val="0"/>
    <w:rPr>
      <w:rFonts w:asciiTheme="majorHAnsi" w:hAnsiTheme="majorHAnsi" w:eastAsiaTheme="majorEastAsia" w:cstheme="majorBidi"/>
      <w:b/>
      <w:bCs/>
      <w:sz w:val="44"/>
      <w:szCs w:val="32"/>
    </w:rPr>
  </w:style>
  <w:style w:type="paragraph" w:customStyle="1" w:styleId="97">
    <w:name w:val="正文 加粗 斜体"/>
    <w:basedOn w:val="1"/>
    <w:qFormat/>
    <w:uiPriority w:val="0"/>
    <w:pPr>
      <w:ind w:firstLine="482"/>
    </w:pPr>
    <w:rPr>
      <w:b/>
      <w:i/>
    </w:rPr>
  </w:style>
  <w:style w:type="paragraph" w:customStyle="1" w:styleId="98">
    <w:name w:val="正文 加粗"/>
    <w:basedOn w:val="1"/>
    <w:qFormat/>
    <w:uiPriority w:val="0"/>
    <w:pPr>
      <w:ind w:firstLine="482"/>
    </w:pPr>
    <w:rPr>
      <w:b/>
    </w:rPr>
  </w:style>
  <w:style w:type="paragraph" w:customStyle="1" w:styleId="99">
    <w:name w:val="正文 编制说明"/>
    <w:basedOn w:val="1"/>
    <w:qFormat/>
    <w:uiPriority w:val="0"/>
    <w:pPr>
      <w:ind w:firstLine="480"/>
    </w:pPr>
    <w:rPr>
      <w:i/>
    </w:rPr>
  </w:style>
  <w:style w:type="paragraph" w:customStyle="1" w:styleId="100">
    <w:name w:val="1_1-表头 五号"/>
    <w:basedOn w:val="87"/>
    <w:qFormat/>
    <w:uiPriority w:val="0"/>
    <w:rPr>
      <w:sz w:val="21"/>
    </w:rPr>
  </w:style>
  <w:style w:type="paragraph" w:customStyle="1" w:styleId="101">
    <w:name w:val="1_2-表格居中 五号"/>
    <w:basedOn w:val="84"/>
    <w:qFormat/>
    <w:uiPriority w:val="0"/>
    <w:rPr>
      <w:sz w:val="21"/>
    </w:rPr>
  </w:style>
  <w:style w:type="paragraph" w:customStyle="1" w:styleId="102">
    <w:name w:val="1_3-表格左对齐 五号"/>
    <w:basedOn w:val="85"/>
    <w:qFormat/>
    <w:uiPriority w:val="0"/>
    <w:pPr>
      <w:ind w:firstLine="0" w:firstLineChars="0"/>
    </w:pPr>
    <w:rPr>
      <w:b/>
      <w:sz w:val="21"/>
    </w:rPr>
  </w:style>
  <w:style w:type="paragraph" w:customStyle="1" w:styleId="103">
    <w:name w:val="正文 小标题"/>
    <w:basedOn w:val="1"/>
    <w:qFormat/>
    <w:uiPriority w:val="0"/>
    <w:pPr>
      <w:keepNext/>
      <w:ind w:firstLine="482"/>
    </w:pPr>
    <w:rPr>
      <w:b/>
    </w:rPr>
  </w:style>
  <w:style w:type="character" w:customStyle="1" w:styleId="104">
    <w:name w:val="批注文字 Char"/>
    <w:basedOn w:val="44"/>
    <w:link w:val="15"/>
    <w:qFormat/>
    <w:uiPriority w:val="0"/>
    <w:rPr>
      <w:rFonts w:ascii="Times New Roman" w:hAnsi="Times New Roman" w:eastAsia="宋体" w:cs="Times New Roman"/>
      <w:sz w:val="24"/>
    </w:rPr>
  </w:style>
  <w:style w:type="paragraph" w:customStyle="1" w:styleId="105">
    <w:name w:val="正文 缩进5"/>
    <w:basedOn w:val="1"/>
    <w:qFormat/>
    <w:uiPriority w:val="0"/>
    <w:pPr>
      <w:ind w:left="720" w:leftChars="300" w:firstLine="480"/>
    </w:pPr>
  </w:style>
  <w:style w:type="paragraph" w:customStyle="1" w:styleId="106">
    <w:name w:val="正文 公式"/>
    <w:basedOn w:val="1"/>
    <w:qFormat/>
    <w:uiPriority w:val="0"/>
    <w:pPr>
      <w:ind w:firstLine="0" w:firstLineChars="0"/>
      <w:jc w:val="center"/>
    </w:pPr>
  </w:style>
  <w:style w:type="character" w:customStyle="1" w:styleId="107">
    <w:name w:val="批注主题 Char"/>
    <w:basedOn w:val="104"/>
    <w:link w:val="40"/>
    <w:qFormat/>
    <w:uiPriority w:val="99"/>
    <w:rPr>
      <w:rFonts w:ascii="Times New Roman" w:hAnsi="Times New Roman" w:eastAsia="宋体" w:cs="Times New Roman"/>
      <w:b/>
      <w:bCs/>
      <w:sz w:val="24"/>
    </w:rPr>
  </w:style>
  <w:style w:type="paragraph" w:customStyle="1" w:styleId="108">
    <w:name w:val="列出段落4"/>
    <w:basedOn w:val="1"/>
    <w:qFormat/>
    <w:uiPriority w:val="0"/>
    <w:pPr>
      <w:numPr>
        <w:ilvl w:val="0"/>
        <w:numId w:val="6"/>
      </w:numPr>
      <w:adjustRightInd/>
      <w:ind w:left="1200" w:leftChars="200" w:firstLine="0" w:firstLineChars="0"/>
    </w:pPr>
    <w:rPr>
      <w:rFonts w:asciiTheme="minorEastAsia" w:hAnsiTheme="minorEastAsia" w:eastAsiaTheme="minorEastAsia"/>
      <w:kern w:val="32"/>
    </w:rPr>
  </w:style>
  <w:style w:type="paragraph" w:customStyle="1" w:styleId="109">
    <w:name w:val="表格左对齐 无缩进"/>
    <w:basedOn w:val="85"/>
    <w:qFormat/>
    <w:uiPriority w:val="0"/>
    <w:pPr>
      <w:ind w:firstLine="0" w:firstLineChars="0"/>
    </w:pPr>
  </w:style>
  <w:style w:type="paragraph" w:customStyle="1" w:styleId="110">
    <w:name w:val="正文 子项"/>
    <w:basedOn w:val="105"/>
    <w:qFormat/>
    <w:uiPriority w:val="0"/>
    <w:pPr>
      <w:ind w:left="1080" w:hanging="360" w:hangingChars="150"/>
    </w:pPr>
  </w:style>
  <w:style w:type="paragraph" w:customStyle="1" w:styleId="111">
    <w:name w:val="样式 正文缩进正文标准正文标准 Char Char正文标准 Char正文不缩进表正文正文非缩进段1四号Body...10"/>
    <w:basedOn w:val="12"/>
    <w:link w:val="112"/>
    <w:qFormat/>
    <w:uiPriority w:val="0"/>
    <w:pPr>
      <w:adjustRightInd/>
      <w:spacing w:line="500" w:lineRule="exact"/>
      <w:ind w:firstLine="560"/>
    </w:pPr>
    <w:rPr>
      <w:rFonts w:eastAsia="仿宋_GB2312"/>
      <w:sz w:val="30"/>
      <w:szCs w:val="28"/>
    </w:rPr>
  </w:style>
  <w:style w:type="character" w:customStyle="1" w:styleId="112">
    <w:name w:val="样式 正文缩进正文标准正文标准 Char Char正文标准 Char正文不缩进表正文正文非缩进段1四号Body...10 Char"/>
    <w:link w:val="111"/>
    <w:qFormat/>
    <w:uiPriority w:val="0"/>
    <w:rPr>
      <w:rFonts w:ascii="Times New Roman" w:hAnsi="Times New Roman" w:eastAsia="仿宋_GB2312" w:cs="Times New Roman"/>
      <w:sz w:val="30"/>
      <w:szCs w:val="28"/>
    </w:rPr>
  </w:style>
  <w:style w:type="paragraph" w:customStyle="1" w:styleId="113">
    <w:name w:val="表名 编制说明"/>
    <w:basedOn w:val="86"/>
    <w:next w:val="1"/>
    <w:qFormat/>
    <w:uiPriority w:val="0"/>
    <w:pPr>
      <w:keepLines w:val="0"/>
      <w:numPr>
        <w:ilvl w:val="4"/>
      </w:numPr>
      <w:outlineLvl w:val="4"/>
    </w:pPr>
  </w:style>
  <w:style w:type="paragraph" w:customStyle="1" w:styleId="114">
    <w:name w:val="图名 编制说明"/>
    <w:basedOn w:val="94"/>
    <w:qFormat/>
    <w:uiPriority w:val="0"/>
    <w:pPr>
      <w:numPr>
        <w:ilvl w:val="7"/>
      </w:numPr>
      <w:outlineLvl w:val="7"/>
    </w:pPr>
  </w:style>
  <w:style w:type="paragraph" w:customStyle="1" w:styleId="115">
    <w:name w:val="表名 子表"/>
    <w:basedOn w:val="86"/>
    <w:qFormat/>
    <w:uiPriority w:val="0"/>
    <w:pPr>
      <w:numPr>
        <w:ilvl w:val="8"/>
      </w:numPr>
      <w:outlineLvl w:val="8"/>
    </w:pPr>
  </w:style>
  <w:style w:type="character" w:customStyle="1" w:styleId="116">
    <w:name w:val="正文文本 Char"/>
    <w:basedOn w:val="44"/>
    <w:link w:val="16"/>
    <w:qFormat/>
    <w:uiPriority w:val="0"/>
    <w:rPr>
      <w:rFonts w:ascii="宋体" w:hAnsi="宋体" w:eastAsia="宋体" w:cs="宋体"/>
      <w:kern w:val="0"/>
      <w:sz w:val="28"/>
      <w:szCs w:val="28"/>
      <w:lang w:eastAsia="en-US"/>
    </w:rPr>
  </w:style>
  <w:style w:type="character" w:customStyle="1" w:styleId="117">
    <w:name w:val="apple-converted-space"/>
    <w:basedOn w:val="44"/>
    <w:qFormat/>
    <w:uiPriority w:val="0"/>
  </w:style>
  <w:style w:type="table" w:customStyle="1" w:styleId="118">
    <w:name w:val="Table Normal"/>
    <w:semiHidden/>
    <w:unhideWhenUsed/>
    <w:qFormat/>
    <w:uiPriority w:val="2"/>
    <w:pPr>
      <w:widowControl w:val="0"/>
    </w:pPr>
    <w:rPr>
      <w:sz w:val="22"/>
      <w:lang w:eastAsia="en-US"/>
    </w:rPr>
    <w:tblPr>
      <w:tblLayout w:type="fixed"/>
      <w:tblCellMar>
        <w:top w:w="0" w:type="dxa"/>
        <w:left w:w="0" w:type="dxa"/>
        <w:bottom w:w="0" w:type="dxa"/>
        <w:right w:w="0" w:type="dxa"/>
      </w:tblCellMar>
    </w:tblPr>
  </w:style>
  <w:style w:type="paragraph" w:customStyle="1" w:styleId="119">
    <w:name w:val="Table Paragraph"/>
    <w:basedOn w:val="1"/>
    <w:qFormat/>
    <w:uiPriority w:val="1"/>
    <w:pPr>
      <w:adjustRightInd/>
      <w:spacing w:line="240" w:lineRule="auto"/>
      <w:ind w:firstLine="0" w:firstLineChars="0"/>
      <w:jc w:val="center"/>
    </w:pPr>
    <w:rPr>
      <w:rFonts w:ascii="宋体" w:hAnsi="宋体" w:cs="宋体"/>
      <w:kern w:val="0"/>
      <w:sz w:val="22"/>
      <w:lang w:eastAsia="en-US"/>
    </w:rPr>
  </w:style>
  <w:style w:type="paragraph" w:customStyle="1" w:styleId="120">
    <w:name w:val="样式 标题 2标题 y2h2l22nd levelTitre22Header 2节标题 1.1节标题一级节名..."/>
    <w:basedOn w:val="3"/>
    <w:qFormat/>
    <w:uiPriority w:val="0"/>
    <w:pPr>
      <w:numPr>
        <w:ilvl w:val="0"/>
        <w:numId w:val="0"/>
      </w:numPr>
      <w:tabs>
        <w:tab w:val="left" w:pos="284"/>
      </w:tabs>
      <w:adjustRightInd/>
      <w:ind w:left="860" w:hanging="576"/>
    </w:pPr>
    <w:rPr>
      <w:rFonts w:ascii="Times New Roman" w:hAnsi="Times New Roman" w:eastAsia="宋体" w:cs="Times New Roman"/>
      <w:color w:val="000000"/>
    </w:rPr>
  </w:style>
  <w:style w:type="character" w:customStyle="1" w:styleId="121">
    <w:name w:val="题注 Char"/>
    <w:link w:val="13"/>
    <w:qFormat/>
    <w:uiPriority w:val="35"/>
    <w:rPr>
      <w:rFonts w:ascii="Cambria" w:hAnsi="Cambria" w:eastAsia="黑体" w:cs="Times New Roman"/>
      <w:kern w:val="0"/>
      <w:sz w:val="20"/>
      <w:szCs w:val="20"/>
    </w:rPr>
  </w:style>
  <w:style w:type="character" w:customStyle="1" w:styleId="122">
    <w:name w:val="尾注文本 Char"/>
    <w:basedOn w:val="44"/>
    <w:link w:val="25"/>
    <w:qFormat/>
    <w:uiPriority w:val="0"/>
    <w:rPr>
      <w:rFonts w:ascii="Times New Roman" w:hAnsi="Times New Roman" w:eastAsia="宋体" w:cs="Times New Roman"/>
      <w:szCs w:val="24"/>
    </w:rPr>
  </w:style>
  <w:style w:type="paragraph" w:customStyle="1" w:styleId="123">
    <w:name w:val="|正文样式"/>
    <w:basedOn w:val="1"/>
    <w:link w:val="124"/>
    <w:qFormat/>
    <w:uiPriority w:val="0"/>
    <w:pPr>
      <w:adjustRightInd/>
    </w:pPr>
    <w:rPr>
      <w:szCs w:val="24"/>
    </w:rPr>
  </w:style>
  <w:style w:type="character" w:customStyle="1" w:styleId="124">
    <w:name w:val="|正文样式 Char"/>
    <w:link w:val="123"/>
    <w:qFormat/>
    <w:uiPriority w:val="0"/>
    <w:rPr>
      <w:rFonts w:ascii="Times New Roman" w:hAnsi="Times New Roman" w:eastAsia="宋体" w:cs="Times New Roman"/>
      <w:sz w:val="24"/>
      <w:szCs w:val="24"/>
    </w:rPr>
  </w:style>
  <w:style w:type="character" w:customStyle="1" w:styleId="125">
    <w:name w:val="页眉 Char"/>
    <w:basedOn w:val="44"/>
    <w:link w:val="28"/>
    <w:qFormat/>
    <w:uiPriority w:val="99"/>
    <w:rPr>
      <w:rFonts w:ascii="Times New Roman" w:hAnsi="Times New Roman" w:eastAsia="宋体" w:cs="Times New Roman"/>
      <w:sz w:val="18"/>
      <w:szCs w:val="18"/>
    </w:rPr>
  </w:style>
  <w:style w:type="paragraph" w:customStyle="1" w:styleId="126">
    <w:name w:val="条款"/>
    <w:basedOn w:val="1"/>
    <w:qFormat/>
    <w:uiPriority w:val="0"/>
    <w:pPr>
      <w:tabs>
        <w:tab w:val="left" w:pos="1418"/>
      </w:tabs>
      <w:adjustRightInd/>
      <w:spacing w:beforeLines="50" w:line="360" w:lineRule="exact"/>
      <w:ind w:left="1418" w:firstLine="0" w:firstLineChars="0"/>
    </w:pPr>
    <w:rPr>
      <w:szCs w:val="24"/>
    </w:rPr>
  </w:style>
  <w:style w:type="character" w:customStyle="1" w:styleId="127">
    <w:name w:val="列出段落 Char"/>
    <w:link w:val="90"/>
    <w:qFormat/>
    <w:uiPriority w:val="0"/>
    <w:rPr>
      <w:rFonts w:ascii="Times New Roman" w:hAnsi="Times New Roman" w:eastAsia="宋体"/>
      <w:sz w:val="24"/>
      <w:szCs w:val="21"/>
    </w:rPr>
  </w:style>
  <w:style w:type="character" w:customStyle="1" w:styleId="128">
    <w:name w:val="文档结构图 Char"/>
    <w:basedOn w:val="44"/>
    <w:link w:val="14"/>
    <w:semiHidden/>
    <w:qFormat/>
    <w:uiPriority w:val="99"/>
    <w:rPr>
      <w:rFonts w:ascii="宋体" w:hAnsi="Calibri" w:eastAsia="宋体" w:cs="Times New Roman"/>
      <w:sz w:val="18"/>
      <w:szCs w:val="18"/>
    </w:rPr>
  </w:style>
  <w:style w:type="character" w:customStyle="1" w:styleId="129">
    <w:name w:val="页脚 Char"/>
    <w:basedOn w:val="44"/>
    <w:link w:val="27"/>
    <w:qFormat/>
    <w:uiPriority w:val="99"/>
    <w:rPr>
      <w:rFonts w:ascii="Calibri" w:hAnsi="Calibri" w:eastAsia="仿宋" w:cs="Times New Roman"/>
      <w:sz w:val="18"/>
      <w:szCs w:val="18"/>
    </w:rPr>
  </w:style>
  <w:style w:type="paragraph" w:customStyle="1" w:styleId="130">
    <w:name w:val="msolistparagraph"/>
    <w:basedOn w:val="1"/>
    <w:qFormat/>
    <w:uiPriority w:val="0"/>
    <w:pPr>
      <w:adjustRightInd/>
      <w:spacing w:line="240" w:lineRule="auto"/>
      <w:ind w:firstLine="420"/>
    </w:pPr>
    <w:rPr>
      <w:rFonts w:ascii="Calibri" w:hAnsi="Calibri"/>
      <w:sz w:val="21"/>
    </w:rPr>
  </w:style>
  <w:style w:type="paragraph" w:customStyle="1" w:styleId="131">
    <w:name w:val="样式 标题 3条标题1.1.1h33rd level3Head 3sect1.2.3H3level_3PIM ..."/>
    <w:basedOn w:val="4"/>
    <w:qFormat/>
    <w:uiPriority w:val="0"/>
    <w:pPr>
      <w:numPr>
        <w:ilvl w:val="0"/>
        <w:numId w:val="0"/>
      </w:numPr>
      <w:tabs>
        <w:tab w:val="left" w:pos="709"/>
      </w:tabs>
      <w:adjustRightInd/>
      <w:spacing w:beforeLines="100" w:afterLines="100" w:line="240" w:lineRule="auto"/>
      <w:ind w:left="709" w:hanging="709"/>
      <w:jc w:val="both"/>
    </w:pPr>
    <w:rPr>
      <w:rFonts w:eastAsia="黑体"/>
      <w:b w:val="0"/>
      <w:bCs w:val="0"/>
      <w:kern w:val="28"/>
      <w:sz w:val="30"/>
    </w:rPr>
  </w:style>
  <w:style w:type="character" w:customStyle="1" w:styleId="132">
    <w:name w:val="正文缩进 Char"/>
    <w:link w:val="12"/>
    <w:qFormat/>
    <w:uiPriority w:val="0"/>
    <w:rPr>
      <w:rFonts w:ascii="Times New Roman" w:hAnsi="Times New Roman" w:eastAsia="宋体" w:cs="Times New Roman"/>
      <w:sz w:val="24"/>
    </w:rPr>
  </w:style>
  <w:style w:type="character" w:customStyle="1" w:styleId="133">
    <w:name w:val="普通(网站) Char"/>
    <w:basedOn w:val="44"/>
    <w:link w:val="38"/>
    <w:qFormat/>
    <w:uiPriority w:val="99"/>
    <w:rPr>
      <w:rFonts w:ascii="宋体" w:hAnsi="宋体" w:eastAsia="宋体" w:cs="宋体"/>
      <w:kern w:val="0"/>
      <w:sz w:val="24"/>
      <w:szCs w:val="24"/>
    </w:rPr>
  </w:style>
  <w:style w:type="paragraph" w:customStyle="1" w:styleId="134">
    <w:name w:val="样式 微软雅黑 四号 行距: 1.5 倍行距 首行缩进:  2 字符"/>
    <w:basedOn w:val="1"/>
    <w:qFormat/>
    <w:uiPriority w:val="0"/>
    <w:pPr>
      <w:adjustRightInd/>
      <w:ind w:firstLine="560"/>
    </w:pPr>
    <w:rPr>
      <w:rFonts w:ascii="微软雅黑" w:hAnsi="微软雅黑" w:eastAsia="微软雅黑" w:cs="宋体"/>
      <w:szCs w:val="20"/>
    </w:rPr>
  </w:style>
  <w:style w:type="paragraph" w:customStyle="1" w:styleId="135">
    <w:name w:val="样式 样式 标题 2标题 y2h2l22nd levelTitre22Header 2节标题 1.1节标题一级节名... + 微...1"/>
    <w:basedOn w:val="120"/>
    <w:qFormat/>
    <w:uiPriority w:val="99"/>
    <w:pPr>
      <w:numPr>
        <w:ilvl w:val="1"/>
      </w:numPr>
      <w:tabs>
        <w:tab w:val="left" w:pos="2552"/>
      </w:tabs>
      <w:ind w:left="578" w:hanging="578"/>
    </w:pPr>
    <w:rPr>
      <w:rFonts w:ascii="微软雅黑" w:hAnsi="微软雅黑" w:eastAsiaTheme="majorEastAsia"/>
    </w:rPr>
  </w:style>
  <w:style w:type="paragraph" w:customStyle="1" w:styleId="136">
    <w:name w:val="Char Char Char Char Char Char Char Char Char Char"/>
    <w:basedOn w:val="1"/>
    <w:qFormat/>
    <w:uiPriority w:val="0"/>
    <w:pPr>
      <w:adjustRightInd/>
      <w:spacing w:line="240" w:lineRule="auto"/>
      <w:ind w:firstLine="0" w:firstLineChars="0"/>
    </w:pPr>
    <w:rPr>
      <w:sz w:val="21"/>
      <w:szCs w:val="24"/>
    </w:rPr>
  </w:style>
  <w:style w:type="character" w:customStyle="1" w:styleId="137">
    <w:name w:val="正文文本缩进 3 Char"/>
    <w:link w:val="33"/>
    <w:qFormat/>
    <w:uiPriority w:val="0"/>
    <w:rPr>
      <w:sz w:val="16"/>
      <w:szCs w:val="16"/>
    </w:rPr>
  </w:style>
  <w:style w:type="character" w:customStyle="1" w:styleId="138">
    <w:name w:val="正文文本缩进 Char"/>
    <w:basedOn w:val="44"/>
    <w:link w:val="17"/>
    <w:qFormat/>
    <w:uiPriority w:val="0"/>
    <w:rPr>
      <w:rFonts w:ascii="Times New Roman" w:hAnsi="Times New Roman" w:eastAsia="宋体" w:cs="Times New Roman"/>
      <w:sz w:val="28"/>
      <w:szCs w:val="20"/>
    </w:rPr>
  </w:style>
  <w:style w:type="character" w:customStyle="1" w:styleId="139">
    <w:name w:val="正文文本缩进 3 Char1"/>
    <w:basedOn w:val="44"/>
    <w:semiHidden/>
    <w:qFormat/>
    <w:uiPriority w:val="99"/>
    <w:rPr>
      <w:rFonts w:ascii="Times New Roman" w:hAnsi="Times New Roman" w:eastAsia="宋体" w:cs="Times New Roman"/>
      <w:sz w:val="16"/>
      <w:szCs w:val="16"/>
    </w:rPr>
  </w:style>
  <w:style w:type="character" w:styleId="140">
    <w:name w:val="Placeholder Text"/>
    <w:basedOn w:val="44"/>
    <w:semiHidden/>
    <w:qFormat/>
    <w:uiPriority w:val="99"/>
    <w:rPr>
      <w:color w:val="808080"/>
    </w:rPr>
  </w:style>
  <w:style w:type="character" w:customStyle="1" w:styleId="141">
    <w:name w:val="HTML 地址 Char"/>
    <w:basedOn w:val="44"/>
    <w:link w:val="18"/>
    <w:qFormat/>
    <w:uiPriority w:val="0"/>
    <w:rPr>
      <w:rFonts w:ascii="Times New Roman" w:hAnsi="Times New Roman" w:eastAsia="宋体" w:cs="Times New Roman"/>
      <w:i/>
      <w:kern w:val="0"/>
      <w:sz w:val="20"/>
      <w:szCs w:val="20"/>
    </w:rPr>
  </w:style>
  <w:style w:type="character" w:customStyle="1" w:styleId="142">
    <w:name w:val="纯文本 Char"/>
    <w:basedOn w:val="44"/>
    <w:link w:val="21"/>
    <w:qFormat/>
    <w:uiPriority w:val="0"/>
    <w:rPr>
      <w:rFonts w:ascii="宋体" w:hAnsi="Courier New" w:eastAsia="宋体" w:cs="Times New Roman"/>
      <w:kern w:val="0"/>
      <w:sz w:val="20"/>
      <w:szCs w:val="20"/>
    </w:rPr>
  </w:style>
  <w:style w:type="character" w:customStyle="1" w:styleId="143">
    <w:name w:val="日期 Char"/>
    <w:basedOn w:val="44"/>
    <w:link w:val="23"/>
    <w:qFormat/>
    <w:uiPriority w:val="0"/>
    <w:rPr>
      <w:rFonts w:ascii="Times New Roman" w:hAnsi="Times New Roman" w:eastAsia="宋体" w:cs="Times New Roman"/>
      <w:szCs w:val="24"/>
    </w:rPr>
  </w:style>
  <w:style w:type="character" w:customStyle="1" w:styleId="144">
    <w:name w:val="正文文本缩进 2 Char"/>
    <w:basedOn w:val="44"/>
    <w:link w:val="24"/>
    <w:qFormat/>
    <w:uiPriority w:val="0"/>
    <w:rPr>
      <w:rFonts w:ascii="宋体" w:hAnsi="宋体" w:eastAsia="宋体" w:cs="Times New Roman"/>
      <w:kern w:val="0"/>
      <w:sz w:val="20"/>
      <w:szCs w:val="20"/>
    </w:rPr>
  </w:style>
  <w:style w:type="character" w:customStyle="1" w:styleId="145">
    <w:name w:val="正文首行缩进 2 Char"/>
    <w:basedOn w:val="138"/>
    <w:link w:val="41"/>
    <w:qFormat/>
    <w:uiPriority w:val="0"/>
    <w:rPr>
      <w:rFonts w:ascii="Times New Roman" w:hAnsi="Times New Roman" w:eastAsia="微软雅黑" w:cs="Times New Roman"/>
      <w:sz w:val="28"/>
      <w:szCs w:val="20"/>
    </w:rPr>
  </w:style>
  <w:style w:type="character" w:customStyle="1" w:styleId="146">
    <w:name w:val="脚注文本 Char"/>
    <w:basedOn w:val="44"/>
    <w:link w:val="31"/>
    <w:semiHidden/>
    <w:qFormat/>
    <w:uiPriority w:val="0"/>
    <w:rPr>
      <w:rFonts w:ascii="Times New Roman" w:hAnsi="Times New Roman" w:eastAsia="宋体" w:cs="Times New Roman"/>
      <w:sz w:val="18"/>
      <w:szCs w:val="18"/>
    </w:rPr>
  </w:style>
  <w:style w:type="character" w:customStyle="1" w:styleId="147">
    <w:name w:val="HTML 预设格式 Char"/>
    <w:basedOn w:val="44"/>
    <w:link w:val="37"/>
    <w:qFormat/>
    <w:uiPriority w:val="0"/>
    <w:rPr>
      <w:rFonts w:ascii="Courier New" w:hAnsi="Courier New" w:eastAsia="宋体" w:cs="Times New Roman"/>
      <w:kern w:val="0"/>
      <w:sz w:val="20"/>
      <w:szCs w:val="20"/>
    </w:rPr>
  </w:style>
  <w:style w:type="paragraph" w:customStyle="1" w:styleId="148">
    <w:name w:val="默认段落字体 Para Char"/>
    <w:basedOn w:val="1"/>
    <w:qFormat/>
    <w:uiPriority w:val="0"/>
    <w:pPr>
      <w:adjustRightInd/>
      <w:spacing w:line="400" w:lineRule="exact"/>
      <w:ind w:firstLine="0" w:firstLineChars="0"/>
    </w:pPr>
    <w:rPr>
      <w:rFonts w:ascii="Tahoma" w:hAnsi="Tahoma" w:eastAsia="微软雅黑"/>
      <w:szCs w:val="20"/>
    </w:rPr>
  </w:style>
  <w:style w:type="paragraph" w:customStyle="1" w:styleId="149">
    <w:name w:val="样式 首行缩进:  2 字符"/>
    <w:basedOn w:val="1"/>
    <w:qFormat/>
    <w:uiPriority w:val="0"/>
    <w:pPr>
      <w:adjustRightInd/>
      <w:ind w:firstLine="560"/>
    </w:pPr>
    <w:rPr>
      <w:rFonts w:eastAsia="仿宋_GB2312" w:cs="宋体"/>
      <w:sz w:val="28"/>
      <w:szCs w:val="28"/>
    </w:rPr>
  </w:style>
  <w:style w:type="paragraph" w:customStyle="1" w:styleId="150">
    <w:name w:val="Char"/>
    <w:basedOn w:val="1"/>
    <w:qFormat/>
    <w:uiPriority w:val="0"/>
    <w:pPr>
      <w:adjustRightInd/>
      <w:spacing w:line="240" w:lineRule="atLeast"/>
      <w:ind w:left="420" w:firstLine="420" w:firstLineChars="0"/>
    </w:pPr>
    <w:rPr>
      <w:rFonts w:eastAsia="微软雅黑"/>
      <w:kern w:val="0"/>
      <w:szCs w:val="21"/>
    </w:rPr>
  </w:style>
  <w:style w:type="paragraph" w:customStyle="1" w:styleId="151">
    <w:name w:val="Char Char Char Char"/>
    <w:basedOn w:val="1"/>
    <w:qFormat/>
    <w:uiPriority w:val="0"/>
    <w:pPr>
      <w:adjustRightInd/>
      <w:spacing w:line="240" w:lineRule="auto"/>
      <w:ind w:firstLine="0" w:firstLineChars="0"/>
    </w:pPr>
    <w:rPr>
      <w:rFonts w:eastAsia="方正仿宋_GBK"/>
      <w:sz w:val="32"/>
      <w:szCs w:val="24"/>
    </w:rPr>
  </w:style>
  <w:style w:type="paragraph" w:customStyle="1" w:styleId="15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53">
    <w:name w:val="xl33"/>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eastAsia="Arial Unicode MS"/>
      <w:color w:val="000000"/>
      <w:kern w:val="0"/>
      <w:szCs w:val="24"/>
    </w:rPr>
  </w:style>
  <w:style w:type="paragraph" w:customStyle="1" w:styleId="154">
    <w:name w:val="Char Char Char3 Char Char Char Char"/>
    <w:basedOn w:val="1"/>
    <w:qFormat/>
    <w:uiPriority w:val="0"/>
    <w:pPr>
      <w:adjustRightInd/>
      <w:ind w:firstLine="0" w:firstLineChars="0"/>
    </w:pPr>
    <w:rPr>
      <w:rFonts w:eastAsia="微软雅黑"/>
      <w:szCs w:val="24"/>
    </w:rPr>
  </w:style>
  <w:style w:type="paragraph" w:customStyle="1" w:styleId="155">
    <w:name w:val="缩进"/>
    <w:basedOn w:val="1"/>
    <w:qFormat/>
    <w:uiPriority w:val="0"/>
    <w:pPr>
      <w:spacing w:line="640" w:lineRule="atLeast"/>
    </w:pPr>
    <w:rPr>
      <w:rFonts w:hint="eastAsia" w:ascii="宋体" w:eastAsia="微软雅黑"/>
      <w:kern w:val="0"/>
      <w:sz w:val="32"/>
      <w:szCs w:val="21"/>
    </w:rPr>
  </w:style>
  <w:style w:type="paragraph" w:customStyle="1" w:styleId="156">
    <w:name w:val="表格内容"/>
    <w:basedOn w:val="1"/>
    <w:qFormat/>
    <w:uiPriority w:val="0"/>
    <w:pPr>
      <w:adjustRightInd/>
      <w:spacing w:line="240" w:lineRule="auto"/>
      <w:ind w:firstLine="0" w:firstLineChars="0"/>
      <w:jc w:val="center"/>
    </w:pPr>
    <w:rPr>
      <w:rFonts w:eastAsia="微软雅黑"/>
      <w:szCs w:val="20"/>
    </w:rPr>
  </w:style>
  <w:style w:type="paragraph" w:customStyle="1" w:styleId="157">
    <w:name w:val="font0"/>
    <w:basedOn w:val="1"/>
    <w:qFormat/>
    <w:uiPriority w:val="0"/>
    <w:pPr>
      <w:widowControl/>
      <w:adjustRightInd/>
      <w:spacing w:before="100" w:beforeAutospacing="1" w:after="100" w:afterAutospacing="1" w:line="240" w:lineRule="auto"/>
      <w:ind w:firstLine="0" w:firstLineChars="0"/>
      <w:jc w:val="left"/>
    </w:pPr>
    <w:rPr>
      <w:rFonts w:hint="eastAsia" w:ascii="宋体" w:hAnsi="宋体" w:eastAsia="微软雅黑"/>
      <w:kern w:val="0"/>
      <w:szCs w:val="24"/>
    </w:rPr>
  </w:style>
  <w:style w:type="paragraph" w:customStyle="1" w:styleId="158">
    <w:name w:val="标题1"/>
    <w:qFormat/>
    <w:uiPriority w:val="0"/>
    <w:pPr>
      <w:spacing w:before="240" w:after="240" w:line="360" w:lineRule="auto"/>
      <w:ind w:left="425" w:hanging="425"/>
      <w:outlineLvl w:val="0"/>
    </w:pPr>
    <w:rPr>
      <w:rFonts w:ascii="黑体" w:hAnsi="Times New Roman" w:eastAsia="黑体" w:cs="Times New Roman"/>
      <w:bCs/>
      <w:kern w:val="44"/>
      <w:sz w:val="30"/>
      <w:szCs w:val="30"/>
      <w:lang w:val="en-US" w:eastAsia="zh-CN" w:bidi="ar-SA"/>
    </w:rPr>
  </w:style>
  <w:style w:type="paragraph" w:customStyle="1" w:styleId="159">
    <w:name w:val="前言、引言标题"/>
    <w:next w:val="1"/>
    <w:qFormat/>
    <w:uiPriority w:val="0"/>
    <w:pPr>
      <w:shd w:val="clear" w:color="FFFFFF" w:fill="FFFFFF"/>
      <w:spacing w:before="640" w:after="560"/>
      <w:jc w:val="center"/>
      <w:outlineLvl w:val="0"/>
    </w:pPr>
    <w:rPr>
      <w:rFonts w:ascii="黑体" w:hAnsi="Times New Roman" w:eastAsia="黑体" w:cs="Times New Roman"/>
      <w:kern w:val="2"/>
      <w:sz w:val="32"/>
      <w:szCs w:val="22"/>
      <w:lang w:val="en-US" w:eastAsia="zh-CN" w:bidi="ar-SA"/>
    </w:rPr>
  </w:style>
  <w:style w:type="paragraph" w:customStyle="1" w:styleId="160">
    <w:name w:val="章标题"/>
    <w:next w:val="1"/>
    <w:qFormat/>
    <w:uiPriority w:val="0"/>
    <w:pPr>
      <w:spacing w:beforeLines="50" w:afterLines="50"/>
      <w:ind w:left="720"/>
      <w:jc w:val="both"/>
      <w:outlineLvl w:val="1"/>
    </w:pPr>
    <w:rPr>
      <w:rFonts w:ascii="黑体" w:hAnsi="Times New Roman" w:eastAsia="黑体" w:cs="Times New Roman"/>
      <w:kern w:val="2"/>
      <w:sz w:val="21"/>
      <w:szCs w:val="22"/>
      <w:lang w:val="en-US" w:eastAsia="zh-CN" w:bidi="ar-SA"/>
    </w:rPr>
  </w:style>
  <w:style w:type="paragraph" w:customStyle="1" w:styleId="161">
    <w:name w:val="一级条标题"/>
    <w:basedOn w:val="160"/>
    <w:next w:val="1"/>
    <w:qFormat/>
    <w:uiPriority w:val="0"/>
    <w:pPr>
      <w:spacing w:beforeLines="0" w:afterLines="0"/>
      <w:outlineLvl w:val="2"/>
    </w:pPr>
  </w:style>
  <w:style w:type="paragraph" w:customStyle="1" w:styleId="162">
    <w:name w:val="二级条标题"/>
    <w:basedOn w:val="161"/>
    <w:next w:val="1"/>
    <w:qFormat/>
    <w:uiPriority w:val="0"/>
    <w:pPr>
      <w:outlineLvl w:val="3"/>
    </w:pPr>
  </w:style>
  <w:style w:type="paragraph" w:customStyle="1" w:styleId="163">
    <w:name w:val="三级条标题"/>
    <w:basedOn w:val="162"/>
    <w:next w:val="1"/>
    <w:qFormat/>
    <w:uiPriority w:val="0"/>
    <w:pPr>
      <w:outlineLvl w:val="4"/>
    </w:pPr>
  </w:style>
  <w:style w:type="paragraph" w:customStyle="1" w:styleId="164">
    <w:name w:val="四级条标题"/>
    <w:basedOn w:val="163"/>
    <w:next w:val="1"/>
    <w:qFormat/>
    <w:uiPriority w:val="0"/>
    <w:pPr>
      <w:ind w:left="425" w:hanging="425"/>
      <w:outlineLvl w:val="5"/>
    </w:pPr>
  </w:style>
  <w:style w:type="paragraph" w:customStyle="1" w:styleId="165">
    <w:name w:val="五级条标题"/>
    <w:basedOn w:val="164"/>
    <w:next w:val="1"/>
    <w:qFormat/>
    <w:uiPriority w:val="0"/>
    <w:pPr>
      <w:outlineLvl w:val="6"/>
    </w:pPr>
  </w:style>
  <w:style w:type="paragraph" w:customStyle="1" w:styleId="166">
    <w:name w:val="样式 标题 1h11st levelSection Headl1章标题 1featurehead标题 1，宋体，三..."/>
    <w:basedOn w:val="3"/>
    <w:qFormat/>
    <w:uiPriority w:val="0"/>
    <w:pPr>
      <w:numPr>
        <w:ilvl w:val="0"/>
        <w:numId w:val="0"/>
      </w:numPr>
      <w:tabs>
        <w:tab w:val="left" w:pos="567"/>
      </w:tabs>
      <w:adjustRightInd/>
      <w:spacing w:before="300"/>
      <w:ind w:left="567" w:hanging="567"/>
    </w:pPr>
    <w:rPr>
      <w:rFonts w:ascii="华文细黑" w:hAnsi="华文细黑" w:eastAsia="华文细黑" w:cs="宋体"/>
      <w:szCs w:val="20"/>
    </w:rPr>
  </w:style>
  <w:style w:type="paragraph" w:customStyle="1" w:styleId="167">
    <w:name w:val="其他标准称谓"/>
    <w:qFormat/>
    <w:uiPriority w:val="0"/>
    <w:pPr>
      <w:spacing w:line="0" w:lineRule="atLeast"/>
      <w:jc w:val="distribute"/>
    </w:pPr>
    <w:rPr>
      <w:rFonts w:ascii="黑体" w:hAnsi="宋体" w:eastAsia="黑体" w:cs="Times New Roman"/>
      <w:kern w:val="2"/>
      <w:sz w:val="52"/>
      <w:szCs w:val="22"/>
      <w:lang w:val="en-US" w:eastAsia="zh-CN" w:bidi="ar-SA"/>
    </w:rPr>
  </w:style>
  <w:style w:type="paragraph" w:customStyle="1" w:styleId="16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2"/>
      <w:sz w:val="28"/>
      <w:szCs w:val="22"/>
      <w:lang w:val="en-US" w:eastAsia="zh-CN" w:bidi="ar-SA"/>
    </w:rPr>
  </w:style>
  <w:style w:type="paragraph" w:customStyle="1" w:styleId="169">
    <w:name w:val="列项——"/>
    <w:qFormat/>
    <w:uiPriority w:val="0"/>
    <w:pPr>
      <w:widowControl w:val="0"/>
      <w:tabs>
        <w:tab w:val="left" w:pos="1140"/>
      </w:tabs>
      <w:ind w:left="425" w:hanging="425"/>
      <w:jc w:val="both"/>
    </w:pPr>
    <w:rPr>
      <w:rFonts w:ascii="宋体" w:hAnsi="Times New Roman" w:eastAsia="宋体" w:cs="Times New Roman"/>
      <w:kern w:val="2"/>
      <w:sz w:val="21"/>
      <w:szCs w:val="22"/>
      <w:lang w:val="en-US" w:eastAsia="zh-CN" w:bidi="ar-SA"/>
    </w:rPr>
  </w:style>
  <w:style w:type="paragraph" w:customStyle="1" w:styleId="170">
    <w:name w:val="附录四级条标题"/>
    <w:basedOn w:val="171"/>
    <w:next w:val="175"/>
    <w:qFormat/>
    <w:uiPriority w:val="0"/>
    <w:pPr>
      <w:tabs>
        <w:tab w:val="left" w:pos="1820"/>
        <w:tab w:val="left" w:pos="2240"/>
        <w:tab w:val="left" w:pos="2660"/>
        <w:tab w:val="left" w:pos="3080"/>
      </w:tabs>
      <w:ind w:left="3080"/>
      <w:outlineLvl w:val="5"/>
    </w:pPr>
  </w:style>
  <w:style w:type="paragraph" w:customStyle="1" w:styleId="171">
    <w:name w:val="附录三级条标题"/>
    <w:basedOn w:val="172"/>
    <w:next w:val="175"/>
    <w:qFormat/>
    <w:uiPriority w:val="0"/>
    <w:pPr>
      <w:tabs>
        <w:tab w:val="left" w:pos="1820"/>
        <w:tab w:val="left" w:pos="2240"/>
        <w:tab w:val="left" w:pos="2660"/>
      </w:tabs>
      <w:ind w:left="2660"/>
      <w:outlineLvl w:val="4"/>
    </w:pPr>
  </w:style>
  <w:style w:type="paragraph" w:customStyle="1" w:styleId="172">
    <w:name w:val="附录二级条标题"/>
    <w:basedOn w:val="173"/>
    <w:next w:val="175"/>
    <w:qFormat/>
    <w:uiPriority w:val="0"/>
    <w:pPr>
      <w:tabs>
        <w:tab w:val="left" w:pos="1820"/>
        <w:tab w:val="left" w:pos="2240"/>
      </w:tabs>
      <w:ind w:left="2240"/>
      <w:outlineLvl w:val="3"/>
    </w:pPr>
  </w:style>
  <w:style w:type="paragraph" w:customStyle="1" w:styleId="173">
    <w:name w:val="附录一级条标题"/>
    <w:basedOn w:val="174"/>
    <w:next w:val="175"/>
    <w:qFormat/>
    <w:uiPriority w:val="0"/>
    <w:pPr>
      <w:tabs>
        <w:tab w:val="left" w:pos="1820"/>
      </w:tabs>
      <w:autoSpaceDN w:val="0"/>
      <w:spacing w:beforeLines="0" w:afterLines="0"/>
      <w:ind w:left="1820" w:hanging="420"/>
      <w:outlineLvl w:val="2"/>
    </w:pPr>
  </w:style>
  <w:style w:type="paragraph" w:customStyle="1" w:styleId="174">
    <w:name w:val="附录章标题"/>
    <w:next w:val="175"/>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szCs w:val="22"/>
      <w:lang w:val="en-US" w:eastAsia="zh-CN" w:bidi="ar-SA"/>
    </w:rPr>
  </w:style>
  <w:style w:type="paragraph" w:customStyle="1" w:styleId="175">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176">
    <w:name w:val="附录标识"/>
    <w:basedOn w:val="159"/>
    <w:qFormat/>
    <w:uiPriority w:val="0"/>
    <w:pPr>
      <w:tabs>
        <w:tab w:val="left" w:pos="6405"/>
      </w:tabs>
      <w:spacing w:after="200"/>
    </w:pPr>
    <w:rPr>
      <w:sz w:val="21"/>
    </w:rPr>
  </w:style>
  <w:style w:type="paragraph" w:customStyle="1" w:styleId="177">
    <w:name w:val="封面标准文稿类别"/>
    <w:qFormat/>
    <w:uiPriority w:val="0"/>
    <w:pPr>
      <w:spacing w:before="440" w:line="400" w:lineRule="exact"/>
      <w:jc w:val="center"/>
    </w:pPr>
    <w:rPr>
      <w:rFonts w:ascii="宋体" w:hAnsi="Times New Roman" w:eastAsia="宋体" w:cs="Times New Roman"/>
      <w:kern w:val="2"/>
      <w:sz w:val="24"/>
      <w:szCs w:val="22"/>
      <w:lang w:val="en-US" w:eastAsia="zh-CN" w:bidi="ar-SA"/>
    </w:rPr>
  </w:style>
  <w:style w:type="paragraph" w:customStyle="1" w:styleId="178">
    <w:name w:val="封面标准号2"/>
    <w:basedOn w:val="168"/>
    <w:qFormat/>
    <w:uiPriority w:val="0"/>
    <w:pPr>
      <w:adjustRightInd w:val="0"/>
      <w:spacing w:before="357" w:line="280" w:lineRule="exact"/>
    </w:pPr>
  </w:style>
  <w:style w:type="paragraph" w:customStyle="1" w:styleId="179">
    <w:name w:val="发布部门"/>
    <w:next w:val="175"/>
    <w:qFormat/>
    <w:uiPriority w:val="0"/>
    <w:pPr>
      <w:jc w:val="center"/>
    </w:pPr>
    <w:rPr>
      <w:rFonts w:ascii="宋体" w:hAnsi="Times New Roman" w:eastAsia="宋体" w:cs="Times New Roman"/>
      <w:b/>
      <w:spacing w:val="20"/>
      <w:w w:val="135"/>
      <w:kern w:val="2"/>
      <w:sz w:val="36"/>
      <w:szCs w:val="22"/>
      <w:lang w:val="en-US" w:eastAsia="zh-CN" w:bidi="ar-SA"/>
    </w:rPr>
  </w:style>
  <w:style w:type="paragraph" w:customStyle="1" w:styleId="180">
    <w:name w:val="一级无标题条"/>
    <w:basedOn w:val="1"/>
    <w:qFormat/>
    <w:uiPriority w:val="0"/>
    <w:pPr>
      <w:tabs>
        <w:tab w:val="left" w:pos="0"/>
      </w:tabs>
      <w:adjustRightInd/>
      <w:spacing w:line="240" w:lineRule="auto"/>
      <w:ind w:firstLine="0" w:firstLineChars="0"/>
    </w:pPr>
    <w:rPr>
      <w:rFonts w:eastAsia="微软雅黑"/>
      <w:szCs w:val="20"/>
    </w:rPr>
  </w:style>
  <w:style w:type="paragraph" w:customStyle="1" w:styleId="181">
    <w:name w:val="Char Char Char Char Char Char Char Char Char Char Char Char"/>
    <w:basedOn w:val="1"/>
    <w:qFormat/>
    <w:uiPriority w:val="0"/>
    <w:pPr>
      <w:adjustRightInd/>
      <w:spacing w:line="240" w:lineRule="atLeast"/>
      <w:ind w:left="420" w:firstLine="420" w:firstLineChars="0"/>
    </w:pPr>
    <w:rPr>
      <w:rFonts w:eastAsia="微软雅黑"/>
      <w:kern w:val="0"/>
      <w:szCs w:val="20"/>
    </w:rPr>
  </w:style>
  <w:style w:type="paragraph" w:customStyle="1" w:styleId="182">
    <w:name w:val="注×："/>
    <w:qFormat/>
    <w:uiPriority w:val="0"/>
    <w:pPr>
      <w:widowControl w:val="0"/>
      <w:tabs>
        <w:tab w:val="left" w:pos="630"/>
        <w:tab w:val="left" w:pos="900"/>
      </w:tabs>
      <w:autoSpaceDE w:val="0"/>
      <w:autoSpaceDN w:val="0"/>
      <w:ind w:left="900" w:hanging="500"/>
      <w:jc w:val="both"/>
    </w:pPr>
    <w:rPr>
      <w:rFonts w:ascii="宋体" w:hAnsi="Times New Roman" w:eastAsia="宋体" w:cs="Times New Roman"/>
      <w:kern w:val="2"/>
      <w:sz w:val="18"/>
      <w:szCs w:val="22"/>
      <w:lang w:val="en-US" w:eastAsia="zh-CN" w:bidi="ar-SA"/>
    </w:rPr>
  </w:style>
  <w:style w:type="paragraph" w:customStyle="1" w:styleId="183">
    <w:name w:val="正文表标题"/>
    <w:next w:val="175"/>
    <w:qFormat/>
    <w:uiPriority w:val="0"/>
    <w:pPr>
      <w:jc w:val="center"/>
    </w:pPr>
    <w:rPr>
      <w:rFonts w:ascii="黑体" w:hAnsi="Times New Roman" w:eastAsia="黑体" w:cs="Times New Roman"/>
      <w:kern w:val="2"/>
      <w:sz w:val="21"/>
      <w:szCs w:val="22"/>
      <w:lang w:val="en-US" w:eastAsia="zh-CN" w:bidi="ar-SA"/>
    </w:rPr>
  </w:style>
  <w:style w:type="paragraph" w:customStyle="1" w:styleId="184">
    <w:name w:val="文献分类号"/>
    <w:qFormat/>
    <w:uiPriority w:val="0"/>
    <w:pPr>
      <w:widowControl w:val="0"/>
      <w:textAlignment w:val="center"/>
    </w:pPr>
    <w:rPr>
      <w:rFonts w:ascii="Times New Roman" w:hAnsi="Times New Roman" w:eastAsia="黑体" w:cs="Times New Roman"/>
      <w:kern w:val="2"/>
      <w:sz w:val="21"/>
      <w:szCs w:val="22"/>
      <w:lang w:val="en-US" w:eastAsia="zh-CN" w:bidi="ar-SA"/>
    </w:rPr>
  </w:style>
  <w:style w:type="paragraph" w:customStyle="1" w:styleId="185">
    <w:name w:val="封面正文"/>
    <w:qFormat/>
    <w:uiPriority w:val="0"/>
    <w:pPr>
      <w:jc w:val="both"/>
    </w:pPr>
    <w:rPr>
      <w:rFonts w:ascii="Times New Roman" w:hAnsi="Times New Roman" w:eastAsia="宋体" w:cs="Times New Roman"/>
      <w:kern w:val="2"/>
      <w:sz w:val="21"/>
      <w:szCs w:val="22"/>
      <w:lang w:val="en-US" w:eastAsia="zh-CN" w:bidi="ar-SA"/>
    </w:rPr>
  </w:style>
  <w:style w:type="paragraph" w:customStyle="1" w:styleId="186">
    <w:name w:val="发布日期"/>
    <w:qFormat/>
    <w:uiPriority w:val="0"/>
    <w:rPr>
      <w:rFonts w:ascii="Times New Roman" w:hAnsi="Times New Roman" w:eastAsia="黑体" w:cs="Times New Roman"/>
      <w:kern w:val="2"/>
      <w:sz w:val="28"/>
      <w:szCs w:val="22"/>
      <w:lang w:val="en-US" w:eastAsia="zh-CN" w:bidi="ar-SA"/>
    </w:rPr>
  </w:style>
  <w:style w:type="paragraph" w:customStyle="1" w:styleId="187">
    <w:name w:val="数字编号列项（二级）"/>
    <w:qFormat/>
    <w:uiPriority w:val="0"/>
    <w:pPr>
      <w:ind w:left="1260" w:leftChars="400" w:hanging="420" w:hangingChars="200"/>
      <w:jc w:val="both"/>
    </w:pPr>
    <w:rPr>
      <w:rFonts w:ascii="宋体" w:hAnsi="Times New Roman" w:eastAsia="宋体" w:cs="Times New Roman"/>
      <w:kern w:val="2"/>
      <w:sz w:val="21"/>
      <w:szCs w:val="22"/>
      <w:lang w:val="en-US" w:eastAsia="zh-CN" w:bidi="ar-SA"/>
    </w:rPr>
  </w:style>
  <w:style w:type="paragraph" w:customStyle="1" w:styleId="188">
    <w:name w:val="目次、标准名称标题"/>
    <w:basedOn w:val="159"/>
    <w:next w:val="175"/>
    <w:qFormat/>
    <w:uiPriority w:val="0"/>
    <w:pPr>
      <w:spacing w:line="460" w:lineRule="exact"/>
    </w:pPr>
  </w:style>
  <w:style w:type="paragraph" w:customStyle="1" w:styleId="189">
    <w:name w:val="目次、索引正文"/>
    <w:qFormat/>
    <w:uiPriority w:val="0"/>
    <w:pPr>
      <w:spacing w:line="320" w:lineRule="exact"/>
      <w:jc w:val="both"/>
    </w:pPr>
    <w:rPr>
      <w:rFonts w:ascii="宋体" w:hAnsi="Times New Roman" w:eastAsia="宋体" w:cs="Times New Roman"/>
      <w:kern w:val="2"/>
      <w:sz w:val="21"/>
      <w:szCs w:val="22"/>
      <w:lang w:val="en-US" w:eastAsia="zh-CN" w:bidi="ar-SA"/>
    </w:rPr>
  </w:style>
  <w:style w:type="paragraph" w:customStyle="1" w:styleId="190">
    <w:name w:val="附录五级条标题"/>
    <w:basedOn w:val="170"/>
    <w:next w:val="175"/>
    <w:qFormat/>
    <w:uiPriority w:val="0"/>
    <w:pPr>
      <w:outlineLvl w:val="6"/>
    </w:pPr>
  </w:style>
  <w:style w:type="paragraph" w:customStyle="1" w:styleId="191">
    <w:name w:val="二级无标题条"/>
    <w:basedOn w:val="1"/>
    <w:qFormat/>
    <w:uiPriority w:val="0"/>
    <w:pPr>
      <w:tabs>
        <w:tab w:val="left" w:pos="864"/>
      </w:tabs>
      <w:adjustRightInd/>
      <w:spacing w:line="240" w:lineRule="auto"/>
      <w:ind w:left="864" w:hanging="864" w:firstLineChars="0"/>
    </w:pPr>
    <w:rPr>
      <w:rFonts w:eastAsia="微软雅黑"/>
      <w:szCs w:val="20"/>
    </w:rPr>
  </w:style>
  <w:style w:type="paragraph" w:customStyle="1" w:styleId="192">
    <w:name w:val="标准书眉_偶数页"/>
    <w:basedOn w:val="193"/>
    <w:next w:val="1"/>
    <w:qFormat/>
    <w:uiPriority w:val="0"/>
    <w:pPr>
      <w:tabs>
        <w:tab w:val="center" w:pos="4154"/>
        <w:tab w:val="right" w:pos="8306"/>
      </w:tabs>
      <w:jc w:val="left"/>
    </w:pPr>
  </w:style>
  <w:style w:type="paragraph" w:customStyle="1" w:styleId="193">
    <w:name w:val="标准书眉_奇数页"/>
    <w:next w:val="1"/>
    <w:qFormat/>
    <w:uiPriority w:val="0"/>
    <w:pPr>
      <w:tabs>
        <w:tab w:val="center" w:pos="4154"/>
        <w:tab w:val="right" w:pos="8306"/>
      </w:tabs>
      <w:spacing w:after="120"/>
      <w:jc w:val="right"/>
    </w:pPr>
    <w:rPr>
      <w:rFonts w:ascii="Times New Roman" w:hAnsi="Times New Roman" w:eastAsia="宋体" w:cs="Times New Roman"/>
      <w:kern w:val="2"/>
      <w:sz w:val="21"/>
      <w:szCs w:val="22"/>
      <w:lang w:val="en-US" w:eastAsia="zh-CN" w:bidi="ar-SA"/>
    </w:rPr>
  </w:style>
  <w:style w:type="paragraph" w:customStyle="1" w:styleId="194">
    <w:name w:val="标准书脚_偶数页"/>
    <w:qFormat/>
    <w:uiPriority w:val="0"/>
    <w:pPr>
      <w:spacing w:before="120"/>
    </w:pPr>
    <w:rPr>
      <w:rFonts w:ascii="Times New Roman" w:hAnsi="Times New Roman" w:eastAsia="宋体" w:cs="Times New Roman"/>
      <w:kern w:val="2"/>
      <w:sz w:val="18"/>
      <w:szCs w:val="22"/>
      <w:lang w:val="en-US" w:eastAsia="zh-CN" w:bidi="ar-SA"/>
    </w:rPr>
  </w:style>
  <w:style w:type="paragraph" w:customStyle="1" w:styleId="195">
    <w:name w:val="封面一致性程度标识"/>
    <w:qFormat/>
    <w:uiPriority w:val="0"/>
    <w:pPr>
      <w:spacing w:before="440" w:line="400" w:lineRule="exact"/>
      <w:jc w:val="center"/>
    </w:pPr>
    <w:rPr>
      <w:rFonts w:ascii="宋体" w:hAnsi="Times New Roman" w:eastAsia="宋体" w:cs="Times New Roman"/>
      <w:kern w:val="2"/>
      <w:sz w:val="28"/>
      <w:szCs w:val="22"/>
      <w:lang w:val="en-US" w:eastAsia="zh-CN" w:bidi="ar-SA"/>
    </w:rPr>
  </w:style>
  <w:style w:type="paragraph" w:customStyle="1" w:styleId="196">
    <w:name w:val="封面标准名称"/>
    <w:qFormat/>
    <w:uiPriority w:val="0"/>
    <w:pPr>
      <w:widowControl w:val="0"/>
      <w:spacing w:line="680" w:lineRule="exact"/>
      <w:jc w:val="center"/>
      <w:textAlignment w:val="center"/>
    </w:pPr>
    <w:rPr>
      <w:rFonts w:ascii="黑体" w:hAnsi="Times New Roman" w:eastAsia="黑体" w:cs="Times New Roman"/>
      <w:kern w:val="2"/>
      <w:sz w:val="52"/>
      <w:szCs w:val="22"/>
      <w:lang w:val="en-US" w:eastAsia="zh-CN" w:bidi="ar-SA"/>
    </w:rPr>
  </w:style>
  <w:style w:type="paragraph" w:customStyle="1" w:styleId="197">
    <w:name w:val="参考文献、索引标题"/>
    <w:basedOn w:val="159"/>
    <w:next w:val="1"/>
    <w:qFormat/>
    <w:uiPriority w:val="0"/>
    <w:pPr>
      <w:spacing w:after="200"/>
    </w:pPr>
    <w:rPr>
      <w:sz w:val="21"/>
    </w:rPr>
  </w:style>
  <w:style w:type="paragraph" w:customStyle="1" w:styleId="198">
    <w:name w:val="四级无标题条"/>
    <w:basedOn w:val="1"/>
    <w:qFormat/>
    <w:uiPriority w:val="0"/>
    <w:pPr>
      <w:tabs>
        <w:tab w:val="left" w:pos="1152"/>
      </w:tabs>
      <w:adjustRightInd/>
      <w:spacing w:line="240" w:lineRule="auto"/>
      <w:ind w:left="1152" w:hanging="1152" w:firstLineChars="0"/>
    </w:pPr>
    <w:rPr>
      <w:rFonts w:eastAsia="微软雅黑"/>
      <w:szCs w:val="20"/>
    </w:rPr>
  </w:style>
  <w:style w:type="paragraph" w:customStyle="1" w:styleId="199">
    <w:name w:val="三级无标题条"/>
    <w:basedOn w:val="1"/>
    <w:qFormat/>
    <w:uiPriority w:val="0"/>
    <w:pPr>
      <w:tabs>
        <w:tab w:val="left" w:pos="1008"/>
      </w:tabs>
      <w:adjustRightInd/>
      <w:spacing w:line="240" w:lineRule="auto"/>
      <w:ind w:left="1008" w:hanging="1008" w:firstLineChars="0"/>
    </w:pPr>
    <w:rPr>
      <w:rFonts w:eastAsia="微软雅黑"/>
      <w:szCs w:val="20"/>
    </w:rPr>
  </w:style>
  <w:style w:type="paragraph" w:customStyle="1" w:styleId="200">
    <w:name w:val="_Style 97"/>
    <w:basedOn w:val="1"/>
    <w:qFormat/>
    <w:uiPriority w:val="0"/>
    <w:pPr>
      <w:adjustRightInd/>
      <w:spacing w:line="240" w:lineRule="auto"/>
      <w:ind w:firstLine="0" w:firstLineChars="0"/>
    </w:pPr>
    <w:rPr>
      <w:rFonts w:eastAsia="微软雅黑"/>
      <w:szCs w:val="20"/>
    </w:rPr>
  </w:style>
  <w:style w:type="paragraph" w:customStyle="1" w:styleId="201">
    <w:name w:val="CM6"/>
    <w:basedOn w:val="1"/>
    <w:next w:val="1"/>
    <w:qFormat/>
    <w:uiPriority w:val="0"/>
    <w:pPr>
      <w:autoSpaceDE w:val="0"/>
      <w:autoSpaceDN w:val="0"/>
      <w:spacing w:line="313" w:lineRule="atLeast"/>
      <w:ind w:firstLine="0" w:firstLineChars="0"/>
      <w:jc w:val="left"/>
    </w:pPr>
    <w:rPr>
      <w:rFonts w:eastAsia="微软雅黑"/>
      <w:kern w:val="0"/>
      <w:szCs w:val="20"/>
    </w:rPr>
  </w:style>
  <w:style w:type="paragraph" w:customStyle="1" w:styleId="202">
    <w:name w:val="注："/>
    <w:next w:val="175"/>
    <w:qFormat/>
    <w:uiPriority w:val="0"/>
    <w:pPr>
      <w:widowControl w:val="0"/>
      <w:tabs>
        <w:tab w:val="left" w:pos="1140"/>
      </w:tabs>
      <w:autoSpaceDE w:val="0"/>
      <w:autoSpaceDN w:val="0"/>
      <w:ind w:left="840" w:hanging="420"/>
      <w:jc w:val="both"/>
    </w:pPr>
    <w:rPr>
      <w:rFonts w:ascii="宋体" w:hAnsi="Times New Roman" w:eastAsia="宋体" w:cs="Times New Roman"/>
      <w:kern w:val="2"/>
      <w:sz w:val="18"/>
      <w:szCs w:val="22"/>
      <w:lang w:val="en-US" w:eastAsia="zh-CN" w:bidi="ar-SA"/>
    </w:rPr>
  </w:style>
  <w:style w:type="paragraph" w:customStyle="1" w:styleId="203">
    <w:name w:val="图表脚注"/>
    <w:next w:val="175"/>
    <w:qFormat/>
    <w:uiPriority w:val="0"/>
    <w:pPr>
      <w:ind w:left="300" w:leftChars="200" w:hanging="100" w:hangingChars="100"/>
      <w:jc w:val="both"/>
    </w:pPr>
    <w:rPr>
      <w:rFonts w:ascii="宋体" w:hAnsi="Times New Roman" w:eastAsia="宋体" w:cs="Times New Roman"/>
      <w:kern w:val="2"/>
      <w:sz w:val="18"/>
      <w:szCs w:val="22"/>
      <w:lang w:val="en-US" w:eastAsia="zh-CN" w:bidi="ar-SA"/>
    </w:rPr>
  </w:style>
  <w:style w:type="paragraph" w:customStyle="1" w:styleId="204">
    <w:name w:val="其他发布部门"/>
    <w:basedOn w:val="1"/>
    <w:qFormat/>
    <w:uiPriority w:val="0"/>
    <w:pPr>
      <w:widowControl/>
      <w:adjustRightInd/>
      <w:spacing w:line="0" w:lineRule="atLeast"/>
      <w:ind w:firstLine="0" w:firstLineChars="0"/>
      <w:jc w:val="center"/>
    </w:pPr>
    <w:rPr>
      <w:rFonts w:ascii="黑体" w:eastAsia="黑体"/>
      <w:spacing w:val="20"/>
      <w:w w:val="135"/>
      <w:kern w:val="0"/>
      <w:sz w:val="36"/>
      <w:szCs w:val="20"/>
    </w:rPr>
  </w:style>
  <w:style w:type="paragraph" w:customStyle="1" w:styleId="205">
    <w:name w:val="封面标准文稿编辑信息"/>
    <w:qFormat/>
    <w:uiPriority w:val="0"/>
    <w:pPr>
      <w:spacing w:before="180" w:line="180" w:lineRule="exact"/>
      <w:jc w:val="center"/>
    </w:pPr>
    <w:rPr>
      <w:rFonts w:ascii="宋体" w:hAnsi="Times New Roman" w:eastAsia="宋体" w:cs="Times New Roman"/>
      <w:kern w:val="2"/>
      <w:sz w:val="21"/>
      <w:szCs w:val="22"/>
      <w:lang w:val="en-US" w:eastAsia="zh-CN" w:bidi="ar-SA"/>
    </w:rPr>
  </w:style>
  <w:style w:type="paragraph" w:customStyle="1" w:styleId="206">
    <w:name w:val="示例"/>
    <w:next w:val="175"/>
    <w:qFormat/>
    <w:uiPriority w:val="0"/>
    <w:pPr>
      <w:tabs>
        <w:tab w:val="left" w:pos="1120"/>
      </w:tabs>
      <w:ind w:firstLine="400"/>
      <w:jc w:val="both"/>
    </w:pPr>
    <w:rPr>
      <w:rFonts w:ascii="宋体" w:hAnsi="Times New Roman" w:eastAsia="宋体" w:cs="Times New Roman"/>
      <w:kern w:val="2"/>
      <w:sz w:val="18"/>
      <w:szCs w:val="22"/>
      <w:lang w:val="en-US" w:eastAsia="zh-CN" w:bidi="ar-SA"/>
    </w:rPr>
  </w:style>
  <w:style w:type="paragraph" w:customStyle="1" w:styleId="207">
    <w:name w:val="列项·"/>
    <w:qFormat/>
    <w:uiPriority w:val="0"/>
    <w:pPr>
      <w:tabs>
        <w:tab w:val="left" w:pos="840"/>
        <w:tab w:val="left" w:pos="1140"/>
      </w:tabs>
      <w:jc w:val="both"/>
    </w:pPr>
    <w:rPr>
      <w:rFonts w:ascii="宋体" w:hAnsi="Times New Roman" w:eastAsia="宋体" w:cs="Times New Roman"/>
      <w:kern w:val="2"/>
      <w:sz w:val="21"/>
      <w:szCs w:val="22"/>
      <w:lang w:val="en-US" w:eastAsia="zh-CN" w:bidi="ar-SA"/>
    </w:rPr>
  </w:style>
  <w:style w:type="paragraph" w:customStyle="1" w:styleId="208">
    <w:name w:val="标准书眉一"/>
    <w:qFormat/>
    <w:uiPriority w:val="0"/>
    <w:pPr>
      <w:jc w:val="both"/>
    </w:pPr>
    <w:rPr>
      <w:rFonts w:ascii="Times New Roman" w:hAnsi="Times New Roman" w:eastAsia="宋体" w:cs="Times New Roman"/>
      <w:kern w:val="2"/>
      <w:sz w:val="21"/>
      <w:szCs w:val="22"/>
      <w:lang w:val="en-US" w:eastAsia="zh-CN" w:bidi="ar-SA"/>
    </w:rPr>
  </w:style>
  <w:style w:type="paragraph" w:customStyle="1" w:styleId="209">
    <w:name w:val="标准书脚_奇数页"/>
    <w:qFormat/>
    <w:uiPriority w:val="0"/>
    <w:pPr>
      <w:spacing w:before="120"/>
      <w:jc w:val="right"/>
    </w:pPr>
    <w:rPr>
      <w:rFonts w:ascii="Times New Roman" w:hAnsi="Times New Roman" w:eastAsia="宋体" w:cs="Times New Roman"/>
      <w:kern w:val="2"/>
      <w:sz w:val="18"/>
      <w:szCs w:val="22"/>
      <w:lang w:val="en-US" w:eastAsia="zh-CN" w:bidi="ar-SA"/>
    </w:rPr>
  </w:style>
  <w:style w:type="paragraph" w:customStyle="1" w:styleId="210">
    <w:name w:val="附录图标题"/>
    <w:next w:val="175"/>
    <w:qFormat/>
    <w:uiPriority w:val="0"/>
    <w:pPr>
      <w:jc w:val="center"/>
    </w:pPr>
    <w:rPr>
      <w:rFonts w:ascii="黑体" w:hAnsi="Times New Roman" w:eastAsia="黑体" w:cs="Times New Roman"/>
      <w:kern w:val="2"/>
      <w:sz w:val="21"/>
      <w:szCs w:val="22"/>
      <w:lang w:val="en-US" w:eastAsia="zh-CN" w:bidi="ar-SA"/>
    </w:rPr>
  </w:style>
  <w:style w:type="paragraph" w:customStyle="1" w:styleId="211">
    <w:name w:val="标准标志"/>
    <w:next w:val="1"/>
    <w:qFormat/>
    <w:uiPriority w:val="0"/>
    <w:pPr>
      <w:shd w:val="solid" w:color="FFFFFF" w:fill="FFFFFF"/>
      <w:spacing w:line="0" w:lineRule="atLeast"/>
      <w:jc w:val="right"/>
    </w:pPr>
    <w:rPr>
      <w:rFonts w:ascii="Times New Roman" w:hAnsi="Times New Roman" w:eastAsia="宋体" w:cs="Times New Roman"/>
      <w:b/>
      <w:w w:val="130"/>
      <w:kern w:val="2"/>
      <w:sz w:val="96"/>
      <w:szCs w:val="22"/>
      <w:lang w:val="en-US" w:eastAsia="zh-CN" w:bidi="ar-SA"/>
    </w:rPr>
  </w:style>
  <w:style w:type="paragraph" w:customStyle="1" w:styleId="212">
    <w:name w:val="附录表标题"/>
    <w:next w:val="175"/>
    <w:qFormat/>
    <w:uiPriority w:val="0"/>
    <w:pPr>
      <w:jc w:val="center"/>
      <w:textAlignment w:val="baseline"/>
    </w:pPr>
    <w:rPr>
      <w:rFonts w:ascii="黑体" w:hAnsi="Times New Roman" w:eastAsia="黑体" w:cs="Times New Roman"/>
      <w:kern w:val="21"/>
      <w:sz w:val="21"/>
      <w:szCs w:val="22"/>
      <w:lang w:val="en-US" w:eastAsia="zh-CN" w:bidi="ar-SA"/>
    </w:rPr>
  </w:style>
  <w:style w:type="paragraph" w:customStyle="1" w:styleId="213">
    <w:name w:val="封面标准英文名称"/>
    <w:qFormat/>
    <w:uiPriority w:val="0"/>
    <w:pPr>
      <w:widowControl w:val="0"/>
      <w:spacing w:before="370" w:line="400" w:lineRule="exact"/>
      <w:jc w:val="center"/>
    </w:pPr>
    <w:rPr>
      <w:rFonts w:ascii="Times New Roman" w:hAnsi="Times New Roman" w:eastAsia="宋体" w:cs="Times New Roman"/>
      <w:kern w:val="2"/>
      <w:sz w:val="28"/>
      <w:szCs w:val="22"/>
      <w:lang w:val="en-US" w:eastAsia="zh-CN" w:bidi="ar-SA"/>
    </w:rPr>
  </w:style>
  <w:style w:type="paragraph" w:customStyle="1" w:styleId="214">
    <w:name w:val="封面标准代替信息"/>
    <w:basedOn w:val="178"/>
    <w:qFormat/>
    <w:uiPriority w:val="0"/>
    <w:pPr>
      <w:spacing w:before="57"/>
    </w:pPr>
    <w:rPr>
      <w:rFonts w:ascii="宋体"/>
      <w:sz w:val="21"/>
    </w:rPr>
  </w:style>
  <w:style w:type="paragraph" w:customStyle="1" w:styleId="215">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kern w:val="2"/>
      <w:sz w:val="52"/>
      <w:szCs w:val="22"/>
      <w:lang w:val="en-US" w:eastAsia="zh-CN" w:bidi="ar-SA"/>
    </w:rPr>
  </w:style>
  <w:style w:type="paragraph" w:customStyle="1" w:styleId="216">
    <w:name w:val="五级无标题条"/>
    <w:basedOn w:val="1"/>
    <w:qFormat/>
    <w:uiPriority w:val="0"/>
    <w:pPr>
      <w:tabs>
        <w:tab w:val="left" w:pos="1296"/>
      </w:tabs>
      <w:adjustRightInd/>
      <w:spacing w:line="240" w:lineRule="auto"/>
      <w:ind w:left="1296" w:hanging="1296" w:firstLineChars="0"/>
    </w:pPr>
    <w:rPr>
      <w:rFonts w:eastAsia="微软雅黑"/>
      <w:szCs w:val="20"/>
    </w:rPr>
  </w:style>
  <w:style w:type="paragraph" w:customStyle="1" w:styleId="217">
    <w:name w:val="实施日期"/>
    <w:basedOn w:val="186"/>
    <w:qFormat/>
    <w:uiPriority w:val="0"/>
    <w:pPr>
      <w:jc w:val="right"/>
    </w:pPr>
  </w:style>
  <w:style w:type="paragraph" w:customStyle="1" w:styleId="218">
    <w:name w:val="p0"/>
    <w:basedOn w:val="1"/>
    <w:qFormat/>
    <w:uiPriority w:val="0"/>
    <w:pPr>
      <w:widowControl/>
      <w:adjustRightInd/>
      <w:spacing w:line="240" w:lineRule="auto"/>
      <w:ind w:firstLine="0" w:firstLineChars="0"/>
    </w:pPr>
    <w:rPr>
      <w:rFonts w:eastAsia="微软雅黑"/>
      <w:kern w:val="0"/>
      <w:szCs w:val="20"/>
    </w:rPr>
  </w:style>
  <w:style w:type="paragraph" w:customStyle="1" w:styleId="219">
    <w:name w:val="样式 章标题 + 段前: 0.5 行 段后: 0.5 行"/>
    <w:basedOn w:val="160"/>
    <w:qFormat/>
    <w:uiPriority w:val="0"/>
    <w:pPr>
      <w:tabs>
        <w:tab w:val="left" w:pos="432"/>
      </w:tabs>
      <w:ind w:left="432" w:hanging="432"/>
    </w:pPr>
  </w:style>
  <w:style w:type="paragraph" w:customStyle="1" w:styleId="220">
    <w:name w:val="字母编号列项（一级）"/>
    <w:qFormat/>
    <w:uiPriority w:val="0"/>
    <w:pPr>
      <w:ind w:left="840" w:leftChars="200" w:hanging="420" w:hangingChars="200"/>
      <w:jc w:val="both"/>
    </w:pPr>
    <w:rPr>
      <w:rFonts w:ascii="宋体" w:hAnsi="Times New Roman" w:eastAsia="宋体" w:cs="Times New Roman"/>
      <w:kern w:val="2"/>
      <w:sz w:val="21"/>
      <w:szCs w:val="22"/>
      <w:lang w:val="en-US" w:eastAsia="zh-CN" w:bidi="ar-SA"/>
    </w:rPr>
  </w:style>
  <w:style w:type="paragraph" w:customStyle="1" w:styleId="221">
    <w:name w:val="正文图标题"/>
    <w:next w:val="175"/>
    <w:qFormat/>
    <w:uiPriority w:val="0"/>
    <w:pPr>
      <w:jc w:val="center"/>
    </w:pPr>
    <w:rPr>
      <w:rFonts w:ascii="黑体" w:hAnsi="Times New Roman" w:eastAsia="黑体" w:cs="Times New Roman"/>
      <w:kern w:val="2"/>
      <w:sz w:val="21"/>
      <w:szCs w:val="22"/>
      <w:lang w:val="en-US" w:eastAsia="zh-CN" w:bidi="ar-SA"/>
    </w:rPr>
  </w:style>
  <w:style w:type="paragraph" w:customStyle="1" w:styleId="222">
    <w:name w:val="无标题条"/>
    <w:next w:val="175"/>
    <w:qFormat/>
    <w:uiPriority w:val="0"/>
    <w:pPr>
      <w:jc w:val="both"/>
    </w:pPr>
    <w:rPr>
      <w:rFonts w:ascii="Times New Roman" w:hAnsi="Times New Roman" w:eastAsia="宋体" w:cs="Times New Roman"/>
      <w:kern w:val="2"/>
      <w:sz w:val="21"/>
      <w:szCs w:val="22"/>
      <w:lang w:val="en-US" w:eastAsia="zh-CN" w:bidi="ar-SA"/>
    </w:rPr>
  </w:style>
  <w:style w:type="paragraph" w:customStyle="1" w:styleId="223">
    <w:name w:val="条文脚注"/>
    <w:basedOn w:val="31"/>
    <w:qFormat/>
    <w:uiPriority w:val="0"/>
    <w:pPr>
      <w:ind w:left="780" w:leftChars="200" w:hanging="360" w:hangingChars="200"/>
      <w:jc w:val="both"/>
    </w:pPr>
    <w:rPr>
      <w:rFonts w:ascii="宋体"/>
      <w:kern w:val="0"/>
      <w:szCs w:val="20"/>
    </w:rPr>
  </w:style>
  <w:style w:type="paragraph" w:customStyle="1" w:styleId="224">
    <w:name w:val="xl43"/>
    <w:basedOn w:val="1"/>
    <w:qFormat/>
    <w:uiPriority w:val="0"/>
    <w:pPr>
      <w:widowControl/>
      <w:adjustRightInd/>
      <w:spacing w:before="100" w:beforeAutospacing="1" w:after="100" w:afterAutospacing="1" w:line="240" w:lineRule="auto"/>
      <w:ind w:firstLine="0" w:firstLineChars="0"/>
      <w:jc w:val="center"/>
    </w:pPr>
    <w:rPr>
      <w:rFonts w:ascii="宋体" w:hAnsi="宋体" w:eastAsia="微软雅黑"/>
      <w:kern w:val="0"/>
      <w:szCs w:val="24"/>
    </w:rPr>
  </w:style>
  <w:style w:type="paragraph" w:customStyle="1" w:styleId="225">
    <w:name w:val="Char Char Char3 Char Char Char Char1"/>
    <w:basedOn w:val="1"/>
    <w:qFormat/>
    <w:uiPriority w:val="0"/>
    <w:pPr>
      <w:adjustRightInd/>
      <w:ind w:firstLine="0" w:firstLineChars="0"/>
    </w:pPr>
    <w:rPr>
      <w:rFonts w:eastAsia="微软雅黑"/>
      <w:szCs w:val="24"/>
    </w:rPr>
  </w:style>
  <w:style w:type="paragraph" w:customStyle="1" w:styleId="226">
    <w:name w:val="Char Char Char Char Char Char Char Char Char Char Char Char1"/>
    <w:basedOn w:val="1"/>
    <w:qFormat/>
    <w:uiPriority w:val="0"/>
    <w:pPr>
      <w:adjustRightInd/>
      <w:spacing w:line="240" w:lineRule="atLeast"/>
      <w:ind w:left="420" w:firstLine="420" w:firstLineChars="0"/>
    </w:pPr>
    <w:rPr>
      <w:rFonts w:eastAsia="微软雅黑"/>
      <w:kern w:val="0"/>
      <w:szCs w:val="20"/>
    </w:rPr>
  </w:style>
  <w:style w:type="paragraph" w:customStyle="1" w:styleId="227">
    <w:name w:val="Char1"/>
    <w:basedOn w:val="1"/>
    <w:qFormat/>
    <w:uiPriority w:val="0"/>
    <w:pPr>
      <w:adjustRightInd/>
      <w:spacing w:line="240" w:lineRule="auto"/>
      <w:ind w:firstLine="0" w:firstLineChars="0"/>
    </w:pPr>
    <w:rPr>
      <w:rFonts w:eastAsia="微软雅黑"/>
      <w:szCs w:val="24"/>
    </w:rPr>
  </w:style>
  <w:style w:type="paragraph" w:customStyle="1" w:styleId="228">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9">
    <w:name w:val="TOC 标题11"/>
    <w:basedOn w:val="2"/>
    <w:next w:val="1"/>
    <w:qFormat/>
    <w:uiPriority w:val="0"/>
    <w:pPr>
      <w:pageBreakBefore w:val="0"/>
      <w:widowControl/>
      <w:numPr>
        <w:numId w:val="0"/>
      </w:numPr>
      <w:tabs>
        <w:tab w:val="left" w:pos="3970"/>
      </w:tabs>
      <w:adjustRightInd/>
      <w:spacing w:before="480" w:after="0" w:line="276" w:lineRule="auto"/>
      <w:jc w:val="left"/>
      <w:outlineLvl w:val="9"/>
    </w:pPr>
    <w:rPr>
      <w:rFonts w:ascii="Cambria" w:hAnsi="Cambria" w:eastAsia="微软雅黑"/>
      <w:color w:val="376092"/>
      <w:kern w:val="0"/>
      <w:sz w:val="28"/>
      <w:szCs w:val="28"/>
    </w:rPr>
  </w:style>
  <w:style w:type="paragraph" w:customStyle="1" w:styleId="230">
    <w:name w:val="Char2 Char Char Char Char Char Char1"/>
    <w:basedOn w:val="1"/>
    <w:qFormat/>
    <w:uiPriority w:val="0"/>
    <w:pPr>
      <w:adjustRightInd/>
      <w:spacing w:line="240" w:lineRule="atLeast"/>
      <w:ind w:left="420" w:firstLine="420" w:firstLineChars="0"/>
    </w:pPr>
    <w:rPr>
      <w:rFonts w:eastAsia="微软雅黑"/>
      <w:szCs w:val="20"/>
    </w:rPr>
  </w:style>
  <w:style w:type="paragraph" w:customStyle="1" w:styleId="231">
    <w:name w:val="样式 标题 1章标题 1-*+h11st levelSection Headl1b1featurehead标题..."/>
    <w:basedOn w:val="2"/>
    <w:qFormat/>
    <w:uiPriority w:val="0"/>
    <w:pPr>
      <w:pageBreakBefore w:val="0"/>
      <w:numPr>
        <w:numId w:val="0"/>
      </w:numPr>
      <w:tabs>
        <w:tab w:val="left" w:pos="3970"/>
      </w:tabs>
      <w:adjustRightInd/>
      <w:ind w:left="3970" w:hanging="425"/>
    </w:pPr>
    <w:rPr>
      <w:rFonts w:eastAsia="黑体"/>
      <w:kern w:val="2"/>
    </w:rPr>
  </w:style>
  <w:style w:type="paragraph" w:customStyle="1" w:styleId="232">
    <w:name w:val="列出段落11"/>
    <w:basedOn w:val="1"/>
    <w:qFormat/>
    <w:uiPriority w:val="0"/>
    <w:pPr>
      <w:adjustRightInd/>
      <w:spacing w:line="240" w:lineRule="auto"/>
      <w:ind w:firstLine="420"/>
    </w:pPr>
    <w:rPr>
      <w:rFonts w:ascii="Calibri" w:hAnsi="Calibri" w:eastAsia="微软雅黑"/>
      <w:szCs w:val="20"/>
    </w:rPr>
  </w:style>
  <w:style w:type="paragraph" w:customStyle="1" w:styleId="233">
    <w:name w:val="正文缩2"/>
    <w:basedOn w:val="1"/>
    <w:link w:val="265"/>
    <w:qFormat/>
    <w:uiPriority w:val="0"/>
    <w:pPr>
      <w:adjustRightInd/>
    </w:pPr>
    <w:rPr>
      <w:kern w:val="0"/>
      <w:szCs w:val="24"/>
    </w:rPr>
  </w:style>
  <w:style w:type="paragraph" w:customStyle="1" w:styleId="234">
    <w:name w:val="批注框文本1"/>
    <w:basedOn w:val="1"/>
    <w:qFormat/>
    <w:uiPriority w:val="0"/>
    <w:pPr>
      <w:adjustRightInd/>
      <w:spacing w:line="240" w:lineRule="auto"/>
      <w:ind w:firstLine="0" w:firstLineChars="0"/>
    </w:pPr>
    <w:rPr>
      <w:rFonts w:eastAsia="微软雅黑"/>
      <w:kern w:val="0"/>
      <w:sz w:val="18"/>
      <w:szCs w:val="20"/>
    </w:rPr>
  </w:style>
  <w:style w:type="paragraph" w:customStyle="1" w:styleId="235">
    <w:name w:val="批注文字1"/>
    <w:basedOn w:val="1"/>
    <w:qFormat/>
    <w:uiPriority w:val="0"/>
    <w:pPr>
      <w:adjustRightInd/>
      <w:spacing w:line="240" w:lineRule="auto"/>
      <w:ind w:firstLine="0" w:firstLineChars="0"/>
      <w:jc w:val="left"/>
    </w:pPr>
    <w:rPr>
      <w:rFonts w:eastAsia="微软雅黑"/>
      <w:kern w:val="0"/>
      <w:sz w:val="20"/>
      <w:szCs w:val="20"/>
    </w:rPr>
  </w:style>
  <w:style w:type="paragraph" w:customStyle="1" w:styleId="236">
    <w:name w:val="表格图标题"/>
    <w:basedOn w:val="1"/>
    <w:link w:val="269"/>
    <w:qFormat/>
    <w:uiPriority w:val="0"/>
    <w:pPr>
      <w:overflowPunct w:val="0"/>
      <w:adjustRightInd/>
      <w:spacing w:beforeLines="50" w:afterLines="20" w:line="240" w:lineRule="auto"/>
      <w:ind w:firstLine="0" w:firstLineChars="0"/>
      <w:jc w:val="center"/>
      <w:outlineLvl w:val="4"/>
    </w:pPr>
    <w:rPr>
      <w:rFonts w:eastAsia="黑体"/>
      <w:b/>
      <w:bCs/>
      <w:iCs/>
      <w:kern w:val="0"/>
      <w:szCs w:val="24"/>
    </w:rPr>
  </w:style>
  <w:style w:type="paragraph" w:customStyle="1" w:styleId="237">
    <w:name w:val="表格字体2"/>
    <w:basedOn w:val="1"/>
    <w:link w:val="270"/>
    <w:qFormat/>
    <w:uiPriority w:val="0"/>
    <w:pPr>
      <w:overflowPunct w:val="0"/>
      <w:adjustRightInd/>
      <w:spacing w:line="80" w:lineRule="atLeast"/>
      <w:ind w:firstLine="0" w:firstLineChars="0"/>
      <w:jc w:val="center"/>
    </w:pPr>
    <w:rPr>
      <w:rFonts w:ascii="宋体" w:hAnsi="宋体" w:eastAsia="微软雅黑"/>
      <w:bCs/>
      <w:kern w:val="0"/>
      <w:szCs w:val="21"/>
    </w:rPr>
  </w:style>
  <w:style w:type="paragraph" w:customStyle="1" w:styleId="238">
    <w:name w:val="表"/>
    <w:basedOn w:val="1"/>
    <w:qFormat/>
    <w:uiPriority w:val="0"/>
    <w:pPr>
      <w:snapToGrid w:val="0"/>
      <w:ind w:firstLine="0" w:firstLineChars="0"/>
      <w:jc w:val="center"/>
    </w:pPr>
    <w:rPr>
      <w:rFonts w:eastAsia="微软雅黑"/>
      <w:sz w:val="18"/>
      <w:szCs w:val="24"/>
    </w:rPr>
  </w:style>
  <w:style w:type="paragraph" w:customStyle="1" w:styleId="239">
    <w:name w:val="表格 首行加粗"/>
    <w:basedOn w:val="238"/>
    <w:next w:val="238"/>
    <w:qFormat/>
    <w:uiPriority w:val="0"/>
    <w:rPr>
      <w:b/>
      <w:bCs/>
    </w:rPr>
  </w:style>
  <w:style w:type="paragraph" w:customStyle="1" w:styleId="240">
    <w:name w:val="样式 微软雅黑 四号 黑色 首行缩进:  0.35 厘米 行距: 2 倍行距"/>
    <w:basedOn w:val="1"/>
    <w:qFormat/>
    <w:uiPriority w:val="0"/>
    <w:pPr>
      <w:adjustRightInd/>
      <w:spacing w:line="480" w:lineRule="auto"/>
      <w:ind w:firstLine="0" w:firstLineChars="0"/>
    </w:pPr>
    <w:rPr>
      <w:rFonts w:ascii="微软雅黑" w:hAnsi="微软雅黑" w:eastAsia="微软雅黑" w:cs="宋体"/>
      <w:color w:val="000000"/>
      <w:szCs w:val="20"/>
    </w:rPr>
  </w:style>
  <w:style w:type="paragraph" w:customStyle="1" w:styleId="241">
    <w:name w:val="样式 列出段落 + 微软雅黑 四号 文字 1"/>
    <w:basedOn w:val="89"/>
    <w:qFormat/>
    <w:uiPriority w:val="0"/>
    <w:pPr>
      <w:numPr>
        <w:numId w:val="0"/>
      </w:numPr>
      <w:spacing w:line="240" w:lineRule="auto"/>
      <w:ind w:firstLine="420" w:firstLineChars="200"/>
    </w:pPr>
    <w:rPr>
      <w:rFonts w:ascii="微软雅黑" w:hAnsi="微软雅黑" w:cs="Times New Roman"/>
      <w:b w:val="0"/>
      <w:color w:val="000000"/>
      <w:sz w:val="21"/>
      <w:szCs w:val="22"/>
    </w:rPr>
  </w:style>
  <w:style w:type="paragraph" w:customStyle="1" w:styleId="242">
    <w:name w:val="样式 列出段落 + 微软雅黑 四号 文字 11"/>
    <w:basedOn w:val="89"/>
    <w:qFormat/>
    <w:uiPriority w:val="0"/>
    <w:pPr>
      <w:numPr>
        <w:numId w:val="0"/>
      </w:numPr>
      <w:ind w:firstLine="200" w:firstLineChars="200"/>
    </w:pPr>
    <w:rPr>
      <w:rFonts w:ascii="微软雅黑" w:hAnsi="微软雅黑" w:cs="Times New Roman"/>
      <w:b w:val="0"/>
      <w:color w:val="000000"/>
      <w:sz w:val="21"/>
      <w:szCs w:val="22"/>
    </w:rPr>
  </w:style>
  <w:style w:type="paragraph" w:customStyle="1" w:styleId="243">
    <w:name w:val="样式 样式 标题 2标题 y2h2l22nd levelTitre22Header 2节标题 1.1节标题一级节名... + 微..."/>
    <w:basedOn w:val="120"/>
    <w:qFormat/>
    <w:uiPriority w:val="0"/>
    <w:pPr>
      <w:numPr>
        <w:ilvl w:val="1"/>
      </w:numPr>
      <w:tabs>
        <w:tab w:val="left" w:pos="0"/>
      </w:tabs>
      <w:ind w:left="3128" w:hanging="576"/>
    </w:pPr>
    <w:rPr>
      <w:rFonts w:ascii="微软雅黑" w:hAnsi="微软雅黑"/>
    </w:rPr>
  </w:style>
  <w:style w:type="paragraph" w:customStyle="1" w:styleId="244">
    <w:name w:val="样式 微软雅黑 四号 黑色 行距: 1.5 倍行距 首行缩进:  2 字符"/>
    <w:basedOn w:val="1"/>
    <w:qFormat/>
    <w:uiPriority w:val="0"/>
    <w:pPr>
      <w:adjustRightInd/>
      <w:ind w:firstLine="560"/>
    </w:pPr>
    <w:rPr>
      <w:rFonts w:ascii="微软雅黑" w:hAnsi="微软雅黑" w:eastAsia="微软雅黑" w:cs="宋体"/>
      <w:color w:val="000000"/>
      <w:szCs w:val="20"/>
    </w:rPr>
  </w:style>
  <w:style w:type="paragraph" w:customStyle="1" w:styleId="245">
    <w:name w:val="样式 微软雅黑 四号 黑色 行距: 1.5 倍行距"/>
    <w:basedOn w:val="1"/>
    <w:qFormat/>
    <w:uiPriority w:val="0"/>
    <w:pPr>
      <w:adjustRightInd/>
      <w:ind w:firstLine="0" w:firstLineChars="0"/>
    </w:pPr>
    <w:rPr>
      <w:rFonts w:ascii="微软雅黑" w:hAnsi="微软雅黑" w:eastAsia="微软雅黑" w:cs="宋体"/>
      <w:color w:val="000000"/>
      <w:szCs w:val="20"/>
    </w:rPr>
  </w:style>
  <w:style w:type="paragraph" w:customStyle="1" w:styleId="246">
    <w:name w:val="样式 微软雅黑 四号 黑色 首行缩进:  0.99 厘米"/>
    <w:basedOn w:val="1"/>
    <w:qFormat/>
    <w:uiPriority w:val="0"/>
    <w:pPr>
      <w:adjustRightInd/>
      <w:spacing w:line="240" w:lineRule="auto"/>
      <w:ind w:firstLine="564" w:firstLineChars="0"/>
    </w:pPr>
    <w:rPr>
      <w:rFonts w:ascii="微软雅黑" w:hAnsi="微软雅黑" w:eastAsia="微软雅黑" w:cs="宋体"/>
      <w:color w:val="000000"/>
      <w:szCs w:val="20"/>
    </w:rPr>
  </w:style>
  <w:style w:type="paragraph" w:customStyle="1" w:styleId="247">
    <w:name w:val="样式 |正文样式 + 微软雅黑 四号 首行缩进:  2 字符"/>
    <w:basedOn w:val="123"/>
    <w:qFormat/>
    <w:uiPriority w:val="0"/>
    <w:pPr>
      <w:ind w:firstLine="560"/>
    </w:pPr>
    <w:rPr>
      <w:rFonts w:ascii="微软雅黑" w:hAnsi="微软雅黑" w:cs="宋体"/>
      <w:szCs w:val="20"/>
    </w:rPr>
  </w:style>
  <w:style w:type="paragraph" w:customStyle="1" w:styleId="248">
    <w:name w:val="样式 微软雅黑 四号 左 行距: 1.5 倍行距 首行缩进:  2 字符"/>
    <w:basedOn w:val="1"/>
    <w:qFormat/>
    <w:uiPriority w:val="0"/>
    <w:pPr>
      <w:adjustRightInd/>
      <w:ind w:firstLine="560"/>
      <w:jc w:val="left"/>
    </w:pPr>
    <w:rPr>
      <w:rFonts w:ascii="微软雅黑" w:hAnsi="微软雅黑" w:eastAsia="微软雅黑" w:cs="宋体"/>
      <w:szCs w:val="20"/>
    </w:rPr>
  </w:style>
  <w:style w:type="paragraph" w:customStyle="1" w:styleId="249">
    <w:name w:val="样式 |正文样式 + 微软雅黑 四号"/>
    <w:basedOn w:val="123"/>
    <w:qFormat/>
    <w:uiPriority w:val="0"/>
    <w:rPr>
      <w:rFonts w:ascii="微软雅黑" w:hAnsi="微软雅黑"/>
    </w:rPr>
  </w:style>
  <w:style w:type="paragraph" w:customStyle="1" w:styleId="250">
    <w:name w:val="样式 微软雅黑 首行缩进:  0.74 厘米"/>
    <w:basedOn w:val="1"/>
    <w:qFormat/>
    <w:uiPriority w:val="0"/>
    <w:pPr>
      <w:adjustRightInd/>
      <w:ind w:firstLine="420" w:firstLineChars="0"/>
    </w:pPr>
    <w:rPr>
      <w:rFonts w:ascii="微软雅黑" w:hAnsi="微软雅黑" w:eastAsia="微软雅黑" w:cs="宋体"/>
      <w:szCs w:val="20"/>
    </w:rPr>
  </w:style>
  <w:style w:type="paragraph" w:customStyle="1" w:styleId="251">
    <w:name w:val="样式 自动化方案正文 + 首行缩进:  2 字符"/>
    <w:basedOn w:val="1"/>
    <w:link w:val="277"/>
    <w:qFormat/>
    <w:uiPriority w:val="0"/>
    <w:pPr>
      <w:adjustRightInd/>
      <w:ind w:firstLine="560"/>
      <w:jc w:val="left"/>
    </w:pPr>
    <w:rPr>
      <w:rFonts w:ascii="Calibri" w:hAnsi="Calibri" w:eastAsia="新宋体"/>
      <w:sz w:val="28"/>
      <w:szCs w:val="20"/>
    </w:rPr>
  </w:style>
  <w:style w:type="paragraph" w:customStyle="1" w:styleId="252">
    <w:name w:val="我的插图"/>
    <w:basedOn w:val="1"/>
    <w:next w:val="1"/>
    <w:link w:val="278"/>
    <w:qFormat/>
    <w:uiPriority w:val="0"/>
    <w:pPr>
      <w:adjustRightInd/>
      <w:spacing w:afterLines="100"/>
      <w:jc w:val="center"/>
    </w:pPr>
    <w:rPr>
      <w:b/>
      <w:kern w:val="0"/>
      <w:szCs w:val="20"/>
    </w:rPr>
  </w:style>
  <w:style w:type="paragraph" w:customStyle="1" w:styleId="253">
    <w:name w:val="样式 样式 标题 3条标题1.1.1h33rd level3Head 3sect1.2.3H3level_3PIM ... + ..."/>
    <w:basedOn w:val="131"/>
    <w:qFormat/>
    <w:uiPriority w:val="0"/>
    <w:pPr>
      <w:spacing w:before="260" w:after="260"/>
      <w:jc w:val="left"/>
    </w:pPr>
    <w:rPr>
      <w:rFonts w:ascii="微软雅黑" w:hAnsi="微软雅黑" w:eastAsia="微软雅黑" w:cs="宋体"/>
      <w:szCs w:val="20"/>
    </w:rPr>
  </w:style>
  <w:style w:type="paragraph" w:customStyle="1" w:styleId="254">
    <w:name w:val="p15"/>
    <w:basedOn w:val="1"/>
    <w:qFormat/>
    <w:uiPriority w:val="0"/>
    <w:pPr>
      <w:widowControl/>
      <w:adjustRightInd/>
      <w:spacing w:line="240" w:lineRule="auto"/>
      <w:ind w:firstLine="0" w:firstLineChars="0"/>
      <w:jc w:val="left"/>
    </w:pPr>
    <w:rPr>
      <w:rFonts w:ascii="Calibri" w:hAnsi="Calibri" w:cs="宋体"/>
      <w:kern w:val="0"/>
      <w:sz w:val="21"/>
      <w:szCs w:val="21"/>
    </w:rPr>
  </w:style>
  <w:style w:type="paragraph" w:customStyle="1" w:styleId="255">
    <w:name w:val="页脚1"/>
    <w:basedOn w:val="1"/>
    <w:qFormat/>
    <w:uiPriority w:val="0"/>
    <w:pPr>
      <w:tabs>
        <w:tab w:val="center" w:pos="4153"/>
        <w:tab w:val="right" w:pos="8306"/>
      </w:tabs>
      <w:adjustRightInd/>
      <w:snapToGrid w:val="0"/>
      <w:spacing w:line="240" w:lineRule="auto"/>
      <w:ind w:firstLine="0" w:firstLineChars="0"/>
      <w:jc w:val="left"/>
    </w:pPr>
    <w:rPr>
      <w:rFonts w:eastAsia="微软雅黑"/>
      <w:sz w:val="18"/>
      <w:szCs w:val="24"/>
    </w:rPr>
  </w:style>
  <w:style w:type="paragraph" w:customStyle="1" w:styleId="256">
    <w:name w:val="cardlist-value"/>
    <w:basedOn w:val="1"/>
    <w:qFormat/>
    <w:uiPriority w:val="0"/>
    <w:pPr>
      <w:widowControl/>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257">
    <w:name w:val="p16"/>
    <w:basedOn w:val="1"/>
    <w:qFormat/>
    <w:uiPriority w:val="0"/>
    <w:pPr>
      <w:widowControl/>
      <w:adjustRightInd/>
      <w:spacing w:before="100" w:after="100" w:line="411" w:lineRule="atLeast"/>
      <w:ind w:firstLine="0" w:firstLineChars="0"/>
      <w:jc w:val="left"/>
    </w:pPr>
    <w:rPr>
      <w:rFonts w:ascii="宋体" w:hAnsi="宋体" w:cs="宋体"/>
      <w:kern w:val="0"/>
      <w:sz w:val="22"/>
    </w:rPr>
  </w:style>
  <w:style w:type="character" w:customStyle="1" w:styleId="258">
    <w:name w:val="个人撰写风格"/>
    <w:qFormat/>
    <w:uiPriority w:val="0"/>
    <w:rPr>
      <w:rFonts w:ascii="Arial" w:hAnsi="Arial" w:eastAsia="宋体"/>
      <w:color w:val="auto"/>
      <w:sz w:val="20"/>
    </w:rPr>
  </w:style>
  <w:style w:type="character" w:customStyle="1" w:styleId="259">
    <w:name w:val="Char Char Char"/>
    <w:qFormat/>
    <w:uiPriority w:val="0"/>
    <w:rPr>
      <w:rFonts w:eastAsia="宋体"/>
      <w:b/>
      <w:kern w:val="44"/>
      <w:sz w:val="44"/>
      <w:lang w:val="en-US" w:eastAsia="zh-CN"/>
    </w:rPr>
  </w:style>
  <w:style w:type="character" w:customStyle="1" w:styleId="260">
    <w:name w:val="Plain Text Char Char Char Char Char"/>
    <w:qFormat/>
    <w:uiPriority w:val="0"/>
    <w:rPr>
      <w:rFonts w:ascii="宋体" w:hAnsi="Courier New" w:eastAsia="宋体"/>
      <w:kern w:val="2"/>
      <w:sz w:val="21"/>
      <w:lang w:val="en-US" w:eastAsia="zh-CN"/>
    </w:rPr>
  </w:style>
  <w:style w:type="character" w:customStyle="1" w:styleId="261">
    <w:name w:val="发布"/>
    <w:qFormat/>
    <w:uiPriority w:val="0"/>
    <w:rPr>
      <w:rFonts w:ascii="黑体" w:eastAsia="黑体"/>
      <w:spacing w:val="22"/>
      <w:w w:val="100"/>
      <w:position w:val="3"/>
      <w:sz w:val="28"/>
    </w:rPr>
  </w:style>
  <w:style w:type="character" w:customStyle="1" w:styleId="262">
    <w:name w:val="个人答复风格"/>
    <w:qFormat/>
    <w:uiPriority w:val="0"/>
    <w:rPr>
      <w:rFonts w:ascii="Arial" w:hAnsi="Arial" w:eastAsia="宋体"/>
      <w:color w:val="auto"/>
      <w:sz w:val="20"/>
    </w:rPr>
  </w:style>
  <w:style w:type="character" w:customStyle="1" w:styleId="263">
    <w:name w:val="Char Char Char1"/>
    <w:qFormat/>
    <w:uiPriority w:val="0"/>
    <w:rPr>
      <w:rFonts w:eastAsia="宋体"/>
      <w:b/>
      <w:kern w:val="44"/>
      <w:sz w:val="44"/>
      <w:lang w:val="en-US" w:eastAsia="zh-CN"/>
    </w:rPr>
  </w:style>
  <w:style w:type="character" w:customStyle="1" w:styleId="264">
    <w:name w:val="批注文字 Char1"/>
    <w:semiHidden/>
    <w:qFormat/>
    <w:uiPriority w:val="99"/>
    <w:rPr>
      <w:kern w:val="2"/>
      <w:sz w:val="21"/>
    </w:rPr>
  </w:style>
  <w:style w:type="character" w:customStyle="1" w:styleId="265">
    <w:name w:val="正文缩2 Char"/>
    <w:link w:val="233"/>
    <w:qFormat/>
    <w:uiPriority w:val="0"/>
    <w:rPr>
      <w:rFonts w:ascii="Times New Roman" w:hAnsi="Times New Roman" w:eastAsia="宋体" w:cs="Times New Roman"/>
      <w:kern w:val="0"/>
      <w:sz w:val="24"/>
      <w:szCs w:val="24"/>
    </w:rPr>
  </w:style>
  <w:style w:type="character" w:customStyle="1" w:styleId="266">
    <w:name w:val="脚注文本 Char1"/>
    <w:semiHidden/>
    <w:qFormat/>
    <w:uiPriority w:val="99"/>
    <w:rPr>
      <w:kern w:val="2"/>
      <w:sz w:val="18"/>
      <w:szCs w:val="18"/>
    </w:rPr>
  </w:style>
  <w:style w:type="character" w:customStyle="1" w:styleId="267">
    <w:name w:val="批注引用1"/>
    <w:qFormat/>
    <w:uiPriority w:val="0"/>
    <w:rPr>
      <w:sz w:val="21"/>
    </w:rPr>
  </w:style>
  <w:style w:type="character" w:customStyle="1" w:styleId="268">
    <w:name w:val="批注框文本 Char1"/>
    <w:semiHidden/>
    <w:qFormat/>
    <w:uiPriority w:val="99"/>
    <w:rPr>
      <w:kern w:val="2"/>
      <w:sz w:val="18"/>
      <w:szCs w:val="18"/>
    </w:rPr>
  </w:style>
  <w:style w:type="character" w:customStyle="1" w:styleId="269">
    <w:name w:val="表格图标题 Char"/>
    <w:basedOn w:val="44"/>
    <w:link w:val="236"/>
    <w:qFormat/>
    <w:uiPriority w:val="0"/>
    <w:rPr>
      <w:rFonts w:ascii="Times New Roman" w:hAnsi="Times New Roman" w:eastAsia="黑体" w:cs="Times New Roman"/>
      <w:b/>
      <w:bCs/>
      <w:iCs/>
      <w:kern w:val="0"/>
      <w:sz w:val="24"/>
      <w:szCs w:val="24"/>
    </w:rPr>
  </w:style>
  <w:style w:type="character" w:customStyle="1" w:styleId="270">
    <w:name w:val="表格字体2 Char"/>
    <w:basedOn w:val="44"/>
    <w:link w:val="237"/>
    <w:qFormat/>
    <w:uiPriority w:val="0"/>
    <w:rPr>
      <w:rFonts w:ascii="宋体" w:hAnsi="宋体" w:eastAsia="微软雅黑" w:cs="Times New Roman"/>
      <w:bCs/>
      <w:kern w:val="0"/>
      <w:sz w:val="24"/>
      <w:szCs w:val="21"/>
    </w:rPr>
  </w:style>
  <w:style w:type="character" w:customStyle="1" w:styleId="271">
    <w:name w:val="样式 微软雅黑 四号"/>
    <w:basedOn w:val="44"/>
    <w:qFormat/>
    <w:uiPriority w:val="0"/>
    <w:rPr>
      <w:rFonts w:ascii="微软雅黑" w:hAnsi="微软雅黑"/>
      <w:sz w:val="24"/>
    </w:rPr>
  </w:style>
  <w:style w:type="character" w:customStyle="1" w:styleId="272">
    <w:name w:val="样式 微软雅黑 四号 黑色"/>
    <w:basedOn w:val="44"/>
    <w:qFormat/>
    <w:uiPriority w:val="0"/>
    <w:rPr>
      <w:rFonts w:ascii="微软雅黑" w:hAnsi="微软雅黑"/>
      <w:color w:val="000000"/>
      <w:sz w:val="24"/>
    </w:rPr>
  </w:style>
  <w:style w:type="character" w:customStyle="1" w:styleId="273">
    <w:name w:val="样式 微软雅黑 四号 黑色1"/>
    <w:basedOn w:val="44"/>
    <w:qFormat/>
    <w:uiPriority w:val="0"/>
    <w:rPr>
      <w:rFonts w:ascii="微软雅黑" w:hAnsi="微软雅黑"/>
      <w:color w:val="000000"/>
      <w:sz w:val="24"/>
    </w:rPr>
  </w:style>
  <w:style w:type="character" w:customStyle="1" w:styleId="274">
    <w:name w:val="样式 微软雅黑 四号 黑色2"/>
    <w:basedOn w:val="44"/>
    <w:qFormat/>
    <w:uiPriority w:val="0"/>
    <w:rPr>
      <w:rFonts w:ascii="微软雅黑" w:hAnsi="微软雅黑"/>
      <w:color w:val="000000"/>
      <w:sz w:val="24"/>
    </w:rPr>
  </w:style>
  <w:style w:type="character" w:customStyle="1" w:styleId="275">
    <w:name w:val="样式 微软雅黑 四号 黑色3"/>
    <w:basedOn w:val="44"/>
    <w:qFormat/>
    <w:uiPriority w:val="0"/>
    <w:rPr>
      <w:rFonts w:ascii="微软雅黑" w:hAnsi="微软雅黑"/>
      <w:color w:val="000000"/>
      <w:sz w:val="24"/>
    </w:rPr>
  </w:style>
  <w:style w:type="character" w:customStyle="1" w:styleId="276">
    <w:name w:val="样式 微软雅黑 四号 红色"/>
    <w:basedOn w:val="44"/>
    <w:qFormat/>
    <w:uiPriority w:val="0"/>
    <w:rPr>
      <w:rFonts w:ascii="微软雅黑" w:hAnsi="微软雅黑"/>
      <w:color w:val="FF0000"/>
      <w:sz w:val="24"/>
    </w:rPr>
  </w:style>
  <w:style w:type="character" w:customStyle="1" w:styleId="277">
    <w:name w:val="样式 自动化方案正文 + 首行缩进:  2 字符 Char"/>
    <w:link w:val="251"/>
    <w:qFormat/>
    <w:uiPriority w:val="0"/>
    <w:rPr>
      <w:rFonts w:ascii="Calibri" w:hAnsi="Calibri" w:eastAsia="新宋体" w:cs="Times New Roman"/>
      <w:sz w:val="28"/>
      <w:szCs w:val="20"/>
    </w:rPr>
  </w:style>
  <w:style w:type="character" w:customStyle="1" w:styleId="278">
    <w:name w:val="我的插图 Char Char"/>
    <w:link w:val="252"/>
    <w:qFormat/>
    <w:uiPriority w:val="0"/>
    <w:rPr>
      <w:rFonts w:ascii="Times New Roman" w:hAnsi="Times New Roman" w:eastAsia="宋体" w:cs="Times New Roman"/>
      <w:b/>
      <w:kern w:val="0"/>
      <w:sz w:val="24"/>
      <w:szCs w:val="20"/>
    </w:rPr>
  </w:style>
  <w:style w:type="character" w:customStyle="1" w:styleId="279">
    <w:name w:val="样式 微软雅黑"/>
    <w:basedOn w:val="44"/>
    <w:qFormat/>
    <w:uiPriority w:val="0"/>
    <w:rPr>
      <w:rFonts w:ascii="微软雅黑" w:hAnsi="微软雅黑" w:eastAsia="微软雅黑"/>
      <w:sz w:val="24"/>
    </w:rPr>
  </w:style>
  <w:style w:type="character" w:customStyle="1" w:styleId="280">
    <w:name w:val="页码1"/>
    <w:basedOn w:val="44"/>
    <w:qFormat/>
    <w:uiPriority w:val="0"/>
  </w:style>
  <w:style w:type="character" w:customStyle="1" w:styleId="281">
    <w:name w:val="doc_title"/>
    <w:basedOn w:val="44"/>
    <w:qFormat/>
    <w:uiPriority w:val="0"/>
  </w:style>
  <w:style w:type="character" w:customStyle="1" w:styleId="282">
    <w:name w:val="正文文本缩进 Char1"/>
    <w:basedOn w:val="44"/>
    <w:semiHidden/>
    <w:qFormat/>
    <w:uiPriority w:val="99"/>
    <w:rPr>
      <w:kern w:val="2"/>
      <w:sz w:val="21"/>
      <w:szCs w:val="24"/>
    </w:rPr>
  </w:style>
  <w:style w:type="paragraph" w:customStyle="1" w:styleId="283">
    <w:name w:val="font9"/>
    <w:basedOn w:val="1"/>
    <w:qFormat/>
    <w:uiPriority w:val="0"/>
    <w:pPr>
      <w:widowControl/>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84">
    <w:name w:val="font8"/>
    <w:basedOn w:val="1"/>
    <w:qFormat/>
    <w:uiPriority w:val="0"/>
    <w:pPr>
      <w:widowControl/>
      <w:adjustRightIn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28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color w:val="FF0000"/>
      <w:kern w:val="0"/>
      <w:sz w:val="21"/>
      <w:szCs w:val="21"/>
    </w:rPr>
  </w:style>
  <w:style w:type="paragraph" w:customStyle="1" w:styleId="286">
    <w:name w:val="xl82"/>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287">
    <w:name w:val="xl80"/>
    <w:basedOn w:val="1"/>
    <w:qFormat/>
    <w:uiPriority w:val="0"/>
    <w:pPr>
      <w:widowControl/>
      <w:pBdr>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288">
    <w:name w:val="样式 (符号) 宋体 小四 行距: 1.5 倍行距"/>
    <w:basedOn w:val="1"/>
    <w:link w:val="289"/>
    <w:qFormat/>
    <w:uiPriority w:val="0"/>
    <w:pPr>
      <w:adjustRightInd/>
    </w:pPr>
    <w:rPr>
      <w:rFonts w:ascii="宋体" w:hAnsi="宋体"/>
      <w:szCs w:val="20"/>
    </w:rPr>
  </w:style>
  <w:style w:type="character" w:customStyle="1" w:styleId="289">
    <w:name w:val="样式 (符号) 宋体 小四 行距: 1.5 倍行距 Char"/>
    <w:link w:val="288"/>
    <w:qFormat/>
    <w:uiPriority w:val="0"/>
    <w:rPr>
      <w:rFonts w:ascii="宋体" w:hAnsi="宋体" w:eastAsia="宋体" w:cs="Times New Roman"/>
      <w:sz w:val="24"/>
      <w:szCs w:val="20"/>
    </w:rPr>
  </w:style>
  <w:style w:type="paragraph" w:customStyle="1" w:styleId="290">
    <w:name w:val="font6"/>
    <w:basedOn w:val="1"/>
    <w:qFormat/>
    <w:uiPriority w:val="0"/>
    <w:pPr>
      <w:widowControl/>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91">
    <w:name w:val="xl7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adjustRightInd/>
      <w:spacing w:before="100" w:beforeAutospacing="1" w:after="100" w:afterAutospacing="1" w:line="240" w:lineRule="auto"/>
      <w:ind w:firstLine="0" w:firstLineChars="0"/>
      <w:jc w:val="center"/>
    </w:pPr>
    <w:rPr>
      <w:color w:val="000000"/>
      <w:kern w:val="0"/>
      <w:sz w:val="21"/>
      <w:szCs w:val="21"/>
    </w:rPr>
  </w:style>
  <w:style w:type="paragraph" w:customStyle="1" w:styleId="29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line="240" w:lineRule="auto"/>
      <w:ind w:firstLine="0" w:firstLineChars="0"/>
      <w:jc w:val="center"/>
    </w:pPr>
    <w:rPr>
      <w:color w:val="000000"/>
      <w:kern w:val="0"/>
      <w:sz w:val="21"/>
      <w:szCs w:val="21"/>
    </w:rPr>
  </w:style>
  <w:style w:type="paragraph" w:customStyle="1" w:styleId="293">
    <w:name w:val="样式 样式 Times New Roman 小五 首行缩进:  0.85 厘米 行距: 1.5 倍行距 + 首行缩进:  2 字符"/>
    <w:basedOn w:val="1"/>
    <w:qFormat/>
    <w:uiPriority w:val="99"/>
    <w:pPr>
      <w:keepNext/>
      <w:snapToGrid w:val="0"/>
      <w:spacing w:before="100" w:beforeAutospacing="1"/>
      <w:outlineLvl w:val="4"/>
    </w:pPr>
    <w:rPr>
      <w:rFonts w:cs="宋体"/>
      <w:sz w:val="21"/>
      <w:szCs w:val="20"/>
    </w:rPr>
  </w:style>
  <w:style w:type="paragraph" w:customStyle="1" w:styleId="294">
    <w:name w:val="xl79"/>
    <w:basedOn w:val="1"/>
    <w:qFormat/>
    <w:uiPriority w:val="0"/>
    <w:pPr>
      <w:widowControl/>
      <w:pBdr>
        <w:left w:val="single" w:color="000000" w:sz="4" w:space="0"/>
        <w:bottom w:val="single" w:color="000000" w:sz="4" w:space="0"/>
        <w:right w:val="single" w:color="000000" w:sz="4" w:space="0"/>
      </w:pBdr>
      <w:shd w:val="clear" w:color="000000" w:fill="FFFFFF"/>
      <w:adjustRightInd/>
      <w:spacing w:before="100" w:beforeAutospacing="1" w:after="100" w:afterAutospacing="1" w:line="240" w:lineRule="auto"/>
      <w:ind w:firstLine="0" w:firstLineChars="0"/>
      <w:jc w:val="center"/>
    </w:pPr>
    <w:rPr>
      <w:color w:val="000000"/>
      <w:kern w:val="0"/>
      <w:sz w:val="21"/>
      <w:szCs w:val="21"/>
    </w:rPr>
  </w:style>
  <w:style w:type="paragraph" w:customStyle="1" w:styleId="295">
    <w:name w:val="xl76"/>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296">
    <w:name w:val="修订11"/>
    <w:semiHidden/>
    <w:qFormat/>
    <w:uiPriority w:val="99"/>
    <w:rPr>
      <w:rFonts w:ascii="Times New Roman" w:hAnsi="Times New Roman" w:eastAsia="宋体" w:cs="Times New Roman"/>
      <w:kern w:val="2"/>
      <w:sz w:val="21"/>
      <w:szCs w:val="24"/>
      <w:lang w:val="en-US" w:eastAsia="zh-CN" w:bidi="ar-SA"/>
    </w:rPr>
  </w:style>
  <w:style w:type="paragraph" w:customStyle="1" w:styleId="297">
    <w:name w:val="xl8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298">
    <w:name w:val="xl73"/>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299">
    <w:name w:val="xl78"/>
    <w:basedOn w:val="1"/>
    <w:qFormat/>
    <w:uiPriority w:val="0"/>
    <w:pPr>
      <w:widowControl/>
      <w:pBdr>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300">
    <w:name w:val="xl8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301">
    <w:name w:val="xl83"/>
    <w:basedOn w:val="1"/>
    <w:qFormat/>
    <w:uiPriority w:val="0"/>
    <w:pPr>
      <w:widowControl/>
      <w:pBdr>
        <w:bottom w:val="single" w:color="000000" w:sz="4" w:space="0"/>
        <w:right w:val="single" w:color="000000" w:sz="4" w:space="0"/>
      </w:pBdr>
      <w:shd w:val="clear" w:color="000000" w:fill="FFFFFF"/>
      <w:adjustRightInd/>
      <w:spacing w:before="100" w:beforeAutospacing="1" w:after="100" w:afterAutospacing="1" w:line="240" w:lineRule="auto"/>
      <w:ind w:firstLine="0" w:firstLineChars="0"/>
      <w:jc w:val="center"/>
    </w:pPr>
    <w:rPr>
      <w:color w:val="000000"/>
      <w:kern w:val="0"/>
      <w:sz w:val="21"/>
      <w:szCs w:val="21"/>
    </w:rPr>
  </w:style>
  <w:style w:type="paragraph" w:customStyle="1" w:styleId="302">
    <w:name w:val="font7"/>
    <w:basedOn w:val="1"/>
    <w:qFormat/>
    <w:uiPriority w:val="0"/>
    <w:pPr>
      <w:widowControl/>
      <w:adjustRightInd/>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03">
    <w:name w:val="font5"/>
    <w:basedOn w:val="1"/>
    <w:qFormat/>
    <w:uiPriority w:val="0"/>
    <w:pPr>
      <w:widowControl/>
      <w:adjustRightInd/>
      <w:spacing w:before="100" w:beforeAutospacing="1" w:after="100" w:afterAutospacing="1" w:line="240" w:lineRule="auto"/>
      <w:ind w:firstLine="0" w:firstLineChars="0"/>
      <w:jc w:val="left"/>
    </w:pPr>
    <w:rPr>
      <w:color w:val="000000"/>
      <w:kern w:val="0"/>
      <w:sz w:val="21"/>
      <w:szCs w:val="21"/>
    </w:rPr>
  </w:style>
  <w:style w:type="paragraph" w:customStyle="1" w:styleId="30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line="240" w:lineRule="auto"/>
      <w:ind w:firstLine="0" w:firstLineChars="0"/>
      <w:jc w:val="center"/>
    </w:pPr>
    <w:rPr>
      <w:rFonts w:ascii="宋体" w:hAnsi="宋体" w:cs="宋体"/>
      <w:color w:val="000000"/>
      <w:kern w:val="0"/>
      <w:sz w:val="21"/>
      <w:szCs w:val="21"/>
    </w:rPr>
  </w:style>
  <w:style w:type="paragraph" w:customStyle="1" w:styleId="305">
    <w:name w:val="font1"/>
    <w:basedOn w:val="1"/>
    <w:qFormat/>
    <w:uiPriority w:val="0"/>
    <w:pPr>
      <w:widowControl/>
      <w:adjustRightIn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306">
    <w:name w:val="xl7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color w:val="000000"/>
      <w:kern w:val="0"/>
      <w:sz w:val="21"/>
      <w:szCs w:val="21"/>
    </w:rPr>
  </w:style>
  <w:style w:type="paragraph" w:customStyle="1" w:styleId="307">
    <w:name w:val="图形标注"/>
    <w:basedOn w:val="12"/>
    <w:next w:val="12"/>
    <w:link w:val="308"/>
    <w:qFormat/>
    <w:uiPriority w:val="0"/>
    <w:pPr>
      <w:adjustRightInd/>
      <w:spacing w:line="500" w:lineRule="exact"/>
      <w:ind w:firstLine="0" w:firstLineChars="0"/>
      <w:jc w:val="center"/>
      <w:outlineLvl w:val="5"/>
    </w:pPr>
    <w:rPr>
      <w:rFonts w:ascii="宋体" w:hAnsi="宋体"/>
      <w:kern w:val="0"/>
      <w:sz w:val="28"/>
      <w:szCs w:val="24"/>
    </w:rPr>
  </w:style>
  <w:style w:type="character" w:customStyle="1" w:styleId="308">
    <w:name w:val="图形标注 Char2"/>
    <w:link w:val="307"/>
    <w:qFormat/>
    <w:uiPriority w:val="0"/>
    <w:rPr>
      <w:rFonts w:ascii="宋体" w:hAnsi="宋体" w:eastAsia="宋体" w:cs="Times New Roman"/>
      <w:kern w:val="0"/>
      <w:sz w:val="28"/>
      <w:szCs w:val="24"/>
    </w:rPr>
  </w:style>
  <w:style w:type="paragraph" w:customStyle="1" w:styleId="309">
    <w:name w:val="xl77"/>
    <w:basedOn w:val="1"/>
    <w:qFormat/>
    <w:uiPriority w:val="0"/>
    <w:pPr>
      <w:widowControl/>
      <w:pBdr>
        <w:top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31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line="240" w:lineRule="auto"/>
      <w:ind w:firstLine="0" w:firstLineChars="0"/>
      <w:jc w:val="center"/>
    </w:pPr>
    <w:rPr>
      <w:rFonts w:ascii="宋体" w:hAnsi="宋体" w:cs="宋体"/>
      <w:color w:val="000000"/>
      <w:kern w:val="0"/>
      <w:sz w:val="21"/>
      <w:szCs w:val="21"/>
    </w:rPr>
  </w:style>
  <w:style w:type="paragraph" w:customStyle="1" w:styleId="311">
    <w:name w:val="xl70"/>
    <w:basedOn w:val="1"/>
    <w:qFormat/>
    <w:uiPriority w:val="0"/>
    <w:pPr>
      <w:widowControl/>
      <w:adjustRightInd/>
      <w:spacing w:before="100" w:beforeAutospacing="1" w:after="100" w:afterAutospacing="1" w:line="240" w:lineRule="auto"/>
      <w:ind w:firstLine="0" w:firstLineChars="0"/>
      <w:jc w:val="center"/>
    </w:pPr>
    <w:rPr>
      <w:rFonts w:ascii="宋体" w:hAnsi="宋体" w:cs="宋体"/>
      <w:kern w:val="0"/>
      <w:szCs w:val="24"/>
    </w:rPr>
  </w:style>
  <w:style w:type="paragraph" w:customStyle="1" w:styleId="31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adjustRightInd/>
      <w:spacing w:before="100" w:beforeAutospacing="1" w:after="100" w:afterAutospacing="1" w:line="240" w:lineRule="auto"/>
      <w:ind w:firstLine="0" w:firstLineChars="0"/>
      <w:jc w:val="center"/>
    </w:pPr>
    <w:rPr>
      <w:color w:val="000000"/>
      <w:kern w:val="0"/>
      <w:sz w:val="21"/>
      <w:szCs w:val="21"/>
    </w:rPr>
  </w:style>
  <w:style w:type="paragraph" w:customStyle="1" w:styleId="313">
    <w:name w:val="xl81"/>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pPr>
    <w:rPr>
      <w:color w:val="000000"/>
      <w:kern w:val="0"/>
      <w:sz w:val="21"/>
      <w:szCs w:val="21"/>
    </w:rPr>
  </w:style>
  <w:style w:type="paragraph" w:customStyle="1" w:styleId="314">
    <w:name w:val="p17"/>
    <w:basedOn w:val="1"/>
    <w:qFormat/>
    <w:uiPriority w:val="0"/>
    <w:pPr>
      <w:widowControl/>
      <w:adjustRightInd/>
      <w:spacing w:line="240" w:lineRule="auto"/>
      <w:ind w:firstLine="435" w:firstLineChars="0"/>
    </w:pPr>
    <w:rPr>
      <w:kern w:val="0"/>
      <w:sz w:val="21"/>
      <w:szCs w:val="21"/>
    </w:rPr>
  </w:style>
  <w:style w:type="paragraph" w:customStyle="1" w:styleId="315">
    <w:name w:val="Char Char Char Char1"/>
    <w:basedOn w:val="1"/>
    <w:qFormat/>
    <w:uiPriority w:val="0"/>
    <w:pPr>
      <w:adjustRightInd/>
    </w:pPr>
    <w:rPr>
      <w:rFonts w:ascii="宋体" w:hAnsi="宋体" w:cs="宋体"/>
      <w:szCs w:val="24"/>
    </w:rPr>
  </w:style>
  <w:style w:type="paragraph" w:customStyle="1" w:styleId="316">
    <w:name w:val="font10"/>
    <w:basedOn w:val="1"/>
    <w:qFormat/>
    <w:uiPriority w:val="0"/>
    <w:pPr>
      <w:widowControl/>
      <w:adjustRightInd/>
      <w:spacing w:before="100" w:beforeAutospacing="1" w:after="100" w:afterAutospacing="1" w:line="240" w:lineRule="auto"/>
      <w:ind w:firstLine="0" w:firstLineChars="0"/>
      <w:jc w:val="left"/>
    </w:pPr>
    <w:rPr>
      <w:kern w:val="0"/>
      <w:sz w:val="20"/>
      <w:szCs w:val="20"/>
    </w:rPr>
  </w:style>
  <w:style w:type="paragraph" w:customStyle="1" w:styleId="317">
    <w:name w:val="xl63"/>
    <w:basedOn w:val="1"/>
    <w:qFormat/>
    <w:uiPriority w:val="0"/>
    <w:pPr>
      <w:widowControl/>
      <w:pBdr>
        <w:top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18">
    <w:name w:val="xl64"/>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19">
    <w:name w:val="xl65"/>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20">
    <w:name w:val="xl66"/>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textAlignment w:val="top"/>
    </w:pPr>
    <w:rPr>
      <w:kern w:val="0"/>
      <w:sz w:val="18"/>
      <w:szCs w:val="18"/>
    </w:rPr>
  </w:style>
  <w:style w:type="paragraph" w:customStyle="1" w:styleId="321">
    <w:name w:val="xl67"/>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322">
    <w:name w:val="xl68"/>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323">
    <w:name w:val="xl69"/>
    <w:basedOn w:val="1"/>
    <w:qFormat/>
    <w:uiPriority w:val="0"/>
    <w:pPr>
      <w:widowControl/>
      <w:pBdr>
        <w:bottom w:val="single" w:color="auto" w:sz="8" w:space="0"/>
        <w:right w:val="single" w:color="auto" w:sz="8" w:space="0"/>
      </w:pBdr>
      <w:shd w:val="clear" w:color="000000" w:fill="BFBFBF"/>
      <w:adjustRightInd/>
      <w:spacing w:before="100" w:beforeAutospacing="1" w:after="100" w:afterAutospacing="1" w:line="240" w:lineRule="auto"/>
      <w:ind w:firstLine="0" w:firstLineChars="0"/>
      <w:jc w:val="center"/>
      <w:textAlignment w:val="top"/>
    </w:pPr>
    <w:rPr>
      <w:kern w:val="0"/>
      <w:sz w:val="18"/>
      <w:szCs w:val="18"/>
    </w:rPr>
  </w:style>
  <w:style w:type="paragraph" w:customStyle="1" w:styleId="324">
    <w:name w:val="xl89"/>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left"/>
    </w:pPr>
    <w:rPr>
      <w:b/>
      <w:bCs/>
      <w:kern w:val="0"/>
      <w:sz w:val="18"/>
      <w:szCs w:val="18"/>
    </w:rPr>
  </w:style>
  <w:style w:type="paragraph" w:customStyle="1" w:styleId="325">
    <w:name w:val="xl90"/>
    <w:basedOn w:val="1"/>
    <w:qFormat/>
    <w:uiPriority w:val="0"/>
    <w:pPr>
      <w:widowControl/>
      <w:pBdr>
        <w:top w:val="single" w:color="auto" w:sz="8" w:space="0"/>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326">
    <w:name w:val="xl91"/>
    <w:basedOn w:val="1"/>
    <w:qFormat/>
    <w:uiPriority w:val="0"/>
    <w:pPr>
      <w:widowControl/>
      <w:pBdr>
        <w:top w:val="single" w:color="auto" w:sz="8" w:space="0"/>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27">
    <w:name w:val="xl9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28">
    <w:name w:val="xl93"/>
    <w:basedOn w:val="1"/>
    <w:qFormat/>
    <w:uiPriority w:val="0"/>
    <w:pPr>
      <w:widowControl/>
      <w:pBdr>
        <w:top w:val="single" w:color="auto" w:sz="8" w:space="0"/>
        <w:left w:val="single" w:color="auto" w:sz="8" w:space="0"/>
        <w:bottom w:val="single" w:color="auto" w:sz="8" w:space="0"/>
        <w:right w:val="single" w:color="auto" w:sz="8" w:space="0"/>
      </w:pBdr>
      <w:shd w:val="clear" w:color="000000" w:fill="FCD5B4"/>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29">
    <w:name w:val="xl94"/>
    <w:basedOn w:val="1"/>
    <w:qFormat/>
    <w:uiPriority w:val="0"/>
    <w:pPr>
      <w:widowControl/>
      <w:pBdr>
        <w:bottom w:val="single" w:color="auto" w:sz="8" w:space="0"/>
        <w:right w:val="single" w:color="auto" w:sz="8" w:space="0"/>
      </w:pBdr>
      <w:shd w:val="clear" w:color="000000" w:fill="FCD5B4"/>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30">
    <w:name w:val="xl95"/>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31">
    <w:name w:val="xl96"/>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332">
    <w:name w:val="xl97"/>
    <w:basedOn w:val="1"/>
    <w:qFormat/>
    <w:uiPriority w:val="0"/>
    <w:pPr>
      <w:widowControl/>
      <w:pBdr>
        <w:top w:val="single" w:color="auto" w:sz="8" w:space="0"/>
        <w:lef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33">
    <w:name w:val="xl98"/>
    <w:basedOn w:val="1"/>
    <w:qFormat/>
    <w:uiPriority w:val="0"/>
    <w:pPr>
      <w:widowControl/>
      <w:pBdr>
        <w:top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34">
    <w:name w:val="xl99"/>
    <w:basedOn w:val="1"/>
    <w:qFormat/>
    <w:uiPriority w:val="0"/>
    <w:pPr>
      <w:widowControl/>
      <w:pBdr>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35">
    <w:name w:val="xl100"/>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36">
    <w:name w:val="xl101"/>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337">
    <w:name w:val="xl102"/>
    <w:basedOn w:val="1"/>
    <w:qFormat/>
    <w:uiPriority w:val="0"/>
    <w:pPr>
      <w:widowControl/>
      <w:pBdr>
        <w:top w:val="single" w:color="auto" w:sz="8" w:space="0"/>
        <w:bottom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338">
    <w:name w:val="xl103"/>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339">
    <w:name w:val="xl104"/>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40">
    <w:name w:val="xl105"/>
    <w:basedOn w:val="1"/>
    <w:qFormat/>
    <w:uiPriority w:val="0"/>
    <w:pPr>
      <w:widowControl/>
      <w:pBdr>
        <w:top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41">
    <w:name w:val="xl106"/>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character" w:customStyle="1" w:styleId="342">
    <w:name w:val="正文文本 Char1"/>
    <w:basedOn w:val="44"/>
    <w:semiHidden/>
    <w:qFormat/>
    <w:uiPriority w:val="99"/>
    <w:rPr>
      <w:kern w:val="2"/>
      <w:sz w:val="21"/>
      <w:szCs w:val="24"/>
    </w:rPr>
  </w:style>
  <w:style w:type="character" w:customStyle="1" w:styleId="343">
    <w:name w:val="文档结构图 Char1"/>
    <w:basedOn w:val="44"/>
    <w:semiHidden/>
    <w:qFormat/>
    <w:uiPriority w:val="99"/>
    <w:rPr>
      <w:rFonts w:ascii="宋体"/>
      <w:kern w:val="2"/>
      <w:sz w:val="18"/>
      <w:szCs w:val="18"/>
    </w:rPr>
  </w:style>
  <w:style w:type="character" w:customStyle="1" w:styleId="344">
    <w:name w:val="批注文字 Char2"/>
    <w:basedOn w:val="44"/>
    <w:semiHidden/>
    <w:qFormat/>
    <w:uiPriority w:val="99"/>
    <w:rPr>
      <w:kern w:val="2"/>
      <w:sz w:val="21"/>
      <w:szCs w:val="24"/>
    </w:rPr>
  </w:style>
  <w:style w:type="character" w:customStyle="1" w:styleId="345">
    <w:name w:val="批注主题 Char1"/>
    <w:basedOn w:val="344"/>
    <w:semiHidden/>
    <w:qFormat/>
    <w:uiPriority w:val="99"/>
    <w:rPr>
      <w:b/>
      <w:bCs/>
      <w:kern w:val="2"/>
      <w:sz w:val="21"/>
      <w:szCs w:val="24"/>
    </w:rPr>
  </w:style>
  <w:style w:type="character" w:customStyle="1" w:styleId="346">
    <w:name w:val="标题 Char1"/>
    <w:basedOn w:val="44"/>
    <w:qFormat/>
    <w:uiPriority w:val="10"/>
    <w:rPr>
      <w:rFonts w:ascii="Cambria" w:hAnsi="Cambria" w:cs="黑体"/>
      <w:b/>
      <w:bCs/>
      <w:kern w:val="2"/>
      <w:sz w:val="32"/>
      <w:szCs w:val="32"/>
    </w:rPr>
  </w:style>
  <w:style w:type="character" w:customStyle="1" w:styleId="347">
    <w:name w:val="HTML 地址 Char1"/>
    <w:basedOn w:val="44"/>
    <w:semiHidden/>
    <w:qFormat/>
    <w:uiPriority w:val="99"/>
    <w:rPr>
      <w:i/>
      <w:iCs/>
      <w:kern w:val="2"/>
      <w:sz w:val="21"/>
      <w:szCs w:val="24"/>
    </w:rPr>
  </w:style>
  <w:style w:type="character" w:customStyle="1" w:styleId="348">
    <w:name w:val="纯文本 Char1"/>
    <w:basedOn w:val="44"/>
    <w:semiHidden/>
    <w:qFormat/>
    <w:uiPriority w:val="99"/>
    <w:rPr>
      <w:rFonts w:ascii="宋体" w:hAnsi="Courier New" w:cs="Courier New"/>
      <w:kern w:val="2"/>
      <w:sz w:val="21"/>
      <w:szCs w:val="21"/>
    </w:rPr>
  </w:style>
  <w:style w:type="character" w:customStyle="1" w:styleId="349">
    <w:name w:val="页脚 Char1"/>
    <w:basedOn w:val="44"/>
    <w:qFormat/>
    <w:uiPriority w:val="99"/>
    <w:rPr>
      <w:kern w:val="2"/>
      <w:sz w:val="18"/>
      <w:szCs w:val="18"/>
    </w:rPr>
  </w:style>
  <w:style w:type="character" w:customStyle="1" w:styleId="350">
    <w:name w:val="脚注文本 Char2"/>
    <w:basedOn w:val="44"/>
    <w:semiHidden/>
    <w:qFormat/>
    <w:uiPriority w:val="99"/>
    <w:rPr>
      <w:kern w:val="2"/>
      <w:sz w:val="18"/>
      <w:szCs w:val="18"/>
    </w:rPr>
  </w:style>
  <w:style w:type="character" w:customStyle="1" w:styleId="351">
    <w:name w:val="正文文本缩进 2 Char1"/>
    <w:basedOn w:val="44"/>
    <w:semiHidden/>
    <w:qFormat/>
    <w:uiPriority w:val="99"/>
    <w:rPr>
      <w:kern w:val="2"/>
      <w:sz w:val="21"/>
      <w:szCs w:val="24"/>
    </w:rPr>
  </w:style>
  <w:style w:type="character" w:customStyle="1" w:styleId="352">
    <w:name w:val="尾注文本 Char1"/>
    <w:basedOn w:val="44"/>
    <w:semiHidden/>
    <w:qFormat/>
    <w:uiPriority w:val="99"/>
    <w:rPr>
      <w:kern w:val="2"/>
      <w:sz w:val="21"/>
      <w:szCs w:val="24"/>
    </w:rPr>
  </w:style>
  <w:style w:type="character" w:customStyle="1" w:styleId="353">
    <w:name w:val="HTML 预设格式 Char1"/>
    <w:basedOn w:val="44"/>
    <w:semiHidden/>
    <w:qFormat/>
    <w:uiPriority w:val="99"/>
    <w:rPr>
      <w:rFonts w:ascii="Courier New" w:hAnsi="Courier New" w:cs="Courier New"/>
      <w:kern w:val="2"/>
    </w:rPr>
  </w:style>
  <w:style w:type="character" w:customStyle="1" w:styleId="354">
    <w:name w:val="页眉 Char1"/>
    <w:basedOn w:val="44"/>
    <w:qFormat/>
    <w:uiPriority w:val="99"/>
    <w:rPr>
      <w:kern w:val="2"/>
      <w:sz w:val="18"/>
      <w:szCs w:val="18"/>
    </w:rPr>
  </w:style>
  <w:style w:type="character" w:customStyle="1" w:styleId="355">
    <w:name w:val="批注框文本 Char2"/>
    <w:basedOn w:val="44"/>
    <w:semiHidden/>
    <w:qFormat/>
    <w:uiPriority w:val="99"/>
    <w:rPr>
      <w:kern w:val="2"/>
      <w:sz w:val="18"/>
      <w:szCs w:val="18"/>
    </w:rPr>
  </w:style>
  <w:style w:type="character" w:customStyle="1" w:styleId="356">
    <w:name w:val="日期 Char1"/>
    <w:basedOn w:val="44"/>
    <w:semiHidden/>
    <w:qFormat/>
    <w:uiPriority w:val="99"/>
    <w:rPr>
      <w:kern w:val="2"/>
      <w:sz w:val="21"/>
      <w:szCs w:val="24"/>
    </w:rPr>
  </w:style>
  <w:style w:type="character" w:customStyle="1" w:styleId="357">
    <w:name w:val="font41"/>
    <w:basedOn w:val="44"/>
    <w:qFormat/>
    <w:uiPriority w:val="0"/>
    <w:rPr>
      <w:rFonts w:hint="eastAsia" w:ascii="宋体" w:hAnsi="宋体" w:eastAsia="宋体"/>
      <w:color w:val="000000"/>
      <w:sz w:val="18"/>
      <w:szCs w:val="18"/>
      <w:u w:val="none"/>
    </w:rPr>
  </w:style>
  <w:style w:type="character" w:customStyle="1" w:styleId="358">
    <w:name w:val="font31"/>
    <w:basedOn w:val="44"/>
    <w:qFormat/>
    <w:uiPriority w:val="0"/>
    <w:rPr>
      <w:rFonts w:hint="default" w:ascii="Times New Roman" w:hAnsi="Times New Roman" w:cs="Times New Roman"/>
      <w:color w:val="000000"/>
      <w:sz w:val="18"/>
      <w:szCs w:val="18"/>
      <w:u w:val="none"/>
    </w:rPr>
  </w:style>
  <w:style w:type="character" w:customStyle="1" w:styleId="359">
    <w:name w:val="font01"/>
    <w:basedOn w:val="44"/>
    <w:qFormat/>
    <w:uiPriority w:val="0"/>
    <w:rPr>
      <w:rFonts w:hint="default" w:ascii="Times New Roman" w:hAnsi="Times New Roman" w:cs="Times New Roman"/>
      <w:color w:val="FF0000"/>
      <w:sz w:val="18"/>
      <w:szCs w:val="18"/>
      <w:u w:val="none"/>
    </w:rPr>
  </w:style>
  <w:style w:type="character" w:customStyle="1" w:styleId="360">
    <w:name w:val="font91"/>
    <w:basedOn w:val="44"/>
    <w:qFormat/>
    <w:uiPriority w:val="0"/>
    <w:rPr>
      <w:rFonts w:hint="eastAsia" w:ascii="宋体" w:hAnsi="宋体" w:eastAsia="宋体"/>
      <w:color w:val="FF0000"/>
      <w:sz w:val="18"/>
      <w:szCs w:val="18"/>
      <w:u w:val="none"/>
    </w:rPr>
  </w:style>
  <w:style w:type="character" w:customStyle="1" w:styleId="361">
    <w:name w:val="font101"/>
    <w:basedOn w:val="44"/>
    <w:qFormat/>
    <w:uiPriority w:val="0"/>
    <w:rPr>
      <w:rFonts w:hint="eastAsia" w:ascii="宋体" w:hAnsi="宋体" w:eastAsia="宋体"/>
      <w:color w:val="FF00FF"/>
      <w:sz w:val="18"/>
      <w:szCs w:val="18"/>
      <w:u w:val="none"/>
    </w:rPr>
  </w:style>
  <w:style w:type="character" w:customStyle="1" w:styleId="362">
    <w:name w:val="font51"/>
    <w:basedOn w:val="44"/>
    <w:qFormat/>
    <w:uiPriority w:val="0"/>
    <w:rPr>
      <w:rFonts w:hint="default" w:ascii="Times New Roman" w:hAnsi="Times New Roman" w:cs="Times New Roman"/>
      <w:color w:val="FF0000"/>
      <w:sz w:val="18"/>
      <w:szCs w:val="18"/>
      <w:u w:val="none"/>
    </w:rPr>
  </w:style>
  <w:style w:type="character" w:customStyle="1" w:styleId="363">
    <w:name w:val="font21"/>
    <w:basedOn w:val="44"/>
    <w:qFormat/>
    <w:uiPriority w:val="0"/>
    <w:rPr>
      <w:rFonts w:hint="eastAsia" w:ascii="宋体" w:hAnsi="宋体" w:eastAsia="宋体" w:cs="宋体"/>
      <w:color w:val="000000"/>
      <w:sz w:val="18"/>
      <w:szCs w:val="18"/>
      <w:u w:val="none"/>
    </w:rPr>
  </w:style>
  <w:style w:type="character" w:customStyle="1" w:styleId="364">
    <w:name w:val="font11"/>
    <w:basedOn w:val="44"/>
    <w:qFormat/>
    <w:uiPriority w:val="0"/>
    <w:rPr>
      <w:rFonts w:hint="eastAsia" w:ascii="微软雅黑" w:hAnsi="微软雅黑" w:eastAsia="微软雅黑" w:cs="微软雅黑"/>
      <w:color w:val="000000"/>
      <w:sz w:val="18"/>
      <w:szCs w:val="18"/>
      <w:u w:val="none"/>
    </w:rPr>
  </w:style>
  <w:style w:type="character" w:customStyle="1" w:styleId="365">
    <w:name w:val="font61"/>
    <w:basedOn w:val="44"/>
    <w:qFormat/>
    <w:uiPriority w:val="0"/>
    <w:rPr>
      <w:rFonts w:hint="default" w:ascii="Times New Roman" w:hAnsi="Times New Roman" w:cs="Times New Roman"/>
      <w:color w:val="000000"/>
      <w:sz w:val="18"/>
      <w:szCs w:val="18"/>
      <w:u w:val="none"/>
    </w:rPr>
  </w:style>
  <w:style w:type="paragraph" w:customStyle="1" w:styleId="366">
    <w:name w:val="font12"/>
    <w:basedOn w:val="1"/>
    <w:qFormat/>
    <w:uiPriority w:val="0"/>
    <w:pPr>
      <w:widowControl/>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6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FFFF" w:fill="00FF00"/>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6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FFFF" w:fill="00FF00"/>
      <w:adjustRightInd/>
      <w:spacing w:before="100" w:beforeAutospacing="1" w:after="100" w:afterAutospacing="1" w:line="240" w:lineRule="auto"/>
      <w:ind w:firstLine="0" w:firstLineChars="0"/>
      <w:jc w:val="center"/>
    </w:pPr>
    <w:rPr>
      <w:kern w:val="0"/>
      <w:sz w:val="18"/>
      <w:szCs w:val="18"/>
    </w:rPr>
  </w:style>
  <w:style w:type="paragraph" w:customStyle="1" w:styleId="369">
    <w:name w:val="xl10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70">
    <w:name w:val="xl11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371">
    <w:name w:val="xl11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372">
    <w:name w:val="xl11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73">
    <w:name w:val="xl113"/>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74">
    <w:name w:val="xl114"/>
    <w:basedOn w:val="1"/>
    <w:qFormat/>
    <w:uiPriority w:val="0"/>
    <w:pPr>
      <w:widowControl/>
      <w:pBdr>
        <w:top w:val="single" w:color="auto" w:sz="4" w:space="0"/>
        <w:bottom w:val="single" w:color="auto" w:sz="4" w:space="0"/>
      </w:pBdr>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75">
    <w:name w:val="xl115"/>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76">
    <w:name w:val="Char Char Char Char Char Char Char"/>
    <w:basedOn w:val="1"/>
    <w:qFormat/>
    <w:uiPriority w:val="0"/>
    <w:pPr>
      <w:adjustRightInd/>
      <w:spacing w:line="240" w:lineRule="auto"/>
      <w:ind w:firstLine="0" w:firstLineChars="0"/>
    </w:pPr>
    <w:rPr>
      <w:sz w:val="21"/>
      <w:szCs w:val="24"/>
    </w:rPr>
  </w:style>
  <w:style w:type="paragraph" w:customStyle="1" w:styleId="377">
    <w:name w:val="标题 11"/>
    <w:basedOn w:val="1"/>
    <w:next w:val="1"/>
    <w:qFormat/>
    <w:uiPriority w:val="0"/>
    <w:pPr>
      <w:keepNext/>
      <w:keepLines/>
      <w:pageBreakBefore/>
      <w:overflowPunct w:val="0"/>
      <w:adjustRightInd/>
      <w:spacing w:before="50" w:beforeLines="50" w:after="120"/>
      <w:ind w:left="210" w:right="210" w:firstLine="0" w:firstLineChars="0"/>
      <w:jc w:val="center"/>
      <w:outlineLvl w:val="0"/>
    </w:pPr>
    <w:rPr>
      <w:rFonts w:ascii="黑体" w:eastAsia="黑体"/>
      <w:b/>
      <w:bCs/>
      <w:kern w:val="44"/>
      <w:sz w:val="36"/>
      <w:szCs w:val="36"/>
    </w:rPr>
  </w:style>
  <w:style w:type="paragraph" w:customStyle="1" w:styleId="378">
    <w:name w:val="1 SRC"/>
    <w:link w:val="379"/>
    <w:qFormat/>
    <w:uiPriority w:val="0"/>
    <w:pPr>
      <w:widowControl w:val="0"/>
      <w:spacing w:beforeLines="50" w:line="360" w:lineRule="auto"/>
      <w:ind w:firstLine="200" w:firstLineChars="200"/>
      <w:jc w:val="both"/>
    </w:pPr>
    <w:rPr>
      <w:rFonts w:ascii="Times New Roman" w:hAnsi="Times New Roman" w:eastAsia="宋体" w:cs="Times New Roman"/>
      <w:sz w:val="24"/>
      <w:lang w:val="en-US" w:eastAsia="zh-CN" w:bidi="ar-SA"/>
    </w:rPr>
  </w:style>
  <w:style w:type="character" w:customStyle="1" w:styleId="379">
    <w:name w:val="1 SRC Char"/>
    <w:link w:val="378"/>
    <w:qFormat/>
    <w:uiPriority w:val="0"/>
    <w:rPr>
      <w:rFonts w:ascii="Times New Roman" w:hAnsi="Times New Roman" w:eastAsia="宋体" w:cs="Times New Roman"/>
      <w:kern w:val="0"/>
      <w:sz w:val="24"/>
      <w:szCs w:val="20"/>
    </w:rPr>
  </w:style>
  <w:style w:type="paragraph" w:customStyle="1" w:styleId="380">
    <w:name w:val="标题 31"/>
    <w:basedOn w:val="3"/>
    <w:next w:val="1"/>
    <w:qFormat/>
    <w:uiPriority w:val="0"/>
    <w:pPr>
      <w:numPr>
        <w:ilvl w:val="0"/>
        <w:numId w:val="0"/>
      </w:numPr>
      <w:tabs>
        <w:tab w:val="left" w:pos="1620"/>
      </w:tabs>
      <w:overflowPunct w:val="0"/>
      <w:adjustRightInd/>
      <w:spacing w:before="156" w:beforeLines="50" w:after="0" w:afterLines="50" w:line="360" w:lineRule="auto"/>
      <w:outlineLvl w:val="2"/>
    </w:pPr>
    <w:rPr>
      <w:rFonts w:ascii="Times New Roman" w:hAnsi="Times New Roman" w:eastAsia="黑体" w:cs="Times New Roman"/>
      <w:kern w:val="0"/>
      <w:sz w:val="28"/>
      <w:szCs w:val="30"/>
    </w:rPr>
  </w:style>
  <w:style w:type="paragraph" w:customStyle="1" w:styleId="381">
    <w:name w:val="正文（首行缩进）"/>
    <w:basedOn w:val="1"/>
    <w:qFormat/>
    <w:uiPriority w:val="0"/>
    <w:pPr>
      <w:overflowPunct w:val="0"/>
      <w:adjustRightInd/>
      <w:spacing w:before="50" w:beforeLines="50"/>
    </w:pPr>
    <w:rPr>
      <w:bCs/>
      <w:kern w:val="0"/>
      <w:szCs w:val="24"/>
    </w:rPr>
  </w:style>
  <w:style w:type="paragraph" w:customStyle="1" w:styleId="382">
    <w:name w:val="font13"/>
    <w:basedOn w:val="1"/>
    <w:qFormat/>
    <w:uiPriority w:val="0"/>
    <w:pPr>
      <w:widowControl/>
      <w:adjustRightInd/>
      <w:spacing w:before="100" w:beforeAutospacing="1" w:after="100" w:afterAutospacing="1" w:line="240" w:lineRule="auto"/>
      <w:ind w:firstLine="0" w:firstLineChars="0"/>
      <w:jc w:val="left"/>
    </w:pPr>
    <w:rPr>
      <w:b/>
      <w:bCs/>
      <w:color w:val="000000"/>
      <w:kern w:val="0"/>
      <w:sz w:val="18"/>
      <w:szCs w:val="18"/>
    </w:rPr>
  </w:style>
  <w:style w:type="paragraph" w:customStyle="1" w:styleId="383">
    <w:name w:val="Char2"/>
    <w:basedOn w:val="1"/>
    <w:qFormat/>
    <w:uiPriority w:val="0"/>
    <w:pPr>
      <w:adjustRightInd/>
      <w:spacing w:line="240" w:lineRule="auto"/>
      <w:ind w:firstLine="0" w:firstLineChars="0"/>
    </w:pPr>
    <w:rPr>
      <w:sz w:val="21"/>
      <w:szCs w:val="20"/>
    </w:rPr>
  </w:style>
  <w:style w:type="paragraph" w:customStyle="1" w:styleId="384">
    <w:name w:val="xl17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85">
    <w:name w:val="xl173"/>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386">
    <w:name w:val="xl174"/>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387">
    <w:name w:val="xl175"/>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388">
    <w:name w:val="xl176"/>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89">
    <w:name w:val="xl177"/>
    <w:basedOn w:val="1"/>
    <w:qFormat/>
    <w:uiPriority w:val="0"/>
    <w:pPr>
      <w:widowControl/>
      <w:pBdr>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390">
    <w:name w:val="xl178"/>
    <w:basedOn w:val="1"/>
    <w:qFormat/>
    <w:uiPriority w:val="0"/>
    <w:pPr>
      <w:widowControl/>
      <w:pBdr>
        <w:right w:val="single" w:color="auto" w:sz="8" w:space="0"/>
      </w:pBdr>
      <w:adjustRightIn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91">
    <w:name w:val="xl179"/>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392">
    <w:name w:val="xl180"/>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b/>
      <w:bCs/>
      <w:color w:val="000000"/>
      <w:kern w:val="0"/>
      <w:sz w:val="18"/>
      <w:szCs w:val="18"/>
    </w:rPr>
  </w:style>
  <w:style w:type="paragraph" w:customStyle="1" w:styleId="393">
    <w:name w:val="xl181"/>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94">
    <w:name w:val="xl182"/>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95">
    <w:name w:val="xl183"/>
    <w:basedOn w:val="1"/>
    <w:qFormat/>
    <w:uiPriority w:val="0"/>
    <w:pPr>
      <w:widowControl/>
      <w:pBdr>
        <w:top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96">
    <w:name w:val="xl184"/>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97">
    <w:name w:val="xl185"/>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398">
    <w:name w:val="xl186"/>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399">
    <w:name w:val="xl187"/>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00">
    <w:name w:val="xl188"/>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01">
    <w:name w:val="xl189"/>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02">
    <w:name w:val="xl190"/>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403">
    <w:name w:val="xl191"/>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404">
    <w:name w:val="xl192"/>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05">
    <w:name w:val="xl19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06">
    <w:name w:val="xl241"/>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07">
    <w:name w:val="xl24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08">
    <w:name w:val="xl243"/>
    <w:basedOn w:val="1"/>
    <w:qFormat/>
    <w:uiPriority w:val="0"/>
    <w:pPr>
      <w:widowControl/>
      <w:pBdr>
        <w:top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09">
    <w:name w:val="xl244"/>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10">
    <w:name w:val="xl245"/>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11">
    <w:name w:val="xl246"/>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12">
    <w:name w:val="xl247"/>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13">
    <w:name w:val="xl248"/>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14">
    <w:name w:val="xl249"/>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15">
    <w:name w:val="xl250"/>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16">
    <w:name w:val="xl251"/>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b/>
      <w:bCs/>
      <w:color w:val="000000"/>
      <w:kern w:val="0"/>
      <w:sz w:val="18"/>
      <w:szCs w:val="18"/>
    </w:rPr>
  </w:style>
  <w:style w:type="paragraph" w:customStyle="1" w:styleId="417">
    <w:name w:val="xl25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18">
    <w:name w:val="xl253"/>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19">
    <w:name w:val="xl254"/>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20">
    <w:name w:val="xl255"/>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21">
    <w:name w:val="xl256"/>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22">
    <w:name w:val="xl257"/>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23">
    <w:name w:val="xl258"/>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24">
    <w:name w:val="xl259"/>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b/>
      <w:bCs/>
      <w:kern w:val="0"/>
      <w:sz w:val="18"/>
      <w:szCs w:val="18"/>
    </w:rPr>
  </w:style>
  <w:style w:type="paragraph" w:customStyle="1" w:styleId="425">
    <w:name w:val="xl260"/>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b/>
      <w:bCs/>
      <w:kern w:val="0"/>
      <w:sz w:val="18"/>
      <w:szCs w:val="18"/>
    </w:rPr>
  </w:style>
  <w:style w:type="paragraph" w:customStyle="1" w:styleId="426">
    <w:name w:val="xl261"/>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27">
    <w:name w:val="xl262"/>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28">
    <w:name w:val="xl263"/>
    <w:basedOn w:val="1"/>
    <w:qFormat/>
    <w:uiPriority w:val="0"/>
    <w:pPr>
      <w:widowControl/>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29">
    <w:name w:val="xl264"/>
    <w:basedOn w:val="1"/>
    <w:qFormat/>
    <w:uiPriority w:val="0"/>
    <w:pPr>
      <w:widowControl/>
      <w:pBdr>
        <w:top w:val="single" w:color="auto" w:sz="8" w:space="0"/>
        <w:lef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0">
    <w:name w:val="xl265"/>
    <w:basedOn w:val="1"/>
    <w:qFormat/>
    <w:uiPriority w:val="0"/>
    <w:pPr>
      <w:widowControl/>
      <w:pBdr>
        <w:top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1">
    <w:name w:val="xl266"/>
    <w:basedOn w:val="1"/>
    <w:qFormat/>
    <w:uiPriority w:val="0"/>
    <w:pPr>
      <w:widowControl/>
      <w:pBdr>
        <w:top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2">
    <w:name w:val="xl267"/>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3">
    <w:name w:val="xl268"/>
    <w:basedOn w:val="1"/>
    <w:qFormat/>
    <w:uiPriority w:val="0"/>
    <w:pPr>
      <w:widowControl/>
      <w:pBdr>
        <w:top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4">
    <w:name w:val="xl269"/>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35">
    <w:name w:val="xl270"/>
    <w:basedOn w:val="1"/>
    <w:qFormat/>
    <w:uiPriority w:val="0"/>
    <w:pPr>
      <w:widowControl/>
      <w:pBdr>
        <w:right w:val="single" w:color="auto" w:sz="8" w:space="0"/>
      </w:pBdr>
      <w:adjustRightInd/>
      <w:spacing w:before="100" w:beforeAutospacing="1" w:after="100" w:afterAutospacing="1" w:line="240" w:lineRule="auto"/>
      <w:ind w:firstLine="0" w:firstLineChars="0"/>
      <w:jc w:val="center"/>
    </w:pPr>
    <w:rPr>
      <w:rFonts w:ascii="宋体" w:hAnsi="宋体" w:cs="宋体"/>
      <w:kern w:val="0"/>
      <w:szCs w:val="24"/>
    </w:rPr>
  </w:style>
  <w:style w:type="paragraph" w:customStyle="1" w:styleId="436">
    <w:name w:val="xl271"/>
    <w:basedOn w:val="1"/>
    <w:qFormat/>
    <w:uiPriority w:val="0"/>
    <w:pPr>
      <w:widowControl/>
      <w:pBdr>
        <w:top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Cs w:val="24"/>
    </w:rPr>
  </w:style>
  <w:style w:type="paragraph" w:customStyle="1" w:styleId="437">
    <w:name w:val="xl272"/>
    <w:basedOn w:val="1"/>
    <w:qFormat/>
    <w:uiPriority w:val="0"/>
    <w:pPr>
      <w:widowControl/>
      <w:pBdr>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38">
    <w:name w:val="xl273"/>
    <w:basedOn w:val="1"/>
    <w:qFormat/>
    <w:uiPriority w:val="0"/>
    <w:pPr>
      <w:widowControl/>
      <w:pBdr>
        <w:right w:val="single" w:color="auto" w:sz="8" w:space="0"/>
      </w:pBdr>
      <w:adjustRightInd/>
      <w:spacing w:before="100" w:beforeAutospacing="1" w:after="100" w:afterAutospacing="1" w:line="240" w:lineRule="auto"/>
      <w:ind w:firstLine="0" w:firstLineChars="0"/>
      <w:jc w:val="center"/>
    </w:pPr>
    <w:rPr>
      <w:rFonts w:ascii="宋体" w:hAnsi="宋体" w:cs="宋体"/>
      <w:kern w:val="0"/>
      <w:szCs w:val="24"/>
    </w:rPr>
  </w:style>
  <w:style w:type="paragraph" w:customStyle="1" w:styleId="439">
    <w:name w:val="xl274"/>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0">
    <w:name w:val="xl275"/>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1">
    <w:name w:val="xl276"/>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2">
    <w:name w:val="xl277"/>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3">
    <w:name w:val="xl278"/>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4">
    <w:name w:val="xl279"/>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45">
    <w:name w:val="xl280"/>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46">
    <w:name w:val="xl281"/>
    <w:basedOn w:val="1"/>
    <w:qFormat/>
    <w:uiPriority w:val="0"/>
    <w:pPr>
      <w:widowControl/>
      <w:pBdr>
        <w:top w:val="single" w:color="auto" w:sz="8" w:space="0"/>
        <w:left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47">
    <w:name w:val="xl28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48">
    <w:name w:val="xl283"/>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49">
    <w:name w:val="xl284"/>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50">
    <w:name w:val="xl285"/>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51">
    <w:name w:val="xl286"/>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52">
    <w:name w:val="xl287"/>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53">
    <w:name w:val="xl288"/>
    <w:basedOn w:val="1"/>
    <w:qFormat/>
    <w:uiPriority w:val="0"/>
    <w:pPr>
      <w:widowControl/>
      <w:pBdr>
        <w:top w:val="single" w:color="auto" w:sz="8" w:space="0"/>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54">
    <w:name w:val="xl161"/>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55">
    <w:name w:val="xl162"/>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56">
    <w:name w:val="xl163"/>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57">
    <w:name w:val="xl164"/>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8">
    <w:name w:val="xl165"/>
    <w:basedOn w:val="1"/>
    <w:qFormat/>
    <w:uiPriority w:val="0"/>
    <w:pPr>
      <w:widowControl/>
      <w:pBdr>
        <w:left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459">
    <w:name w:val="xl166"/>
    <w:basedOn w:val="1"/>
    <w:qFormat/>
    <w:uiPriority w:val="0"/>
    <w:pPr>
      <w:widowControl/>
      <w:pBdr>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left"/>
    </w:pPr>
    <w:rPr>
      <w:rFonts w:ascii="宋体" w:hAnsi="宋体" w:cs="宋体"/>
      <w:kern w:val="0"/>
      <w:szCs w:val="24"/>
    </w:rPr>
  </w:style>
  <w:style w:type="paragraph" w:customStyle="1" w:styleId="460">
    <w:name w:val="xl167"/>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61">
    <w:name w:val="xl168"/>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62">
    <w:name w:val="xl169"/>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color w:val="000000"/>
      <w:kern w:val="0"/>
      <w:sz w:val="18"/>
      <w:szCs w:val="18"/>
    </w:rPr>
  </w:style>
  <w:style w:type="paragraph" w:customStyle="1" w:styleId="463">
    <w:name w:val="xl170"/>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464">
    <w:name w:val="xl171"/>
    <w:basedOn w:val="1"/>
    <w:qFormat/>
    <w:uiPriority w:val="0"/>
    <w:pPr>
      <w:widowControl/>
      <w:pBdr>
        <w:bottom w:val="single" w:color="auto" w:sz="8" w:space="0"/>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65">
    <w:name w:val="xl194"/>
    <w:basedOn w:val="1"/>
    <w:qFormat/>
    <w:uiPriority w:val="0"/>
    <w:pPr>
      <w:widowControl/>
      <w:pBdr>
        <w:top w:val="single" w:color="auto" w:sz="8" w:space="0"/>
        <w:left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66">
    <w:name w:val="xl195"/>
    <w:basedOn w:val="1"/>
    <w:qFormat/>
    <w:uiPriority w:val="0"/>
    <w:pPr>
      <w:widowControl/>
      <w:pBdr>
        <w:top w:val="single" w:color="auto" w:sz="8" w:space="0"/>
        <w:bottom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67">
    <w:name w:val="xl196"/>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468">
    <w:name w:val="xl197"/>
    <w:basedOn w:val="1"/>
    <w:qFormat/>
    <w:uiPriority w:val="0"/>
    <w:pPr>
      <w:widowControl/>
      <w:pBdr>
        <w:bottom w:val="single" w:color="auto" w:sz="8" w:space="0"/>
        <w:right w:val="single" w:color="auto" w:sz="8" w:space="0"/>
      </w:pBdr>
      <w:shd w:val="clear" w:color="000000" w:fill="FFFF00"/>
      <w:adjustRightInd/>
      <w:spacing w:before="100" w:beforeAutospacing="1" w:after="100" w:afterAutospacing="1" w:line="240" w:lineRule="auto"/>
      <w:ind w:firstLine="0" w:firstLineChars="0"/>
      <w:jc w:val="center"/>
    </w:pPr>
    <w:rPr>
      <w:color w:val="000000"/>
      <w:kern w:val="0"/>
      <w:sz w:val="18"/>
      <w:szCs w:val="18"/>
    </w:rPr>
  </w:style>
  <w:style w:type="paragraph" w:customStyle="1" w:styleId="469">
    <w:name w:val="xl198"/>
    <w:basedOn w:val="1"/>
    <w:qFormat/>
    <w:uiPriority w:val="0"/>
    <w:pPr>
      <w:widowControl/>
      <w:pBdr>
        <w:bottom w:val="single" w:color="auto" w:sz="8" w:space="0"/>
        <w:right w:val="single" w:color="auto" w:sz="8" w:space="0"/>
      </w:pBdr>
      <w:shd w:val="clear" w:color="000000" w:fill="FFFF00"/>
      <w:adjustRightInd/>
      <w:spacing w:before="100" w:beforeAutospacing="1" w:after="100" w:afterAutospacing="1" w:line="240" w:lineRule="auto"/>
      <w:ind w:firstLine="0" w:firstLineChars="0"/>
      <w:jc w:val="center"/>
    </w:pPr>
    <w:rPr>
      <w:kern w:val="0"/>
      <w:sz w:val="18"/>
      <w:szCs w:val="18"/>
    </w:rPr>
  </w:style>
  <w:style w:type="paragraph" w:customStyle="1" w:styleId="470">
    <w:name w:val="xl199"/>
    <w:basedOn w:val="1"/>
    <w:qFormat/>
    <w:uiPriority w:val="0"/>
    <w:pPr>
      <w:widowControl/>
      <w:pBdr>
        <w:bottom w:val="single" w:color="auto" w:sz="8" w:space="0"/>
        <w:right w:val="single" w:color="auto" w:sz="8" w:space="0"/>
      </w:pBdr>
      <w:shd w:val="clear" w:color="000000" w:fill="FFFF00"/>
      <w:adjustRightInd/>
      <w:spacing w:before="100" w:beforeAutospacing="1" w:after="100" w:afterAutospacing="1" w:line="240" w:lineRule="auto"/>
      <w:ind w:firstLine="0" w:firstLineChars="0"/>
      <w:jc w:val="center"/>
    </w:pPr>
    <w:rPr>
      <w:kern w:val="0"/>
      <w:sz w:val="18"/>
      <w:szCs w:val="18"/>
    </w:rPr>
  </w:style>
  <w:style w:type="paragraph" w:customStyle="1" w:styleId="471">
    <w:name w:val="xl200"/>
    <w:basedOn w:val="1"/>
    <w:qFormat/>
    <w:uiPriority w:val="0"/>
    <w:pPr>
      <w:widowControl/>
      <w:pBdr>
        <w:right w:val="single" w:color="auto" w:sz="8" w:space="0"/>
      </w:pBdr>
      <w:adjustRightInd/>
      <w:spacing w:before="100" w:beforeAutospacing="1" w:after="100" w:afterAutospacing="1" w:line="240" w:lineRule="auto"/>
      <w:ind w:firstLine="0" w:firstLineChars="0"/>
      <w:jc w:val="center"/>
    </w:pPr>
    <w:rPr>
      <w:kern w:val="0"/>
      <w:sz w:val="18"/>
      <w:szCs w:val="18"/>
    </w:rPr>
  </w:style>
  <w:style w:type="paragraph" w:customStyle="1" w:styleId="472">
    <w:name w:val="正文 A"/>
    <w:qFormat/>
    <w:uiPriority w:val="0"/>
    <w:pPr>
      <w:widowControl w:val="0"/>
      <w:jc w:val="both"/>
    </w:pPr>
    <w:rPr>
      <w:rFonts w:ascii="Calibri" w:hAnsi="Calibri" w:eastAsia="ヒラギノ角ゴ Pro W3" w:cs="Times New Roman"/>
      <w:color w:val="000000"/>
      <w:kern w:val="2"/>
      <w:sz w:val="21"/>
      <w:lang w:val="en-US" w:eastAsia="zh-CN" w:bidi="ar-SA"/>
    </w:rPr>
  </w:style>
  <w:style w:type="character" w:customStyle="1" w:styleId="473">
    <w:name w:val="图名 Char"/>
    <w:basedOn w:val="44"/>
    <w:link w:val="94"/>
    <w:qFormat/>
    <w:uiPriority w:val="0"/>
    <w:rPr>
      <w:rFonts w:ascii="Times New Roman" w:hAnsi="Times New Roman" w:eastAsia="宋体"/>
      <w:kern w:val="2"/>
      <w:sz w:val="21"/>
      <w:szCs w:val="21"/>
    </w:rPr>
  </w:style>
  <w:style w:type="table" w:customStyle="1" w:styleId="474">
    <w:name w:val="表格全框"/>
    <w:basedOn w:val="42"/>
    <w:qFormat/>
    <w:uiPriority w:val="99"/>
    <w:pPr>
      <w:jc w:val="center"/>
    </w:p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left w:w="28" w:type="dxa"/>
        <w:right w:w="28" w:type="dxa"/>
      </w:tblCellMar>
    </w:tblPr>
    <w:tcPr>
      <w:vAlign w:val="center"/>
    </w:tcPr>
  </w:style>
  <w:style w:type="paragraph" w:customStyle="1" w:styleId="475">
    <w:name w:val="注"/>
    <w:basedOn w:val="1"/>
    <w:qFormat/>
    <w:uiPriority w:val="0"/>
    <w:pPr>
      <w:snapToGrid w:val="0"/>
      <w:spacing w:line="240" w:lineRule="auto"/>
    </w:pPr>
    <w:rPr>
      <w:sz w:val="18"/>
      <w:szCs w:val="20"/>
    </w:rPr>
  </w:style>
  <w:style w:type="paragraph" w:customStyle="1" w:styleId="476">
    <w:name w:val="样式 p0 + 仿宋_GB2312 (符号) 宋体 四号"/>
    <w:basedOn w:val="218"/>
    <w:qFormat/>
    <w:uiPriority w:val="0"/>
    <w:pPr>
      <w:ind w:firstLine="200" w:firstLineChars="200"/>
    </w:pPr>
    <w:rPr>
      <w:rFonts w:ascii="仿宋_GB2312" w:hAnsi="仿宋_GB2312" w:eastAsia="仿宋_GB2312"/>
      <w:sz w:val="32"/>
    </w:rPr>
  </w:style>
  <w:style w:type="paragraph" w:customStyle="1" w:styleId="477">
    <w:name w:val="样式 标题 1 + 黑体 三号 加粗"/>
    <w:basedOn w:val="2"/>
    <w:qFormat/>
    <w:uiPriority w:val="0"/>
    <w:pPr>
      <w:pageBreakBefore w:val="0"/>
      <w:tabs>
        <w:tab w:val="left" w:pos="567"/>
      </w:tabs>
      <w:adjustRightInd/>
      <w:spacing w:before="120" w:after="120" w:line="360" w:lineRule="auto"/>
      <w:ind w:left="567" w:hanging="425"/>
    </w:pPr>
    <w:rPr>
      <w:rFonts w:ascii="黑体" w:hAnsi="黑体" w:eastAsia="黑体"/>
      <w:b w:val="0"/>
      <w:bCs w:val="0"/>
      <w:kern w:val="2"/>
      <w:sz w:val="32"/>
      <w:szCs w:val="20"/>
    </w:rPr>
  </w:style>
  <w:style w:type="paragraph" w:customStyle="1" w:styleId="478">
    <w:name w:val="段落0"/>
    <w:basedOn w:val="38"/>
    <w:link w:val="479"/>
    <w:qFormat/>
    <w:uiPriority w:val="0"/>
    <w:pPr>
      <w:snapToGrid w:val="0"/>
      <w:spacing w:before="0" w:beforeAutospacing="0" w:after="0" w:afterAutospacing="0" w:line="360" w:lineRule="auto"/>
      <w:ind w:firstLine="200" w:firstLineChars="200"/>
    </w:pPr>
    <w:rPr>
      <w:rFonts w:ascii="华文细黑" w:hAnsi="华文细黑" w:eastAsia="华文细黑" w:cs="Times New Roman"/>
      <w:bCs/>
      <w:color w:val="000000"/>
      <w:lang w:val="zh-CN"/>
    </w:rPr>
  </w:style>
  <w:style w:type="character" w:customStyle="1" w:styleId="479">
    <w:name w:val="段落0 Char"/>
    <w:link w:val="478"/>
    <w:qFormat/>
    <w:uiPriority w:val="0"/>
    <w:rPr>
      <w:rFonts w:ascii="华文细黑" w:hAnsi="华文细黑" w:eastAsia="华文细黑" w:cs="Times New Roman"/>
      <w:bCs/>
      <w:color w:val="000000"/>
      <w:kern w:val="0"/>
      <w:sz w:val="24"/>
      <w:szCs w:val="24"/>
      <w:lang w:val="zh-CN"/>
    </w:rPr>
  </w:style>
  <w:style w:type="paragraph" w:customStyle="1" w:styleId="480">
    <w:name w:val="ly正文"/>
    <w:qFormat/>
    <w:uiPriority w:val="0"/>
    <w:pPr>
      <w:spacing w:beforeLines="30" w:afterLines="30" w:line="400" w:lineRule="exact"/>
      <w:ind w:firstLine="200" w:firstLineChars="200"/>
      <w:jc w:val="both"/>
    </w:pPr>
    <w:rPr>
      <w:rFonts w:ascii="华文细黑" w:hAnsi="Times New Roman" w:eastAsia="华文细黑" w:cs="Times New Roman"/>
      <w:kern w:val="2"/>
      <w:sz w:val="24"/>
      <w:lang w:val="en-US" w:eastAsia="zh-CN" w:bidi="ar-SA"/>
    </w:rPr>
  </w:style>
  <w:style w:type="paragraph" w:customStyle="1" w:styleId="481">
    <w:name w:val="列表段落4"/>
    <w:basedOn w:val="1"/>
    <w:qFormat/>
    <w:uiPriority w:val="0"/>
    <w:pPr>
      <w:ind w:firstLine="420" w:firstLineChars="200"/>
    </w:pPr>
    <w:rPr>
      <w:rFonts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91FF29-1EEE-4DB4-908D-67561BD0C33B}">
  <ds:schemaRefs/>
</ds:datastoreItem>
</file>

<file path=docProps/app.xml><?xml version="1.0" encoding="utf-8"?>
<Properties xmlns="http://schemas.openxmlformats.org/officeDocument/2006/extended-properties" xmlns:vt="http://schemas.openxmlformats.org/officeDocument/2006/docPropsVTypes">
  <Template>Normal</Template>
  <Pages>95</Pages>
  <Words>5901</Words>
  <Characters>33642</Characters>
  <Lines>280</Lines>
  <Paragraphs>78</Paragraphs>
  <TotalTime>5</TotalTime>
  <ScaleCrop>false</ScaleCrop>
  <LinksUpToDate>false</LinksUpToDate>
  <CharactersWithSpaces>39465</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2017-08-22T06:36:00Z</dcterms:created>
  <dc:creator>dpr</dc:creator>
  <cp:lastModifiedBy>周震宇</cp:lastModifiedBy>
  <cp:lastPrinted>2019-12-17T06:16:00Z</cp:lastPrinted>
  <dcterms:modified xsi:type="dcterms:W3CDTF">2020-05-12T04:20:38Z</dcterms:modified>
  <cp:revision>508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