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79" w:lineRule="exact"/>
        <w:ind w:firstLine="0" w:firstLineChars="0"/>
        <w:jc w:val="left"/>
        <w:textAlignment w:val="auto"/>
        <w:rPr>
          <w:rFonts w:hint="default" w:ascii="Times New Roman" w:hAnsi="Times New Roman" w:eastAsia="黑体" w:cs="Times New Roman"/>
          <w:spacing w:val="0"/>
          <w:kern w:val="2"/>
          <w:sz w:val="32"/>
          <w:szCs w:val="32"/>
          <w:lang w:val="en-US" w:eastAsia="zh-CN"/>
        </w:rPr>
      </w:pPr>
      <w:r>
        <w:rPr>
          <w:rFonts w:hint="default" w:ascii="Times New Roman" w:hAnsi="Times New Roman" w:eastAsia="黑体" w:cs="Times New Roman"/>
          <w:spacing w:val="0"/>
          <w:kern w:val="2"/>
          <w:sz w:val="32"/>
          <w:szCs w:val="32"/>
          <w:lang w:eastAsia="zh-CN"/>
        </w:rPr>
        <w:t>附件</w:t>
      </w:r>
      <w:r>
        <w:rPr>
          <w:rFonts w:hint="default" w:ascii="Times New Roman" w:hAnsi="Times New Roman" w:eastAsia="黑体" w:cs="Times New Roman"/>
          <w:spacing w:val="0"/>
          <w:kern w:val="2"/>
          <w:sz w:val="32"/>
          <w:szCs w:val="32"/>
          <w:lang w:val="en-US" w:eastAsia="zh-CN"/>
        </w:rPr>
        <w:t>2</w:t>
      </w:r>
    </w:p>
    <w:p>
      <w:pPr>
        <w:pStyle w:val="2"/>
        <w:spacing w:line="579" w:lineRule="exact"/>
        <w:rPr>
          <w:rFonts w:hint="default" w:ascii="Times New Roman" w:hAnsi="Times New Roman" w:eastAsia="方正小标宋简体" w:cs="Times New Roman"/>
          <w:b w:val="0"/>
          <w:bCs w:val="0"/>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79" w:lineRule="exact"/>
        <w:jc w:val="center"/>
        <w:textAlignment w:val="auto"/>
        <w:outlineLvl w:val="0"/>
        <w:rPr>
          <w:rFonts w:hint="default" w:ascii="Times New Roman" w:hAnsi="Times New Roman" w:eastAsia="方正小标宋简体" w:cs="Times New Roman"/>
          <w:b w:val="0"/>
          <w:bCs w:val="0"/>
          <w:color w:val="000000"/>
          <w:sz w:val="44"/>
          <w:szCs w:val="44"/>
          <w:highlight w:val="none"/>
          <w:lang w:eastAsia="zh-CN"/>
        </w:rPr>
      </w:pPr>
      <w:r>
        <w:rPr>
          <w:rFonts w:hint="default" w:ascii="Times New Roman" w:hAnsi="Times New Roman" w:eastAsia="方正小标宋简体" w:cs="Times New Roman"/>
          <w:b w:val="0"/>
          <w:bCs w:val="0"/>
          <w:color w:val="000000"/>
          <w:sz w:val="44"/>
          <w:szCs w:val="44"/>
          <w:highlight w:val="none"/>
          <w:lang w:eastAsia="zh-CN"/>
        </w:rPr>
        <w:t>浙江省售电公司信用评价管理办法</w:t>
      </w:r>
    </w:p>
    <w:p>
      <w:pPr>
        <w:keepNext w:val="0"/>
        <w:keepLines w:val="0"/>
        <w:pageBreakBefore w:val="0"/>
        <w:widowControl w:val="0"/>
        <w:shd w:val="clear" w:color="auto" w:fill="auto"/>
        <w:kinsoku/>
        <w:wordWrap/>
        <w:overflowPunct/>
        <w:topLinePunct w:val="0"/>
        <w:autoSpaceDE/>
        <w:autoSpaceDN/>
        <w:bidi w:val="0"/>
        <w:adjustRightInd/>
        <w:snapToGrid/>
        <w:spacing w:line="579" w:lineRule="exact"/>
        <w:jc w:val="center"/>
        <w:textAlignment w:val="auto"/>
        <w:outlineLvl w:val="0"/>
        <w:rPr>
          <w:rFonts w:hint="default" w:ascii="Times New Roman" w:hAnsi="Times New Roman" w:eastAsia="方正小标宋简体" w:cs="Times New Roman"/>
          <w:b w:val="0"/>
          <w:bCs w:val="0"/>
          <w:color w:val="000000"/>
          <w:sz w:val="44"/>
          <w:szCs w:val="44"/>
          <w:highlight w:val="none"/>
          <w:lang w:eastAsia="zh-CN"/>
        </w:rPr>
      </w:pPr>
      <w:r>
        <w:rPr>
          <w:rFonts w:hint="default" w:ascii="Times New Roman" w:hAnsi="Times New Roman" w:eastAsia="方正小标宋简体" w:cs="Times New Roman"/>
          <w:b w:val="0"/>
          <w:bCs w:val="0"/>
          <w:color w:val="000000"/>
          <w:sz w:val="44"/>
          <w:szCs w:val="44"/>
          <w:highlight w:val="none"/>
          <w:lang w:eastAsia="zh-CN"/>
        </w:rPr>
        <w:t>（试行）</w:t>
      </w:r>
    </w:p>
    <w:p>
      <w:pPr>
        <w:pStyle w:val="2"/>
        <w:keepNext w:val="0"/>
        <w:keepLines w:val="0"/>
        <w:pageBreakBefore w:val="0"/>
        <w:widowControl w:val="0"/>
        <w:shd w:val="clear" w:color="auto" w:fill="auto"/>
        <w:kinsoku/>
        <w:wordWrap/>
        <w:overflowPunct/>
        <w:topLinePunct w:val="0"/>
        <w:autoSpaceDE/>
        <w:autoSpaceDN/>
        <w:bidi w:val="0"/>
        <w:adjustRightInd/>
        <w:snapToGrid/>
        <w:spacing w:line="579" w:lineRule="exact"/>
        <w:ind w:left="0" w:leftChars="0" w:firstLine="0" w:firstLineChars="0"/>
        <w:jc w:val="center"/>
        <w:textAlignment w:val="auto"/>
        <w:rPr>
          <w:rFonts w:hint="default" w:ascii="Times New Roman" w:hAnsi="Times New Roman" w:eastAsia="仿宋_GB2312" w:cs="Times New Roman"/>
          <w:sz w:val="32"/>
          <w:szCs w:val="32"/>
          <w:highlight w:val="none"/>
          <w:lang w:val="en-US" w:eastAsia="zh-CN"/>
        </w:rPr>
      </w:pPr>
    </w:p>
    <w:p>
      <w:pPr>
        <w:keepNext w:val="0"/>
        <w:keepLines w:val="0"/>
        <w:widowControl w:val="0"/>
        <w:suppressLineNumbers w:val="0"/>
        <w:snapToGrid w:val="0"/>
        <w:spacing w:before="0" w:beforeAutospacing="0" w:after="0" w:afterAutospacing="0" w:line="579" w:lineRule="exact"/>
        <w:ind w:left="0" w:right="0" w:firstLine="652" w:firstLineChars="200"/>
        <w:jc w:val="both"/>
        <w:rPr>
          <w:rFonts w:hint="default" w:ascii="Times New Roman" w:hAnsi="Times New Roman" w:eastAsia="仿宋_GB2312" w:cs="Times New Roman"/>
          <w:color w:val="000000"/>
          <w:spacing w:val="0"/>
          <w:kern w:val="0"/>
          <w:sz w:val="32"/>
          <w:szCs w:val="32"/>
        </w:rPr>
      </w:pPr>
      <w:r>
        <w:rPr>
          <w:rFonts w:hint="default" w:ascii="Times New Roman" w:hAnsi="Times New Roman" w:eastAsia="仿宋_GB2312" w:cs="Times New Roman"/>
          <w:color w:val="000000"/>
          <w:spacing w:val="0"/>
          <w:kern w:val="0"/>
          <w:sz w:val="32"/>
          <w:szCs w:val="32"/>
          <w:lang w:val="en-US" w:eastAsia="zh-CN" w:bidi="ar"/>
        </w:rPr>
        <w:t>为规范浙江电力市场运营管理，提升市场风险控制能力，维护市场成员合法权益，根据《售电公司管理办法》（发改经体〔2021〕1595号）、《关于加强和规范涉电力领域失信联合惩戒对象名单管理工作的实施意见》（发改运行规〔2018〕233号）、《关于对电力行业严重违法失信市场主体及其有关人员实施联合惩戒的合作备忘录》（发改运行〔2017〕946号）、《浙江省电力中长期交易规则（2021年修订版）》（浙发改能源〔2021〕427号）、《浙江电力市场监管实施办法（试行）》（浙监能市场〔2019〕17号）等文件精神，结合浙江电力市场实际，制定本办法。</w:t>
      </w:r>
    </w:p>
    <w:p>
      <w:pPr>
        <w:keepNext w:val="0"/>
        <w:keepLines w:val="0"/>
        <w:widowControl w:val="0"/>
        <w:suppressLineNumbers w:val="0"/>
        <w:snapToGrid w:val="0"/>
        <w:spacing w:before="0" w:beforeAutospacing="0" w:after="0" w:afterAutospacing="0" w:line="579" w:lineRule="exact"/>
        <w:ind w:left="0" w:right="0" w:firstLine="652" w:firstLineChars="200"/>
        <w:jc w:val="both"/>
        <w:rPr>
          <w:rFonts w:hint="default" w:ascii="Times New Roman" w:hAnsi="Times New Roman" w:eastAsia="黑体" w:cs="Times New Roman"/>
          <w:color w:val="000000"/>
          <w:spacing w:val="0"/>
          <w:kern w:val="2"/>
          <w:sz w:val="32"/>
          <w:szCs w:val="32"/>
        </w:rPr>
      </w:pPr>
      <w:r>
        <w:rPr>
          <w:rFonts w:hint="default" w:ascii="Times New Roman" w:hAnsi="Times New Roman" w:eastAsia="黑体" w:cs="Times New Roman"/>
          <w:color w:val="000000"/>
          <w:spacing w:val="0"/>
          <w:kern w:val="2"/>
          <w:sz w:val="32"/>
          <w:szCs w:val="32"/>
          <w:lang w:val="en-US" w:eastAsia="zh-CN" w:bidi="ar"/>
        </w:rPr>
        <w:t>一、</w:t>
      </w:r>
      <w:r>
        <w:rPr>
          <w:rFonts w:hint="default" w:ascii="Times New Roman" w:hAnsi="Times New Roman" w:eastAsia="黑体" w:cs="Times New Roman"/>
          <w:color w:val="000000"/>
          <w:spacing w:val="-6"/>
          <w:kern w:val="2"/>
          <w:sz w:val="32"/>
          <w:szCs w:val="32"/>
          <w:lang w:val="en-US" w:eastAsia="zh-CN" w:bidi="ar"/>
        </w:rPr>
        <w:t>总则</w:t>
      </w:r>
    </w:p>
    <w:p>
      <w:pPr>
        <w:keepNext w:val="0"/>
        <w:keepLines w:val="0"/>
        <w:widowControl w:val="0"/>
        <w:suppressLineNumbers w:val="0"/>
        <w:snapToGrid w:val="0"/>
        <w:spacing w:before="0" w:beforeAutospacing="0" w:after="0" w:afterAutospacing="0" w:line="579" w:lineRule="exact"/>
        <w:ind w:left="0" w:right="0" w:firstLine="628" w:firstLineChars="200"/>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spacing w:val="-6"/>
          <w:kern w:val="2"/>
          <w:sz w:val="32"/>
          <w:szCs w:val="32"/>
          <w:lang w:val="en-US" w:eastAsia="zh-CN" w:bidi="ar"/>
        </w:rPr>
        <w:t>（一）</w:t>
      </w:r>
      <w:r>
        <w:rPr>
          <w:rFonts w:hint="default" w:ascii="Times New Roman" w:hAnsi="Times New Roman" w:eastAsia="仿宋_GB2312" w:cs="Times New Roman"/>
          <w:color w:val="000000"/>
          <w:spacing w:val="-6"/>
          <w:kern w:val="0"/>
          <w:sz w:val="32"/>
          <w:szCs w:val="32"/>
          <w:lang w:val="en-US" w:eastAsia="zh-CN" w:bidi="ar"/>
        </w:rPr>
        <w:t>构建浙江省售电公司信用管理体系，包括信用评价机制、信用档案机制、风险分级机制和风险防控机制。通过信用评级和信用档案加强售电公司信用管理；将信用评级作为风险防范的决策、监管依据，对应风险级别，采取相应管控措施，形成售电公司风险防控联动机制。引导售电公司规范交易行为、提升服务水平，维护社会公共利益和市场主体合法权益，保障浙江电力市场交易的规范运作和良好发展。</w:t>
      </w:r>
    </w:p>
    <w:p>
      <w:pPr>
        <w:keepNext w:val="0"/>
        <w:keepLines w:val="0"/>
        <w:widowControl w:val="0"/>
        <w:suppressLineNumbers w:val="0"/>
        <w:snapToGrid w:val="0"/>
        <w:spacing w:before="0" w:beforeAutospacing="0" w:after="0" w:afterAutospacing="0" w:line="579" w:lineRule="exact"/>
        <w:ind w:left="0" w:right="0" w:firstLine="628" w:firstLineChars="200"/>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spacing w:val="-6"/>
          <w:kern w:val="2"/>
          <w:sz w:val="32"/>
          <w:szCs w:val="32"/>
          <w:lang w:val="en-US" w:eastAsia="zh-CN" w:bidi="ar"/>
        </w:rPr>
        <w:t>（二）</w:t>
      </w:r>
      <w:r>
        <w:rPr>
          <w:rFonts w:hint="default" w:ascii="Times New Roman" w:hAnsi="Times New Roman" w:eastAsia="仿宋_GB2312" w:cs="Times New Roman"/>
          <w:color w:val="000000"/>
          <w:spacing w:val="-6"/>
          <w:kern w:val="0"/>
          <w:sz w:val="32"/>
          <w:szCs w:val="32"/>
          <w:lang w:val="en-US" w:eastAsia="zh-CN" w:bidi="ar"/>
        </w:rPr>
        <w:t>浙江省能源局、浙江能源监管办按职责开展监管。浙江省能源局负责建立完善浙江省售电公司信用管理体系，浙江电力交易中心有限公司（以下简称交易中心）依据本办法履行相应管理职责。</w:t>
      </w:r>
    </w:p>
    <w:p>
      <w:pPr>
        <w:keepNext w:val="0"/>
        <w:keepLines w:val="0"/>
        <w:widowControl w:val="0"/>
        <w:suppressLineNumbers w:val="0"/>
        <w:snapToGrid w:val="0"/>
        <w:spacing w:before="0" w:beforeAutospacing="0" w:after="0" w:afterAutospacing="0" w:line="579" w:lineRule="exact"/>
        <w:ind w:left="0" w:right="0" w:firstLine="628" w:firstLineChars="200"/>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spacing w:val="-6"/>
          <w:kern w:val="2"/>
          <w:sz w:val="32"/>
          <w:szCs w:val="32"/>
          <w:lang w:val="en-US" w:eastAsia="zh-CN" w:bidi="ar"/>
        </w:rPr>
        <w:t>（三）</w:t>
      </w:r>
      <w:r>
        <w:rPr>
          <w:rFonts w:hint="default" w:ascii="Times New Roman" w:hAnsi="Times New Roman" w:eastAsia="仿宋_GB2312" w:cs="Times New Roman"/>
          <w:color w:val="000000"/>
          <w:spacing w:val="-6"/>
          <w:kern w:val="0"/>
          <w:sz w:val="32"/>
          <w:szCs w:val="32"/>
          <w:lang w:val="en-US" w:eastAsia="zh-CN" w:bidi="ar"/>
        </w:rPr>
        <w:t>本办法适用于参与浙江电力市场交易的售电公司。</w:t>
      </w:r>
    </w:p>
    <w:p>
      <w:pPr>
        <w:keepNext w:val="0"/>
        <w:keepLines w:val="0"/>
        <w:widowControl w:val="0"/>
        <w:suppressLineNumbers w:val="0"/>
        <w:snapToGrid w:val="0"/>
        <w:spacing w:before="0" w:beforeAutospacing="0" w:after="0" w:afterAutospacing="0" w:line="579" w:lineRule="exact"/>
        <w:ind w:left="0" w:right="0" w:firstLine="652" w:firstLineChars="200"/>
        <w:jc w:val="both"/>
        <w:rPr>
          <w:rFonts w:hint="default" w:ascii="Times New Roman" w:hAnsi="Times New Roman" w:eastAsia="黑体" w:cs="Times New Roman"/>
          <w:color w:val="000000"/>
          <w:spacing w:val="0"/>
          <w:kern w:val="2"/>
          <w:sz w:val="32"/>
          <w:szCs w:val="32"/>
        </w:rPr>
      </w:pPr>
      <w:r>
        <w:rPr>
          <w:rFonts w:hint="default" w:ascii="Times New Roman" w:hAnsi="Times New Roman" w:eastAsia="黑体" w:cs="Times New Roman"/>
          <w:color w:val="000000"/>
          <w:spacing w:val="0"/>
          <w:kern w:val="2"/>
          <w:sz w:val="32"/>
          <w:szCs w:val="32"/>
          <w:lang w:val="en-US" w:eastAsia="zh-CN" w:bidi="ar"/>
        </w:rPr>
        <w:t>二、</w:t>
      </w:r>
      <w:r>
        <w:rPr>
          <w:rFonts w:hint="default" w:ascii="Times New Roman" w:hAnsi="Times New Roman" w:eastAsia="黑体" w:cs="Times New Roman"/>
          <w:color w:val="000000"/>
          <w:spacing w:val="-6"/>
          <w:kern w:val="2"/>
          <w:sz w:val="32"/>
          <w:szCs w:val="32"/>
          <w:lang w:val="en-US" w:eastAsia="zh-CN" w:bidi="ar"/>
        </w:rPr>
        <w:t>信用评价机制</w:t>
      </w:r>
    </w:p>
    <w:p>
      <w:pPr>
        <w:pStyle w:val="2"/>
        <w:widowControl/>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（一）实行售电公司全周期信用管理，建立售电公司信用评价机制，对已获得电力市场准入、在浙江电力市场注册生效并参与浙江电力市场交易的售电公司开展信用评价。</w:t>
      </w:r>
    </w:p>
    <w:p>
      <w:pPr>
        <w:pStyle w:val="2"/>
        <w:widowControl/>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（二）评价机构为交易中心。根据售电公司信用评价体系统一的评价标准，交易中心应认真履行工作职责，公开、规范、透明开展售电公司信用评价工作。</w:t>
      </w:r>
    </w:p>
    <w:p>
      <w:pPr>
        <w:pStyle w:val="2"/>
        <w:widowControl/>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（三）评价标准为《浙江电力市场售电公司信用评价指标体系》（以下简称“信用评价指标体系”）（详见附件）。信用评价指标体系总分为100分。其中，场外评价指标权重30分，场内评价指标权重70分。</w:t>
      </w:r>
    </w:p>
    <w:p>
      <w:pPr>
        <w:keepNext w:val="0"/>
        <w:keepLines w:val="0"/>
        <w:widowControl w:val="0"/>
        <w:suppressLineNumbers w:val="0"/>
        <w:spacing w:before="0" w:beforeAutospacing="0" w:after="0" w:afterAutospacing="0" w:line="579" w:lineRule="exact"/>
        <w:ind w:left="0" w:right="0" w:firstLine="628" w:firstLineChars="200"/>
        <w:jc w:val="both"/>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四）依据信用评价得分情况，信用评价等级设置为AAA、AA、A、B、C、D六个等级。其中：AAA级表示信用表现优秀。履约能力很强，履约表现很好，经营状况很好，在维护电力市场秩序、促进社会信用体系建设等方面贡献突出；AA级表示信用表现良好。履约能力强，履约表现好，经营状况好，能够积极维护电力市场秩序、促进社会信用体系建设；A级表示信用表现较好。履约能力较强，履约表现较好，经营状况稳定，能够维护电力市场秩序、促进社会信用体系建设；B级表示信用表现一般。履约能力弱，履约表现一般，经营状况一般，不能有效维护电力市场秩序、促进社会信用体系建设；C级表示信用表现差。履约能力很弱，履约表现差，经营状况差，对维护电力市场秩序、促进社会信用体系建设产生负面影响。D级表示信用表现极差。无基本履约能力，履约表现极差，经营状况极差，对维护电力市场秩序、促进社会信用体系建设产生极大的负面影响。</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40"/>
        <w:gridCol w:w="2840"/>
        <w:gridCol w:w="2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b/>
                <w:color w:val="000000"/>
                <w:kern w:val="2"/>
                <w:sz w:val="21"/>
                <w:szCs w:val="21"/>
              </w:rPr>
            </w:pPr>
            <w:r>
              <w:rPr>
                <w:rFonts w:hint="default" w:ascii="Times New Roman" w:hAnsi="Times New Roman" w:eastAsia="仿宋_GB2312" w:cs="Times New Roman"/>
                <w:b/>
                <w:color w:val="000000"/>
                <w:spacing w:val="-6"/>
                <w:kern w:val="2"/>
                <w:sz w:val="21"/>
                <w:szCs w:val="21"/>
                <w:lang w:val="en-US" w:eastAsia="zh-CN" w:bidi="ar"/>
              </w:rPr>
              <w:t>信用评价等级</w:t>
            </w:r>
          </w:p>
        </w:tc>
        <w:tc>
          <w:tcPr>
            <w:tcW w:w="284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b/>
                <w:color w:val="000000"/>
                <w:kern w:val="2"/>
                <w:sz w:val="21"/>
                <w:szCs w:val="21"/>
              </w:rPr>
            </w:pPr>
            <w:r>
              <w:rPr>
                <w:rFonts w:hint="default" w:ascii="Times New Roman" w:hAnsi="Times New Roman" w:eastAsia="仿宋_GB2312" w:cs="Times New Roman"/>
                <w:b/>
                <w:color w:val="000000"/>
                <w:spacing w:val="-6"/>
                <w:kern w:val="2"/>
                <w:sz w:val="21"/>
                <w:szCs w:val="21"/>
                <w:lang w:val="en-US" w:eastAsia="zh-CN" w:bidi="ar"/>
              </w:rPr>
              <w:t>信用评价分数区间</w:t>
            </w:r>
          </w:p>
        </w:tc>
        <w:tc>
          <w:tcPr>
            <w:tcW w:w="284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b/>
                <w:color w:val="000000"/>
                <w:kern w:val="2"/>
                <w:sz w:val="21"/>
                <w:szCs w:val="21"/>
              </w:rPr>
            </w:pPr>
            <w:r>
              <w:rPr>
                <w:rFonts w:hint="default" w:ascii="Times New Roman" w:hAnsi="Times New Roman" w:eastAsia="仿宋_GB2312" w:cs="Times New Roman"/>
                <w:b/>
                <w:color w:val="000000"/>
                <w:spacing w:val="-6"/>
                <w:kern w:val="2"/>
                <w:sz w:val="21"/>
                <w:szCs w:val="21"/>
                <w:lang w:val="en-US" w:eastAsia="zh-CN" w:bidi="ar"/>
              </w:rPr>
              <w:t>信用评价情况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AAA</w:t>
            </w:r>
          </w:p>
        </w:tc>
        <w:tc>
          <w:tcPr>
            <w:tcW w:w="284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90分及以上</w:t>
            </w:r>
          </w:p>
        </w:tc>
        <w:tc>
          <w:tcPr>
            <w:tcW w:w="284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AA</w:t>
            </w:r>
          </w:p>
        </w:tc>
        <w:tc>
          <w:tcPr>
            <w:tcW w:w="284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75-89分</w:t>
            </w:r>
          </w:p>
        </w:tc>
        <w:tc>
          <w:tcPr>
            <w:tcW w:w="284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A</w:t>
            </w:r>
          </w:p>
        </w:tc>
        <w:tc>
          <w:tcPr>
            <w:tcW w:w="284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60-74分</w:t>
            </w:r>
          </w:p>
        </w:tc>
        <w:tc>
          <w:tcPr>
            <w:tcW w:w="284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B</w:t>
            </w:r>
          </w:p>
        </w:tc>
        <w:tc>
          <w:tcPr>
            <w:tcW w:w="284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40-59分</w:t>
            </w:r>
          </w:p>
        </w:tc>
        <w:tc>
          <w:tcPr>
            <w:tcW w:w="284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一般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C</w:t>
            </w:r>
          </w:p>
        </w:tc>
        <w:tc>
          <w:tcPr>
            <w:tcW w:w="284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30-39分</w:t>
            </w:r>
          </w:p>
        </w:tc>
        <w:tc>
          <w:tcPr>
            <w:tcW w:w="284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2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D</w:t>
            </w:r>
          </w:p>
        </w:tc>
        <w:tc>
          <w:tcPr>
            <w:tcW w:w="2840"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30分以下</w:t>
            </w:r>
          </w:p>
        </w:tc>
        <w:tc>
          <w:tcPr>
            <w:tcW w:w="2842" w:type="dxa"/>
            <w:tcBorders>
              <w:top w:val="single" w:color="000000" w:sz="4" w:space="0"/>
              <w:left w:val="nil"/>
              <w:bottom w:val="single" w:color="000000" w:sz="4" w:space="0"/>
              <w:right w:val="single" w:color="000000" w:sz="4" w:space="0"/>
            </w:tcBorders>
            <w:noWrap w:val="0"/>
            <w:vAlign w:val="center"/>
          </w:tcPr>
          <w:p>
            <w:pPr>
              <w:keepNext w:val="0"/>
              <w:keepLines w:val="0"/>
              <w:widowControl w:val="0"/>
              <w:suppressLineNumbers w:val="0"/>
              <w:spacing w:before="0" w:beforeAutospacing="0" w:after="0" w:afterAutospacing="0" w:line="36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极差</w:t>
            </w:r>
          </w:p>
        </w:tc>
      </w:tr>
    </w:tbl>
    <w:p>
      <w:pPr>
        <w:pStyle w:val="2"/>
        <w:widowControl w:val="0"/>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五）售电公司信用评价结合交易工作实际定期发起，每年度开展一次，条件成熟时可缩短评价周期。对于纳入售电公司目录且在评价周期内未开展任何交易业务的售电公司，不做评级。根据定期复查和不定期抽查结果进行等级调整。</w:t>
      </w:r>
    </w:p>
    <w:p>
      <w:pPr>
        <w:pStyle w:val="2"/>
        <w:widowControl w:val="0"/>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（六）售电公司信用评级工作，包含初评、初评结果公示、异议受理、结果复核、正式发布等流程。</w:t>
      </w:r>
    </w:p>
    <w:p>
      <w:pPr>
        <w:pStyle w:val="2"/>
        <w:widowControl w:val="0"/>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（七）售电公司应按照信用评价指标体系数据需求，及时通过电力交易平台提交企业信用、财务状况等数据及证明材料，并对其真实性、有效性负责。</w:t>
      </w:r>
    </w:p>
    <w:p>
      <w:pPr>
        <w:pStyle w:val="2"/>
        <w:widowControl w:val="0"/>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（八）交易中心依托电力交易平台归集相关数据和信息，在评价周期结束后的次月完成售电公司信用评价，计算信用评价分值，确定信用评价等级。</w:t>
      </w:r>
    </w:p>
    <w:p>
      <w:pPr>
        <w:pStyle w:val="2"/>
        <w:widowControl w:val="0"/>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（九）信用评价结果在电力交易平台面向社会进行公示，公示期为自公示之日起5个工作日。</w:t>
      </w:r>
    </w:p>
    <w:p>
      <w:pPr>
        <w:pStyle w:val="2"/>
        <w:widowControl w:val="0"/>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十）对评价结果有异议的，可在3个工作日内实名向交易中心提出申诉，说明理由并提供相关证明材料。交易中心在收到申诉后5个工作日内完成复核、答复工作。若售电公司对交易中心给出的答复仍有异议，可向浙江省能源局反馈，由浙江省能源局最终核定。</w:t>
      </w:r>
    </w:p>
    <w:p>
      <w:pPr>
        <w:pStyle w:val="2"/>
        <w:widowControl w:val="0"/>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（十一）异议处理完成后，交易中心形成正式评价结果，在7个工作日内将信用评价结果报送政府机构有关部门，共享至浙江省公共信用信息平台，通过电力交易平台等渠道面向社会发布。</w:t>
      </w:r>
    </w:p>
    <w:p>
      <w:pPr>
        <w:pStyle w:val="2"/>
        <w:widowControl w:val="0"/>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（十二）对于售电公司在信用评价结果发布后发生的重大违规违约事件，交易中心应及时发布相关风险提示。</w:t>
      </w:r>
    </w:p>
    <w:p>
      <w:pPr>
        <w:pStyle w:val="2"/>
        <w:widowControl w:val="0"/>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十三）若售电公司具体失信行为被行政机关或复议机关决定撤销、变更的，亦或被人民法院判决撤销、变更的，售电公司可通过提出申请并提供佐证材料，由交易中心对相关失信记录进行删除或修改。在信用修复完成后，由交易中心负责更正相关信息或信用评价结果，将更正后的信用评价结果同步推送政府相关部门和省公共信用信息平台。</w:t>
      </w:r>
    </w:p>
    <w:p>
      <w:pPr>
        <w:pStyle w:val="2"/>
        <w:widowControl w:val="0"/>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（十四）交易中心应加强市场主体隐私保护，不得泄露影响公平竞争和涉及用户隐私的相关信息，对私有信息进行保护性处理。</w:t>
      </w:r>
    </w:p>
    <w:p>
      <w:pPr>
        <w:pStyle w:val="2"/>
        <w:widowControl w:val="0"/>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（十五）评价结果发布前发生下列情形之一的，交易中心可以终止评价：</w:t>
      </w:r>
    </w:p>
    <w:p>
      <w:pPr>
        <w:pStyle w:val="2"/>
        <w:widowControl w:val="0"/>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1.受评市场主体解散或者被依法宣告破产的；</w:t>
      </w:r>
    </w:p>
    <w:p>
      <w:pPr>
        <w:pStyle w:val="2"/>
        <w:widowControl w:val="0"/>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2.受评市场主体退出电力市场的；</w:t>
      </w:r>
    </w:p>
    <w:p>
      <w:pPr>
        <w:pStyle w:val="2"/>
        <w:widowControl w:val="0"/>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3.评价工作不能正常开展的其他情形。</w:t>
      </w:r>
    </w:p>
    <w:p>
      <w:pPr>
        <w:keepNext w:val="0"/>
        <w:keepLines w:val="0"/>
        <w:widowControl w:val="0"/>
        <w:suppressLineNumbers w:val="0"/>
        <w:spacing w:before="0" w:beforeAutospacing="0" w:after="0" w:afterAutospacing="0" w:line="579" w:lineRule="exact"/>
        <w:ind w:left="0" w:right="0" w:firstLine="628" w:firstLineChars="200"/>
        <w:jc w:val="both"/>
        <w:outlineLvl w:val="0"/>
        <w:rPr>
          <w:rFonts w:hint="default" w:ascii="Times New Roman" w:hAnsi="Times New Roman" w:eastAsia="黑体" w:cs="Times New Roman"/>
          <w:b/>
          <w:color w:val="000000"/>
          <w:kern w:val="2"/>
          <w:sz w:val="32"/>
          <w:szCs w:val="32"/>
        </w:rPr>
      </w:pPr>
      <w:r>
        <w:rPr>
          <w:rFonts w:hint="default" w:ascii="Times New Roman" w:hAnsi="Times New Roman" w:eastAsia="仿宋_GB2312" w:cs="Times New Roman"/>
          <w:color w:val="000000"/>
          <w:spacing w:val="-6"/>
          <w:kern w:val="2"/>
          <w:sz w:val="32"/>
          <w:szCs w:val="32"/>
          <w:lang w:val="en-US" w:eastAsia="zh-CN" w:bidi="ar"/>
        </w:rPr>
        <w:t>因上述原因终止的，交易中心应当及时公告并说明原因。</w:t>
      </w:r>
    </w:p>
    <w:p>
      <w:pPr>
        <w:keepNext w:val="0"/>
        <w:keepLines w:val="0"/>
        <w:widowControl w:val="0"/>
        <w:suppressLineNumbers w:val="0"/>
        <w:snapToGrid w:val="0"/>
        <w:spacing w:before="0" w:beforeAutospacing="0" w:after="0" w:afterAutospacing="0" w:line="579" w:lineRule="exact"/>
        <w:ind w:left="0" w:right="0" w:firstLine="652" w:firstLineChars="200"/>
        <w:jc w:val="both"/>
        <w:rPr>
          <w:rFonts w:hint="default" w:ascii="Times New Roman" w:hAnsi="Times New Roman" w:eastAsia="黑体" w:cs="Times New Roman"/>
          <w:color w:val="000000"/>
          <w:spacing w:val="0"/>
          <w:kern w:val="2"/>
          <w:sz w:val="32"/>
          <w:szCs w:val="32"/>
        </w:rPr>
      </w:pPr>
      <w:r>
        <w:rPr>
          <w:rFonts w:hint="default" w:ascii="Times New Roman" w:hAnsi="Times New Roman" w:eastAsia="黑体" w:cs="Times New Roman"/>
          <w:color w:val="000000"/>
          <w:spacing w:val="0"/>
          <w:kern w:val="2"/>
          <w:sz w:val="32"/>
          <w:szCs w:val="32"/>
          <w:lang w:val="en-US" w:eastAsia="zh-CN" w:bidi="ar"/>
        </w:rPr>
        <w:t>三、</w:t>
      </w:r>
      <w:r>
        <w:rPr>
          <w:rFonts w:hint="default" w:ascii="Times New Roman" w:hAnsi="Times New Roman" w:eastAsia="黑体" w:cs="Times New Roman"/>
          <w:color w:val="000000"/>
          <w:spacing w:val="-6"/>
          <w:kern w:val="2"/>
          <w:sz w:val="32"/>
          <w:szCs w:val="32"/>
          <w:lang w:val="en-US" w:eastAsia="zh-CN" w:bidi="ar"/>
        </w:rPr>
        <w:t>信用档案机制</w:t>
      </w:r>
    </w:p>
    <w:p>
      <w:pPr>
        <w:pStyle w:val="2"/>
        <w:widowControl w:val="0"/>
        <w:spacing w:line="579" w:lineRule="exact"/>
        <w:ind w:left="0" w:firstLine="640"/>
        <w:rPr>
          <w:rFonts w:hint="default" w:ascii="Times New Roman" w:hAnsi="Times New Roman" w:eastAsia="仿宋_GB2312" w:cs="Times New Roman"/>
          <w:b/>
          <w:color w:val="000000"/>
          <w:kern w:val="2"/>
          <w:sz w:val="32"/>
          <w:szCs w:val="32"/>
        </w:rPr>
      </w:pPr>
      <w:r>
        <w:rPr>
          <w:rFonts w:hint="default" w:ascii="Times New Roman" w:hAnsi="Times New Roman" w:eastAsia="仿宋_GB2312" w:cs="Times New Roman"/>
          <w:color w:val="000000"/>
          <w:kern w:val="2"/>
          <w:sz w:val="32"/>
          <w:szCs w:val="32"/>
        </w:rPr>
        <w:t>（一）建立售电公司信用档案机制，归集售电公司的基本信息、信用承诺、合同履约情况、信用评价等级、经认定的违法违规情况、被强制退市或执行联合惩戒的情形等，动态披露并共享至浙江省公共信用信息平台。</w:t>
      </w:r>
    </w:p>
    <w:p>
      <w:pPr>
        <w:pStyle w:val="2"/>
        <w:widowControl w:val="0"/>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（二）售电公司信用档案主要包含以下内容：</w:t>
      </w:r>
    </w:p>
    <w:p>
      <w:pPr>
        <w:pStyle w:val="2"/>
        <w:widowControl w:val="0"/>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1.售电公司基本信息；</w:t>
      </w:r>
    </w:p>
    <w:p>
      <w:pPr>
        <w:pStyle w:val="2"/>
        <w:widowControl w:val="0"/>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2.信用承诺书，含承诺符合售电公司准入条件的各项佐证材料；</w:t>
      </w:r>
    </w:p>
    <w:p>
      <w:pPr>
        <w:pStyle w:val="2"/>
        <w:widowControl w:val="0"/>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3.合同履约情况；</w:t>
      </w:r>
    </w:p>
    <w:p>
      <w:pPr>
        <w:pStyle w:val="2"/>
        <w:widowControl w:val="0"/>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4.历年信用评级结果及风险级别，含信用评级依据；</w:t>
      </w:r>
    </w:p>
    <w:p>
      <w:pPr>
        <w:pStyle w:val="2"/>
        <w:widowControl w:val="0"/>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5.列入“黑名单”、行政处罚、行政强制、承诺未履行以及其他行政认定不良信息；</w:t>
      </w:r>
    </w:p>
    <w:p>
      <w:pPr>
        <w:pStyle w:val="2"/>
        <w:widowControl w:val="0"/>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6.其他需要计入信用档案的内容。</w:t>
      </w:r>
    </w:p>
    <w:p>
      <w:pPr>
        <w:pStyle w:val="2"/>
        <w:widowControl w:val="0"/>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三）交易中心负责售电公司信用档案日常管理，对售电公司故意隐瞒真实情况、提供虚假承诺、违背承诺以及违法违规等行为，按月汇总报送浙江省能源局、浙江能源监管办，经认定后将违法违规情况等计入售电公司信用档案。</w:t>
      </w:r>
    </w:p>
    <w:p>
      <w:pPr>
        <w:pStyle w:val="2"/>
        <w:widowControl w:val="0"/>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（四）售电公司信用档案记录内容纳入信息披露范围，作为公众信息，通过电力交易平台实时更新并披露。</w:t>
      </w:r>
    </w:p>
    <w:p>
      <w:pPr>
        <w:keepNext w:val="0"/>
        <w:keepLines w:val="0"/>
        <w:widowControl w:val="0"/>
        <w:suppressLineNumbers w:val="0"/>
        <w:snapToGrid w:val="0"/>
        <w:spacing w:before="0" w:beforeAutospacing="0" w:after="0" w:afterAutospacing="0" w:line="579" w:lineRule="exact"/>
        <w:ind w:left="0" w:right="0" w:firstLine="652" w:firstLineChars="200"/>
        <w:jc w:val="both"/>
        <w:rPr>
          <w:rFonts w:hint="default" w:ascii="Times New Roman" w:hAnsi="Times New Roman" w:eastAsia="黑体" w:cs="Times New Roman"/>
          <w:color w:val="000000"/>
          <w:spacing w:val="0"/>
          <w:kern w:val="2"/>
          <w:sz w:val="32"/>
          <w:szCs w:val="32"/>
        </w:rPr>
      </w:pPr>
      <w:r>
        <w:rPr>
          <w:rFonts w:hint="default" w:ascii="Times New Roman" w:hAnsi="Times New Roman" w:eastAsia="黑体" w:cs="Times New Roman"/>
          <w:color w:val="000000"/>
          <w:spacing w:val="0"/>
          <w:kern w:val="2"/>
          <w:sz w:val="32"/>
          <w:szCs w:val="32"/>
          <w:lang w:val="en-US" w:eastAsia="zh-CN" w:bidi="ar"/>
        </w:rPr>
        <w:t>四、</w:t>
      </w:r>
      <w:r>
        <w:rPr>
          <w:rFonts w:hint="default" w:ascii="Times New Roman" w:hAnsi="Times New Roman" w:eastAsia="黑体" w:cs="Times New Roman"/>
          <w:color w:val="000000"/>
          <w:spacing w:val="-6"/>
          <w:kern w:val="2"/>
          <w:sz w:val="32"/>
          <w:szCs w:val="32"/>
          <w:lang w:val="en-US" w:eastAsia="zh-CN" w:bidi="ar"/>
        </w:rPr>
        <w:t>风险分级机制</w:t>
      </w:r>
    </w:p>
    <w:p>
      <w:pPr>
        <w:pStyle w:val="2"/>
        <w:widowControl w:val="0"/>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（一）建立风险分级机制，依据信用评价等级划分售电公司风险等级。</w:t>
      </w:r>
    </w:p>
    <w:p>
      <w:pPr>
        <w:pStyle w:val="2"/>
        <w:widowControl w:val="0"/>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二）售电公司风险级别按照严重程度划分为低风险、一般风险、较大风险、重大风险四个级别。其中：评价等级为A级及以上，售电公司风险级别为低风险；评价等级为B级，售电公司风险级别为一般风险；评价等级为C级，售电公司风险级别为较大风险；评价等级为D级，售电公司风险级别为重大风险。</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0"/>
        <w:gridCol w:w="4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4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b/>
                <w:color w:val="000000"/>
                <w:kern w:val="2"/>
                <w:sz w:val="21"/>
                <w:szCs w:val="21"/>
              </w:rPr>
            </w:pPr>
            <w:r>
              <w:rPr>
                <w:rFonts w:hint="default" w:ascii="Times New Roman" w:hAnsi="Times New Roman" w:eastAsia="仿宋_GB2312" w:cs="Times New Roman"/>
                <w:b/>
                <w:color w:val="000000"/>
                <w:spacing w:val="-6"/>
                <w:kern w:val="2"/>
                <w:sz w:val="21"/>
                <w:szCs w:val="21"/>
                <w:lang w:val="en-US" w:eastAsia="zh-CN" w:bidi="ar"/>
              </w:rPr>
              <w:t>信用评级</w:t>
            </w:r>
          </w:p>
        </w:tc>
        <w:tc>
          <w:tcPr>
            <w:tcW w:w="407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b/>
                <w:color w:val="000000"/>
                <w:spacing w:val="-6"/>
                <w:kern w:val="2"/>
                <w:sz w:val="21"/>
                <w:szCs w:val="21"/>
                <w:lang w:val="en-US" w:eastAsia="zh-CN" w:bidi="ar"/>
              </w:rPr>
              <w:t>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AAA</w:t>
            </w:r>
          </w:p>
        </w:tc>
        <w:tc>
          <w:tcPr>
            <w:tcW w:w="4072" w:type="dxa"/>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AA</w:t>
            </w:r>
          </w:p>
        </w:tc>
        <w:tc>
          <w:tcPr>
            <w:tcW w:w="4072" w:type="dxa"/>
            <w:vMerge w:val="continue"/>
            <w:tcBorders>
              <w:top w:val="nil"/>
              <w:left w:val="nil"/>
              <w:bottom w:val="single" w:color="auto" w:sz="4" w:space="0"/>
              <w:right w:val="single" w:color="auto" w:sz="4" w:space="0"/>
            </w:tcBorders>
            <w:noWrap w:val="0"/>
            <w:vAlign w:val="center"/>
          </w:tcPr>
          <w:p>
            <w:pPr>
              <w:spacing w:line="400" w:lineRule="exact"/>
              <w:jc w:val="both"/>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A</w:t>
            </w:r>
          </w:p>
        </w:tc>
        <w:tc>
          <w:tcPr>
            <w:tcW w:w="4072" w:type="dxa"/>
            <w:vMerge w:val="continue"/>
            <w:tcBorders>
              <w:top w:val="nil"/>
              <w:left w:val="nil"/>
              <w:bottom w:val="single" w:color="auto" w:sz="4" w:space="0"/>
              <w:right w:val="single" w:color="auto" w:sz="4" w:space="0"/>
            </w:tcBorders>
            <w:noWrap w:val="0"/>
            <w:vAlign w:val="center"/>
          </w:tcPr>
          <w:p>
            <w:pPr>
              <w:spacing w:line="400" w:lineRule="exact"/>
              <w:jc w:val="both"/>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B</w:t>
            </w:r>
          </w:p>
        </w:tc>
        <w:tc>
          <w:tcPr>
            <w:tcW w:w="407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一般风险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C</w:t>
            </w:r>
          </w:p>
        </w:tc>
        <w:tc>
          <w:tcPr>
            <w:tcW w:w="407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较大风险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4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D</w:t>
            </w:r>
          </w:p>
        </w:tc>
        <w:tc>
          <w:tcPr>
            <w:tcW w:w="407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kern w:val="2"/>
                <w:sz w:val="21"/>
                <w:szCs w:val="21"/>
              </w:rPr>
            </w:pPr>
            <w:r>
              <w:rPr>
                <w:rFonts w:hint="default" w:ascii="Times New Roman" w:hAnsi="Times New Roman" w:eastAsia="仿宋_GB2312" w:cs="Times New Roman"/>
                <w:color w:val="000000"/>
                <w:spacing w:val="-6"/>
                <w:kern w:val="2"/>
                <w:sz w:val="21"/>
                <w:szCs w:val="21"/>
                <w:lang w:val="en-US" w:eastAsia="zh-CN" w:bidi="ar"/>
              </w:rPr>
              <w:t>重大风险</w:t>
            </w:r>
          </w:p>
        </w:tc>
      </w:tr>
    </w:tbl>
    <w:p>
      <w:pPr>
        <w:pStyle w:val="2"/>
        <w:widowControl/>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（三）交易中心每年度依据售电公司信用评价结果，认定售电公司风险级别。售电公司信用评价工作开展期间发生风险事件的，经由浙江省能源局认定风险等级后，动态调整风险等级。</w:t>
      </w:r>
    </w:p>
    <w:p>
      <w:pPr>
        <w:pStyle w:val="2"/>
        <w:widowControl/>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四）售电公司风险等级与信用评价结果一并发布，通过交易中心网站等渠道面向公众披露,发布流程同五（九）至五（十一）。动态调整形成的售电公司风险分级名单由交易中心报送浙江省能源局、浙江能源监管办，经核定后发布流程同五（九）至五（十一）。</w:t>
      </w:r>
    </w:p>
    <w:p>
      <w:pPr>
        <w:keepNext w:val="0"/>
        <w:keepLines w:val="0"/>
        <w:widowControl w:val="0"/>
        <w:suppressLineNumbers w:val="0"/>
        <w:snapToGrid w:val="0"/>
        <w:spacing w:before="0" w:beforeAutospacing="0" w:after="0" w:afterAutospacing="0" w:line="579" w:lineRule="exact"/>
        <w:ind w:left="0" w:right="0" w:firstLine="652" w:firstLineChars="200"/>
        <w:jc w:val="both"/>
        <w:rPr>
          <w:rFonts w:hint="default" w:ascii="Times New Roman" w:hAnsi="Times New Roman" w:eastAsia="黑体" w:cs="Times New Roman"/>
          <w:color w:val="000000"/>
          <w:spacing w:val="0"/>
          <w:kern w:val="2"/>
          <w:sz w:val="32"/>
          <w:szCs w:val="32"/>
        </w:rPr>
      </w:pPr>
      <w:r>
        <w:rPr>
          <w:rFonts w:hint="default" w:ascii="Times New Roman" w:hAnsi="Times New Roman" w:eastAsia="黑体" w:cs="Times New Roman"/>
          <w:color w:val="000000"/>
          <w:spacing w:val="0"/>
          <w:kern w:val="2"/>
          <w:sz w:val="32"/>
          <w:szCs w:val="32"/>
          <w:lang w:val="en-US" w:eastAsia="zh-CN" w:bidi="ar"/>
        </w:rPr>
        <w:t>五、</w:t>
      </w:r>
      <w:r>
        <w:rPr>
          <w:rFonts w:hint="default" w:ascii="Times New Roman" w:hAnsi="Times New Roman" w:eastAsia="黑体" w:cs="Times New Roman"/>
          <w:color w:val="000000"/>
          <w:spacing w:val="-6"/>
          <w:kern w:val="2"/>
          <w:sz w:val="32"/>
          <w:szCs w:val="32"/>
          <w:lang w:val="en-US" w:eastAsia="zh-CN" w:bidi="ar"/>
        </w:rPr>
        <w:t>风险防控机制</w:t>
      </w:r>
    </w:p>
    <w:p>
      <w:pPr>
        <w:pStyle w:val="2"/>
        <w:widowControl/>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（一）建立风险防控机制，依据信用评价等级和风险级别对售电公司采取相应管控措施。</w:t>
      </w:r>
    </w:p>
    <w:p>
      <w:pPr>
        <w:pStyle w:val="2"/>
        <w:widowControl/>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（二）信用评价结果可应用但不限于以下用途：</w:t>
      </w:r>
    </w:p>
    <w:p>
      <w:pPr>
        <w:pStyle w:val="2"/>
        <w:widowControl/>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1.信用风险预警；</w:t>
      </w:r>
    </w:p>
    <w:p>
      <w:pPr>
        <w:pStyle w:val="2"/>
        <w:widowControl/>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2.对连续三次信用评价等级为B级的售电公司，其评价结果自动降为C级；</w:t>
      </w:r>
    </w:p>
    <w:p>
      <w:pPr>
        <w:pStyle w:val="2"/>
        <w:widowControl/>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3.市场准入、退出管理，交易过程管理；</w:t>
      </w:r>
    </w:p>
    <w:p>
      <w:pPr>
        <w:pStyle w:val="2"/>
        <w:widowControl/>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4.电力领域失信联合惩戒对象黑名单管理；</w:t>
      </w:r>
    </w:p>
    <w:p>
      <w:pPr>
        <w:pStyle w:val="2"/>
        <w:widowControl/>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5.交易新业务、新品种试点或推广顺序拟定，特殊交易品种准入等；</w:t>
      </w:r>
    </w:p>
    <w:p>
      <w:pPr>
        <w:pStyle w:val="2"/>
        <w:widowControl/>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6.浙江省能源局分类审批、监管依据；</w:t>
      </w:r>
    </w:p>
    <w:p>
      <w:pPr>
        <w:pStyle w:val="2"/>
        <w:widowControl/>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7.信用档案应用于但不限于联合惩戒。</w:t>
      </w:r>
    </w:p>
    <w:p>
      <w:pPr>
        <w:pStyle w:val="2"/>
        <w:widowControl/>
        <w:spacing w:line="579" w:lineRule="exact"/>
        <w:ind w:left="0" w:firstLine="640"/>
        <w:rPr>
          <w:rFonts w:hint="default" w:ascii="Times New Roman" w:hAnsi="Times New Roman" w:eastAsia="仿宋_GB2312" w:cs="Times New Roman"/>
          <w:kern w:val="2"/>
          <w:sz w:val="32"/>
          <w:szCs w:val="32"/>
        </w:rPr>
      </w:pPr>
      <w:r>
        <w:rPr>
          <w:rFonts w:hint="default" w:ascii="Times New Roman" w:hAnsi="Times New Roman" w:eastAsia="仿宋_GB2312" w:cs="Times New Roman"/>
          <w:color w:val="000000"/>
          <w:kern w:val="2"/>
          <w:sz w:val="32"/>
          <w:szCs w:val="32"/>
        </w:rPr>
        <w:t>（三）</w:t>
      </w:r>
      <w:r>
        <w:rPr>
          <w:rFonts w:hint="default" w:ascii="Times New Roman" w:hAnsi="Times New Roman" w:eastAsia="仿宋_GB2312" w:cs="Times New Roman"/>
          <w:kern w:val="2"/>
          <w:sz w:val="32"/>
          <w:szCs w:val="32"/>
        </w:rPr>
        <w:t>结合市场运营实际和信用评价运行情况，适时将售电公司信用评价等级和履约保函缴纳额度衔接。</w:t>
      </w:r>
    </w:p>
    <w:p>
      <w:pPr>
        <w:pStyle w:val="2"/>
        <w:widowControl/>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四）认定为一般风险的售电公司，交易中心通过公告、通知等形式向各市场主体发出风险提示；认定为较大风险的售电公司，交易中心通过公告、通知、函件、系统提示等方式向与其存在合同关系的相关方发出风险预警，并将有关情况报送浙江省能源局和浙江能源监管办，由浙江省能源局和浙江能源监管办按规定对违法违规行为予以查处。</w:t>
      </w:r>
    </w:p>
    <w:p>
      <w:pPr>
        <w:pStyle w:val="2"/>
        <w:widowControl/>
        <w:spacing w:line="579" w:lineRule="exact"/>
        <w:ind w:left="0" w:firstLine="640"/>
        <w:rPr>
          <w:rFonts w:hint="default" w:ascii="Times New Roman" w:hAnsi="Times New Roman" w:eastAsia="仿宋_GB2312" w:cs="Times New Roman"/>
          <w:color w:val="000000"/>
          <w:kern w:val="2"/>
          <w:sz w:val="32"/>
          <w:szCs w:val="32"/>
        </w:rPr>
      </w:pPr>
      <w:r>
        <w:rPr>
          <w:rFonts w:hint="default" w:ascii="Times New Roman" w:hAnsi="Times New Roman" w:eastAsia="仿宋_GB2312" w:cs="Times New Roman"/>
          <w:color w:val="000000"/>
          <w:kern w:val="2"/>
          <w:sz w:val="32"/>
          <w:szCs w:val="32"/>
        </w:rPr>
        <w:t>（五）根据《售电公司管理办法》等，存在违法失信行为被评定为C级、D级的售电公司，应当在规定期限内开展整改。</w:t>
      </w:r>
    </w:p>
    <w:p>
      <w:pPr>
        <w:keepNext w:val="0"/>
        <w:keepLines w:val="0"/>
        <w:widowControl w:val="0"/>
        <w:suppressLineNumbers w:val="0"/>
        <w:snapToGrid w:val="0"/>
        <w:spacing w:before="0" w:beforeAutospacing="0" w:after="0" w:afterAutospacing="0" w:line="579" w:lineRule="exact"/>
        <w:ind w:left="0" w:right="0" w:firstLine="652" w:firstLineChars="200"/>
        <w:jc w:val="both"/>
        <w:rPr>
          <w:rFonts w:hint="default" w:ascii="Times New Roman" w:hAnsi="Times New Roman" w:eastAsia="黑体" w:cs="Times New Roman"/>
          <w:color w:val="000000"/>
          <w:spacing w:val="0"/>
          <w:kern w:val="2"/>
          <w:sz w:val="32"/>
          <w:szCs w:val="32"/>
        </w:rPr>
      </w:pPr>
      <w:r>
        <w:rPr>
          <w:rFonts w:hint="default" w:ascii="Times New Roman" w:hAnsi="Times New Roman" w:eastAsia="黑体" w:cs="Times New Roman"/>
          <w:color w:val="000000"/>
          <w:spacing w:val="0"/>
          <w:kern w:val="2"/>
          <w:sz w:val="32"/>
          <w:szCs w:val="32"/>
          <w:lang w:val="en-US" w:eastAsia="zh-CN" w:bidi="ar"/>
        </w:rPr>
        <w:t>六、</w:t>
      </w:r>
      <w:r>
        <w:rPr>
          <w:rFonts w:hint="default" w:ascii="Times New Roman" w:hAnsi="Times New Roman" w:eastAsia="黑体" w:cs="Times New Roman"/>
          <w:color w:val="000000"/>
          <w:spacing w:val="-6"/>
          <w:kern w:val="2"/>
          <w:sz w:val="32"/>
          <w:szCs w:val="32"/>
          <w:lang w:val="en-US" w:eastAsia="zh-CN" w:bidi="ar"/>
        </w:rPr>
        <w:t>附则</w:t>
      </w:r>
    </w:p>
    <w:p>
      <w:pPr>
        <w:pStyle w:val="2"/>
        <w:widowControl/>
        <w:spacing w:before="0" w:beforeAutospacing="0" w:after="0" w:afterAutospacing="0" w:line="579" w:lineRule="exact"/>
        <w:ind w:firstLine="640"/>
        <w:rPr>
          <w:rFonts w:hint="default" w:ascii="Times New Roman" w:hAnsi="Times New Roman" w:eastAsia="仿宋_GB2312" w:cs="Times New Roman"/>
          <w:color w:val="000000"/>
          <w:spacing w:val="-6"/>
          <w:kern w:val="2"/>
          <w:sz w:val="32"/>
          <w:szCs w:val="32"/>
          <w:lang w:val="en-US" w:eastAsia="zh-CN" w:bidi="ar"/>
        </w:rPr>
      </w:pPr>
      <w:r>
        <w:rPr>
          <w:rFonts w:hint="default" w:ascii="Times New Roman" w:hAnsi="Times New Roman" w:eastAsia="仿宋_GB2312" w:cs="Times New Roman"/>
          <w:color w:val="000000"/>
          <w:spacing w:val="-6"/>
          <w:kern w:val="2"/>
          <w:sz w:val="32"/>
          <w:szCs w:val="32"/>
          <w:lang w:val="en-US" w:eastAsia="zh-CN" w:bidi="ar"/>
        </w:rPr>
        <w:t>本办法由</w:t>
      </w:r>
      <w:r>
        <w:rPr>
          <w:rFonts w:hint="default" w:ascii="Times New Roman" w:hAnsi="Times New Roman" w:eastAsia="仿宋_GB2312" w:cs="Times New Roman"/>
          <w:color w:val="000000"/>
          <w:spacing w:val="-6"/>
          <w:kern w:val="2"/>
          <w:sz w:val="32"/>
          <w:szCs w:val="32"/>
          <w:lang w:eastAsia="zh-CN" w:bidi="ar"/>
        </w:rPr>
        <w:t>省发展改革委、</w:t>
      </w:r>
      <w:r>
        <w:rPr>
          <w:rFonts w:hint="default" w:ascii="Times New Roman" w:hAnsi="Times New Roman" w:eastAsia="仿宋_GB2312" w:cs="Times New Roman"/>
          <w:color w:val="000000"/>
          <w:spacing w:val="-6"/>
          <w:kern w:val="2"/>
          <w:sz w:val="32"/>
          <w:szCs w:val="32"/>
          <w:lang w:val="en-US" w:eastAsia="zh-CN" w:bidi="ar"/>
        </w:rPr>
        <w:t>省能源局负责解释，自</w:t>
      </w:r>
      <w:r>
        <w:rPr>
          <w:rFonts w:hint="default" w:ascii="Times New Roman" w:hAnsi="Times New Roman" w:eastAsia="仿宋_GB2312" w:cs="Times New Roman"/>
          <w:color w:val="000000"/>
          <w:spacing w:val="-6"/>
          <w:kern w:val="2"/>
          <w:sz w:val="32"/>
          <w:szCs w:val="32"/>
          <w:lang w:eastAsia="zh-CN" w:bidi="ar"/>
        </w:rPr>
        <w:t>发布之</w:t>
      </w:r>
      <w:r>
        <w:rPr>
          <w:rFonts w:hint="default" w:ascii="Times New Roman" w:hAnsi="Times New Roman" w:eastAsia="仿宋_GB2312" w:cs="Times New Roman"/>
          <w:color w:val="000000"/>
          <w:spacing w:val="-6"/>
          <w:kern w:val="2"/>
          <w:sz w:val="32"/>
          <w:szCs w:val="32"/>
          <w:lang w:val="en-US" w:eastAsia="zh-CN" w:bidi="ar"/>
        </w:rPr>
        <w:t>日起实施。</w:t>
      </w:r>
    </w:p>
    <w:p>
      <w:pPr>
        <w:pStyle w:val="2"/>
        <w:widowControl/>
        <w:spacing w:before="0" w:beforeAutospacing="0" w:after="0" w:afterAutospacing="0" w:line="579" w:lineRule="exact"/>
        <w:ind w:firstLine="640"/>
        <w:rPr>
          <w:rFonts w:hint="default" w:ascii="Times New Roman" w:hAnsi="Times New Roman" w:eastAsia="仿宋_GB2312" w:cs="Times New Roman"/>
          <w:color w:val="000000"/>
          <w:spacing w:val="-6"/>
          <w:kern w:val="2"/>
          <w:sz w:val="32"/>
          <w:szCs w:val="32"/>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30" w:lineRule="exact"/>
        <w:ind w:firstLine="628" w:firstLineChars="200"/>
        <w:jc w:val="both"/>
        <w:textAlignment w:val="auto"/>
        <w:outlineLvl w:val="0"/>
        <w:rPr>
          <w:rFonts w:hint="default" w:ascii="Times New Roman" w:hAnsi="Times New Roman" w:eastAsia="仿宋_GB2312" w:cs="Times New Roman"/>
          <w:b w:val="0"/>
          <w:bCs w:val="0"/>
          <w:color w:val="000000"/>
          <w:sz w:val="32"/>
          <w:szCs w:val="32"/>
          <w:highlight w:val="none"/>
          <w:lang w:eastAsia="zh-CN"/>
        </w:rPr>
      </w:pPr>
      <w:r>
        <w:rPr>
          <w:rFonts w:hint="default" w:ascii="Times New Roman" w:hAnsi="Times New Roman" w:eastAsia="仿宋_GB2312" w:cs="Times New Roman"/>
          <w:bCs/>
          <w:color w:val="000000"/>
          <w:kern w:val="2"/>
          <w:sz w:val="32"/>
          <w:szCs w:val="32"/>
          <w:highlight w:val="none"/>
          <w:lang w:val="en-US" w:eastAsia="zh-CN" w:bidi="ar-SA"/>
        </w:rPr>
        <w:t>附</w:t>
      </w:r>
      <w:r>
        <w:rPr>
          <w:rFonts w:hint="eastAsia" w:ascii="Times New Roman" w:hAnsi="Times New Roman" w:cs="Times New Roman"/>
          <w:bCs/>
          <w:color w:val="000000"/>
          <w:kern w:val="2"/>
          <w:sz w:val="32"/>
          <w:szCs w:val="32"/>
          <w:highlight w:val="none"/>
          <w:lang w:val="en-US" w:eastAsia="zh-CN" w:bidi="ar-SA"/>
        </w:rPr>
        <w:t>：</w:t>
      </w:r>
      <w:r>
        <w:rPr>
          <w:rFonts w:hint="default" w:ascii="Times New Roman" w:hAnsi="Times New Roman" w:eastAsia="仿宋_GB2312" w:cs="Times New Roman"/>
          <w:b w:val="0"/>
          <w:bCs w:val="0"/>
          <w:color w:val="000000"/>
          <w:sz w:val="32"/>
          <w:szCs w:val="32"/>
          <w:highlight w:val="none"/>
          <w:lang w:val="en-US" w:eastAsia="zh-CN"/>
        </w:rPr>
        <w:t>浙江电力市场售电公司信用评价指标体系</w:t>
      </w:r>
    </w:p>
    <w:p>
      <w:pPr>
        <w:pStyle w:val="2"/>
        <w:widowControl/>
        <w:spacing w:before="0" w:beforeAutospacing="0" w:after="0" w:afterAutospacing="0" w:line="579" w:lineRule="exact"/>
        <w:ind w:firstLine="640"/>
        <w:rPr>
          <w:rFonts w:hint="default" w:ascii="Times New Roman" w:hAnsi="Times New Roman" w:eastAsia="仿宋_GB2312" w:cs="Times New Roman"/>
          <w:color w:val="000000"/>
          <w:sz w:val="32"/>
          <w:szCs w:val="32"/>
        </w:rPr>
        <w:sectPr>
          <w:footerReference r:id="rId5" w:type="default"/>
          <w:footerReference r:id="rId6" w:type="even"/>
          <w:pgSz w:w="11906" w:h="16838"/>
          <w:pgMar w:top="2098" w:right="1474" w:bottom="1984" w:left="1588" w:header="851" w:footer="1587" w:gutter="0"/>
          <w:pgNumType w:fmt="decimal"/>
          <w:cols w:space="720" w:num="1"/>
          <w:rtlGutter w:val="0"/>
          <w:docGrid w:type="linesAndChars" w:linePitch="579" w:charSpace="1229"/>
        </w:sectPr>
      </w:pP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30" w:lineRule="exact"/>
        <w:jc w:val="both"/>
        <w:textAlignment w:val="auto"/>
        <w:outlineLvl w:val="0"/>
        <w:rPr>
          <w:rFonts w:hint="default" w:ascii="Times New Roman" w:hAnsi="Times New Roman" w:eastAsia="黑体" w:cs="Times New Roman"/>
          <w:bCs/>
          <w:color w:val="000000"/>
          <w:kern w:val="2"/>
          <w:sz w:val="32"/>
          <w:szCs w:val="32"/>
          <w:highlight w:val="none"/>
          <w:lang w:val="en-US" w:eastAsia="zh-CN" w:bidi="ar-SA"/>
        </w:rPr>
      </w:pPr>
      <w:r>
        <w:rPr>
          <w:rFonts w:hint="default" w:ascii="Times New Roman" w:hAnsi="Times New Roman" w:eastAsia="黑体" w:cs="Times New Roman"/>
          <w:bCs/>
          <w:color w:val="000000"/>
          <w:kern w:val="2"/>
          <w:sz w:val="32"/>
          <w:szCs w:val="32"/>
          <w:highlight w:val="none"/>
          <w:lang w:val="en-US" w:eastAsia="zh-CN" w:bidi="ar-SA"/>
        </w:rPr>
        <w:t>附</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530" w:lineRule="exact"/>
        <w:jc w:val="both"/>
        <w:textAlignment w:val="auto"/>
        <w:outlineLvl w:val="0"/>
        <w:rPr>
          <w:rFonts w:hint="default" w:ascii="Times New Roman" w:hAnsi="Times New Roman" w:eastAsia="黑体" w:cs="Times New Roman"/>
          <w:bCs/>
          <w:color w:val="000000"/>
          <w:kern w:val="2"/>
          <w:sz w:val="32"/>
          <w:szCs w:val="32"/>
          <w:highlight w:val="none"/>
          <w:lang w:val="en-US" w:eastAsia="zh-CN" w:bidi="ar-SA"/>
        </w:rPr>
      </w:pP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530" w:lineRule="exact"/>
        <w:jc w:val="center"/>
        <w:textAlignment w:val="auto"/>
        <w:outlineLvl w:val="0"/>
        <w:rPr>
          <w:rFonts w:hint="default" w:ascii="Times New Roman" w:hAnsi="Times New Roman" w:eastAsia="方正小标宋简体" w:cs="Times New Roman"/>
          <w:b w:val="0"/>
          <w:bCs w:val="0"/>
          <w:color w:val="000000"/>
          <w:sz w:val="44"/>
          <w:szCs w:val="44"/>
          <w:highlight w:val="none"/>
          <w:lang w:eastAsia="zh-CN"/>
        </w:rPr>
      </w:pPr>
      <w:r>
        <w:rPr>
          <w:rFonts w:hint="default" w:ascii="Times New Roman" w:hAnsi="Times New Roman" w:eastAsia="方正小标宋简体" w:cs="Times New Roman"/>
          <w:b w:val="0"/>
          <w:bCs w:val="0"/>
          <w:color w:val="000000"/>
          <w:sz w:val="44"/>
          <w:szCs w:val="44"/>
          <w:highlight w:val="none"/>
          <w:lang w:val="en-US" w:eastAsia="zh-CN"/>
        </w:rPr>
        <w:t>浙江电力市场售电公司信用评价指标体系</w:t>
      </w:r>
    </w:p>
    <w:tbl>
      <w:tblPr>
        <w:tblStyle w:val="5"/>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
      <w:tblGrid>
        <w:gridCol w:w="1188"/>
        <w:gridCol w:w="726"/>
        <w:gridCol w:w="1199"/>
        <w:gridCol w:w="817"/>
        <w:gridCol w:w="1503"/>
        <w:gridCol w:w="805"/>
        <w:gridCol w:w="2689"/>
        <w:gridCol w:w="581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tblHeader/>
          <w:jc w:val="center"/>
        </w:trPr>
        <w:tc>
          <w:tcPr>
            <w:tcW w:w="14740" w:type="dxa"/>
            <w:gridSpan w:val="8"/>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360" w:lineRule="exact"/>
              <w:jc w:val="left"/>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1.场外指标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tblHeader/>
          <w:jc w:val="center"/>
        </w:trPr>
        <w:tc>
          <w:tcPr>
            <w:tcW w:w="1914"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一级指标</w:t>
            </w:r>
          </w:p>
        </w:tc>
        <w:tc>
          <w:tcPr>
            <w:tcW w:w="2016"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二级指标</w:t>
            </w:r>
          </w:p>
        </w:tc>
        <w:tc>
          <w:tcPr>
            <w:tcW w:w="2308"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三级指标</w:t>
            </w:r>
          </w:p>
        </w:tc>
        <w:tc>
          <w:tcPr>
            <w:tcW w:w="2689" w:type="dxa"/>
            <w:vMerge w:val="restart"/>
            <w:tcBorders>
              <w:top w:val="single" w:color="000000" w:sz="8" w:space="0"/>
              <w:left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指标内容/计算公式</w:t>
            </w:r>
          </w:p>
        </w:tc>
        <w:tc>
          <w:tcPr>
            <w:tcW w:w="5813" w:type="dxa"/>
            <w:vMerge w:val="restart"/>
            <w:tcBorders>
              <w:top w:val="single" w:color="000000" w:sz="8" w:space="0"/>
              <w:left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评分标准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tblHeader/>
          <w:jc w:val="center"/>
        </w:trPr>
        <w:tc>
          <w:tcPr>
            <w:tcW w:w="118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名称</w:t>
            </w:r>
          </w:p>
        </w:tc>
        <w:tc>
          <w:tcPr>
            <w:tcW w:w="72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分数</w:t>
            </w:r>
          </w:p>
        </w:tc>
        <w:tc>
          <w:tcPr>
            <w:tcW w:w="11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名称</w:t>
            </w:r>
          </w:p>
        </w:tc>
        <w:tc>
          <w:tcPr>
            <w:tcW w:w="8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分数</w:t>
            </w:r>
          </w:p>
        </w:tc>
        <w:tc>
          <w:tcPr>
            <w:tcW w:w="15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名称</w:t>
            </w:r>
          </w:p>
        </w:tc>
        <w:tc>
          <w:tcPr>
            <w:tcW w:w="80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分数</w:t>
            </w:r>
          </w:p>
        </w:tc>
        <w:tc>
          <w:tcPr>
            <w:tcW w:w="2689" w:type="dxa"/>
            <w:vMerge w:val="continue"/>
            <w:tcBorders>
              <w:left w:val="single" w:color="000000" w:sz="8" w:space="0"/>
              <w:bottom w:val="single" w:color="000000" w:sz="8" w:space="0"/>
              <w:right w:val="single" w:color="000000" w:sz="8" w:space="0"/>
            </w:tcBorders>
            <w:noWrap w:val="0"/>
            <w:vAlign w:val="center"/>
          </w:tcPr>
          <w:p>
            <w:pPr>
              <w:shd w:val="clear" w:color="auto" w:fill="auto"/>
              <w:spacing w:line="360" w:lineRule="exact"/>
              <w:jc w:val="center"/>
              <w:rPr>
                <w:rFonts w:hint="default" w:ascii="Times New Roman" w:hAnsi="Times New Roman" w:eastAsia="仿宋_GB2312" w:cs="Times New Roman"/>
                <w:b/>
                <w:i w:val="0"/>
                <w:color w:val="000000"/>
                <w:sz w:val="21"/>
                <w:szCs w:val="21"/>
                <w:highlight w:val="none"/>
                <w:u w:val="none"/>
              </w:rPr>
            </w:pPr>
          </w:p>
        </w:tc>
        <w:tc>
          <w:tcPr>
            <w:tcW w:w="5813" w:type="dxa"/>
            <w:vMerge w:val="continue"/>
            <w:tcBorders>
              <w:left w:val="single" w:color="000000" w:sz="8" w:space="0"/>
              <w:bottom w:val="single" w:color="000000" w:sz="8" w:space="0"/>
              <w:right w:val="single" w:color="000000" w:sz="8" w:space="0"/>
            </w:tcBorders>
            <w:noWrap w:val="0"/>
            <w:vAlign w:val="center"/>
          </w:tcPr>
          <w:p>
            <w:pPr>
              <w:shd w:val="clear" w:color="auto" w:fill="auto"/>
              <w:spacing w:line="360" w:lineRule="exact"/>
              <w:jc w:val="center"/>
              <w:rPr>
                <w:rFonts w:hint="default" w:ascii="Times New Roman" w:hAnsi="Times New Roman" w:eastAsia="仿宋_GB2312" w:cs="Times New Roman"/>
                <w:b/>
                <w:i w:val="0"/>
                <w:color w:val="000000"/>
                <w:sz w:val="21"/>
                <w:szCs w:val="21"/>
                <w:highlight w:val="none"/>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8"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财务状况</w:t>
            </w:r>
          </w:p>
        </w:tc>
        <w:tc>
          <w:tcPr>
            <w:tcW w:w="726"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10</w:t>
            </w:r>
          </w:p>
        </w:tc>
        <w:tc>
          <w:tcPr>
            <w:tcW w:w="119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偿债能力</w:t>
            </w:r>
          </w:p>
        </w:tc>
        <w:tc>
          <w:tcPr>
            <w:tcW w:w="81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sz w:val="21"/>
                <w:szCs w:val="21"/>
                <w:highlight w:val="none"/>
                <w:u w:val="none"/>
                <w:lang w:val="en-US"/>
              </w:rPr>
            </w:pPr>
            <w:r>
              <w:rPr>
                <w:rFonts w:hint="default" w:ascii="Times New Roman" w:hAnsi="Times New Roman" w:eastAsia="仿宋_GB2312" w:cs="Times New Roman"/>
                <w:i w:val="0"/>
                <w:color w:val="000000"/>
                <w:kern w:val="0"/>
                <w:sz w:val="21"/>
                <w:szCs w:val="21"/>
                <w:highlight w:val="none"/>
                <w:u w:val="none"/>
                <w:lang w:val="en-US" w:eastAsia="zh-CN" w:bidi="ar"/>
              </w:rPr>
              <w:t>10</w:t>
            </w:r>
          </w:p>
        </w:tc>
        <w:tc>
          <w:tcPr>
            <w:tcW w:w="15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资产总额</w:t>
            </w:r>
          </w:p>
        </w:tc>
        <w:tc>
          <w:tcPr>
            <w:tcW w:w="80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5</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资产总额</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资产总额≥2亿元人民币，得5分；</w:t>
            </w:r>
          </w:p>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1亿元人民币≤资产总额＜2亿元人民币，得3分；</w:t>
            </w:r>
          </w:p>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2千万元人民币≤资产总额＜1亿元人民币，得1分。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8" w:type="dxa"/>
            <w:vMerge w:val="continue"/>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360" w:lineRule="exact"/>
              <w:jc w:val="center"/>
              <w:rPr>
                <w:rFonts w:hint="default" w:ascii="Times New Roman" w:hAnsi="Times New Roman" w:eastAsia="仿宋_GB2312" w:cs="Times New Roman"/>
                <w:i w:val="0"/>
                <w:color w:val="000000"/>
                <w:sz w:val="21"/>
                <w:szCs w:val="21"/>
                <w:highlight w:val="none"/>
                <w:u w:val="none"/>
              </w:rPr>
            </w:pPr>
          </w:p>
        </w:tc>
        <w:tc>
          <w:tcPr>
            <w:tcW w:w="726" w:type="dxa"/>
            <w:vMerge w:val="continue"/>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360" w:lineRule="exact"/>
              <w:jc w:val="center"/>
              <w:rPr>
                <w:rFonts w:hint="default" w:ascii="Times New Roman" w:hAnsi="Times New Roman" w:eastAsia="仿宋_GB2312" w:cs="Times New Roman"/>
                <w:i w:val="0"/>
                <w:color w:val="000000"/>
                <w:sz w:val="21"/>
                <w:szCs w:val="21"/>
                <w:highlight w:val="none"/>
                <w:u w:val="none"/>
              </w:rPr>
            </w:pPr>
          </w:p>
        </w:tc>
        <w:tc>
          <w:tcPr>
            <w:tcW w:w="1199" w:type="dxa"/>
            <w:vMerge w:val="continue"/>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360" w:lineRule="exact"/>
              <w:jc w:val="center"/>
              <w:rPr>
                <w:rFonts w:hint="default" w:ascii="Times New Roman" w:hAnsi="Times New Roman" w:eastAsia="仿宋_GB2312" w:cs="Times New Roman"/>
                <w:i w:val="0"/>
                <w:color w:val="000000"/>
                <w:sz w:val="21"/>
                <w:szCs w:val="21"/>
                <w:highlight w:val="none"/>
                <w:u w:val="none"/>
              </w:rPr>
            </w:pPr>
          </w:p>
        </w:tc>
        <w:tc>
          <w:tcPr>
            <w:tcW w:w="817" w:type="dxa"/>
            <w:vMerge w:val="continue"/>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360" w:lineRule="exact"/>
              <w:jc w:val="center"/>
              <w:rPr>
                <w:rFonts w:hint="default" w:ascii="Times New Roman" w:hAnsi="Times New Roman" w:eastAsia="仿宋_GB2312" w:cs="Times New Roman"/>
                <w:i w:val="0"/>
                <w:color w:val="000000"/>
                <w:sz w:val="21"/>
                <w:szCs w:val="21"/>
                <w:highlight w:val="none"/>
                <w:u w:val="none"/>
              </w:rPr>
            </w:pPr>
          </w:p>
        </w:tc>
        <w:tc>
          <w:tcPr>
            <w:tcW w:w="15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资产负债率</w:t>
            </w:r>
          </w:p>
        </w:tc>
        <w:tc>
          <w:tcPr>
            <w:tcW w:w="80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5</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资产负债率=负债总额/资产总额×100%(来自于市场主体的资产负债表)</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参评企业的资产负债率从低到高排序：</w:t>
            </w:r>
          </w:p>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资产负债率排名位于前10%，得5分；</w:t>
            </w:r>
          </w:p>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资产负债率排名位于10%-30%间，得4分；</w:t>
            </w:r>
          </w:p>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资产负债率排名位于30%-70%间，得3分；</w:t>
            </w:r>
          </w:p>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资产负债率排名位于70%-90%间，得2分；</w:t>
            </w:r>
          </w:p>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资产负债率排名位于后10%，得1分</w:t>
            </w:r>
          </w:p>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不提供数据的,得0分。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8"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信用情况</w:t>
            </w:r>
          </w:p>
        </w:tc>
        <w:tc>
          <w:tcPr>
            <w:tcW w:w="726"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20</w:t>
            </w:r>
          </w:p>
        </w:tc>
        <w:tc>
          <w:tcPr>
            <w:tcW w:w="119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个人信用</w:t>
            </w:r>
          </w:p>
        </w:tc>
        <w:tc>
          <w:tcPr>
            <w:tcW w:w="8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4</w:t>
            </w:r>
          </w:p>
        </w:tc>
        <w:tc>
          <w:tcPr>
            <w:tcW w:w="15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企业法定代表人及主要股东信用记录</w:t>
            </w:r>
          </w:p>
        </w:tc>
        <w:tc>
          <w:tcPr>
            <w:tcW w:w="80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4</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依据为个人征信报告（来自于中国人民银行）</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无不良记录，得4分；</w:t>
            </w:r>
          </w:p>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法定代表人、主要股东有不良记录，得0分；</w:t>
            </w:r>
          </w:p>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不提供企业法定代表人及主要股东的信用证明，得0分。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8" w:type="dxa"/>
            <w:vMerge w:val="continue"/>
            <w:tcBorders>
              <w:top w:val="single" w:color="000000" w:sz="8" w:space="0"/>
              <w:left w:val="single" w:color="000000" w:sz="8" w:space="0"/>
              <w:right w:val="single" w:color="000000" w:sz="8" w:space="0"/>
            </w:tcBorders>
            <w:noWrap w:val="0"/>
            <w:vAlign w:val="center"/>
          </w:tcPr>
          <w:p>
            <w:pPr>
              <w:shd w:val="clear" w:color="auto" w:fill="auto"/>
              <w:spacing w:line="360" w:lineRule="exact"/>
              <w:jc w:val="center"/>
              <w:rPr>
                <w:rFonts w:hint="default" w:ascii="Times New Roman" w:hAnsi="Times New Roman" w:eastAsia="仿宋_GB2312" w:cs="Times New Roman"/>
                <w:i w:val="0"/>
                <w:color w:val="000000"/>
                <w:sz w:val="21"/>
                <w:szCs w:val="21"/>
                <w:highlight w:val="none"/>
                <w:u w:val="none"/>
              </w:rPr>
            </w:pPr>
          </w:p>
        </w:tc>
        <w:tc>
          <w:tcPr>
            <w:tcW w:w="726" w:type="dxa"/>
            <w:vMerge w:val="continue"/>
            <w:tcBorders>
              <w:top w:val="single" w:color="000000" w:sz="8" w:space="0"/>
              <w:left w:val="single" w:color="000000" w:sz="8" w:space="0"/>
              <w:right w:val="single" w:color="000000" w:sz="8" w:space="0"/>
            </w:tcBorders>
            <w:noWrap w:val="0"/>
            <w:vAlign w:val="center"/>
          </w:tcPr>
          <w:p>
            <w:pPr>
              <w:shd w:val="clear" w:color="auto" w:fill="auto"/>
              <w:spacing w:line="360" w:lineRule="exact"/>
              <w:jc w:val="center"/>
              <w:rPr>
                <w:rFonts w:hint="default" w:ascii="Times New Roman" w:hAnsi="Times New Roman" w:eastAsia="仿宋_GB2312" w:cs="Times New Roman"/>
                <w:i w:val="0"/>
                <w:color w:val="000000"/>
                <w:sz w:val="21"/>
                <w:szCs w:val="21"/>
                <w:highlight w:val="none"/>
                <w:u w:val="none"/>
              </w:rPr>
            </w:pPr>
          </w:p>
        </w:tc>
        <w:tc>
          <w:tcPr>
            <w:tcW w:w="1199"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企业信用</w:t>
            </w:r>
          </w:p>
        </w:tc>
        <w:tc>
          <w:tcPr>
            <w:tcW w:w="81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6</w:t>
            </w:r>
          </w:p>
        </w:tc>
        <w:tc>
          <w:tcPr>
            <w:tcW w:w="15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信用记录</w:t>
            </w:r>
          </w:p>
        </w:tc>
        <w:tc>
          <w:tcPr>
            <w:tcW w:w="80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3</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依据为社会信用记录（企业被政府、相关监管机构处罚或通报批评；国家企业信用信息公示系统年度报告；“信用中国网站”所公布的信用不良记录。）、金融信用记录（资信报告是银行对市场主体的记录资料作较全面的描述并对该市场主体信誉状况进行评价的证明文件。）</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无不良信用记录，3分；</w:t>
            </w:r>
            <w:r>
              <w:rPr>
                <w:rFonts w:hint="default" w:ascii="Times New Roman" w:hAnsi="Times New Roman" w:eastAsia="仿宋_GB2312" w:cs="Times New Roman"/>
                <w:i w:val="0"/>
                <w:color w:val="000000"/>
                <w:kern w:val="0"/>
                <w:sz w:val="21"/>
                <w:szCs w:val="21"/>
                <w:highlight w:val="none"/>
                <w:u w:val="none"/>
                <w:lang w:val="en-US" w:eastAsia="zh-CN" w:bidi="ar"/>
              </w:rPr>
              <w:br w:type="textWrapping"/>
            </w:r>
            <w:r>
              <w:rPr>
                <w:rFonts w:hint="default" w:ascii="Times New Roman" w:hAnsi="Times New Roman" w:eastAsia="仿宋_GB2312" w:cs="Times New Roman"/>
                <w:i w:val="0"/>
                <w:color w:val="000000"/>
                <w:kern w:val="0"/>
                <w:sz w:val="21"/>
                <w:szCs w:val="21"/>
                <w:highlight w:val="none"/>
                <w:u w:val="none"/>
                <w:lang w:val="en-US" w:eastAsia="zh-CN" w:bidi="ar"/>
              </w:rPr>
              <w:t>企业存在不良信用记录的，视情况严重程度每1条不良信用记录扣1分，或直接不得分。</w:t>
            </w:r>
            <w:r>
              <w:rPr>
                <w:rFonts w:hint="default" w:ascii="Times New Roman" w:hAnsi="Times New Roman" w:eastAsia="仿宋_GB2312" w:cs="Times New Roman"/>
                <w:i w:val="0"/>
                <w:color w:val="000000"/>
                <w:kern w:val="0"/>
                <w:sz w:val="21"/>
                <w:szCs w:val="21"/>
                <w:highlight w:val="none"/>
                <w:u w:val="none"/>
                <w:lang w:val="en-US" w:eastAsia="zh-CN" w:bidi="ar"/>
              </w:rPr>
              <w:br w:type="textWrapping"/>
            </w:r>
            <w:r>
              <w:rPr>
                <w:rFonts w:hint="default" w:ascii="Times New Roman" w:hAnsi="Times New Roman" w:eastAsia="仿宋_GB2312" w:cs="Times New Roman"/>
                <w:i w:val="0"/>
                <w:color w:val="000000"/>
                <w:kern w:val="0"/>
                <w:sz w:val="21"/>
                <w:szCs w:val="21"/>
                <w:highlight w:val="none"/>
                <w:u w:val="none"/>
                <w:lang w:val="en-US" w:eastAsia="zh-CN" w:bidi="ar"/>
              </w:rPr>
              <w:t>不提供社会信用记录和金融信用记录的，得0分。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8" w:type="dxa"/>
            <w:vMerge w:val="continue"/>
            <w:tcBorders>
              <w:left w:val="single" w:color="000000" w:sz="8" w:space="0"/>
              <w:right w:val="single" w:color="000000" w:sz="8" w:space="0"/>
            </w:tcBorders>
            <w:noWrap w:val="0"/>
            <w:vAlign w:val="center"/>
          </w:tcPr>
          <w:p>
            <w:pPr>
              <w:shd w:val="clear" w:color="auto" w:fill="auto"/>
              <w:spacing w:line="360" w:lineRule="exact"/>
              <w:jc w:val="center"/>
              <w:rPr>
                <w:rFonts w:hint="default" w:ascii="Times New Roman" w:hAnsi="Times New Roman" w:eastAsia="仿宋_GB2312" w:cs="Times New Roman"/>
                <w:i w:val="0"/>
                <w:color w:val="000000"/>
                <w:sz w:val="21"/>
                <w:szCs w:val="21"/>
                <w:highlight w:val="none"/>
                <w:u w:val="none"/>
              </w:rPr>
            </w:pPr>
          </w:p>
        </w:tc>
        <w:tc>
          <w:tcPr>
            <w:tcW w:w="726" w:type="dxa"/>
            <w:vMerge w:val="continue"/>
            <w:tcBorders>
              <w:left w:val="single" w:color="000000" w:sz="8" w:space="0"/>
              <w:right w:val="single" w:color="000000" w:sz="8" w:space="0"/>
            </w:tcBorders>
            <w:noWrap w:val="0"/>
            <w:vAlign w:val="center"/>
          </w:tcPr>
          <w:p>
            <w:pPr>
              <w:shd w:val="clear" w:color="auto" w:fill="auto"/>
              <w:spacing w:line="360" w:lineRule="exact"/>
              <w:jc w:val="center"/>
              <w:rPr>
                <w:rFonts w:hint="default" w:ascii="Times New Roman" w:hAnsi="Times New Roman" w:eastAsia="仿宋_GB2312" w:cs="Times New Roman"/>
                <w:i w:val="0"/>
                <w:color w:val="000000"/>
                <w:sz w:val="21"/>
                <w:szCs w:val="21"/>
                <w:highlight w:val="none"/>
                <w:u w:val="none"/>
              </w:rPr>
            </w:pPr>
          </w:p>
        </w:tc>
        <w:tc>
          <w:tcPr>
            <w:tcW w:w="1199" w:type="dxa"/>
            <w:vMerge w:val="continue"/>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360" w:lineRule="exact"/>
              <w:jc w:val="center"/>
              <w:rPr>
                <w:rFonts w:hint="default" w:ascii="Times New Roman" w:hAnsi="Times New Roman" w:eastAsia="仿宋_GB2312" w:cs="Times New Roman"/>
                <w:i w:val="0"/>
                <w:color w:val="000000"/>
                <w:sz w:val="21"/>
                <w:szCs w:val="21"/>
                <w:highlight w:val="none"/>
                <w:u w:val="none"/>
              </w:rPr>
            </w:pPr>
          </w:p>
        </w:tc>
        <w:tc>
          <w:tcPr>
            <w:tcW w:w="817" w:type="dxa"/>
            <w:vMerge w:val="continue"/>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360" w:lineRule="exact"/>
              <w:jc w:val="center"/>
              <w:rPr>
                <w:rFonts w:hint="default" w:ascii="Times New Roman" w:hAnsi="Times New Roman" w:eastAsia="仿宋_GB2312" w:cs="Times New Roman"/>
                <w:i w:val="0"/>
                <w:color w:val="000000"/>
                <w:sz w:val="21"/>
                <w:szCs w:val="21"/>
                <w:highlight w:val="none"/>
                <w:u w:val="none"/>
              </w:rPr>
            </w:pPr>
          </w:p>
        </w:tc>
        <w:tc>
          <w:tcPr>
            <w:tcW w:w="15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企业纳税记录</w:t>
            </w:r>
          </w:p>
        </w:tc>
        <w:tc>
          <w:tcPr>
            <w:tcW w:w="80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3</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依据为纳税证明（来自于国家税务总局网站）</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提供了纳税证明，按照税务局的等级评分：A，得3分；B，得2分；M（新进市场主体），得1.5分；C，得1分；D，得0分。不提供纳税等级证明，得0分。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8" w:type="dxa"/>
            <w:vMerge w:val="continue"/>
            <w:tcBorders>
              <w:left w:val="single" w:color="000000" w:sz="8" w:space="0"/>
              <w:bottom w:val="single" w:color="000000" w:sz="8" w:space="0"/>
              <w:right w:val="single" w:color="000000" w:sz="8" w:space="0"/>
            </w:tcBorders>
            <w:noWrap w:val="0"/>
            <w:vAlign w:val="center"/>
          </w:tcPr>
          <w:p>
            <w:pPr>
              <w:shd w:val="clear" w:color="auto" w:fill="auto"/>
              <w:spacing w:line="360" w:lineRule="exact"/>
              <w:jc w:val="center"/>
              <w:rPr>
                <w:rFonts w:hint="default" w:ascii="Times New Roman" w:hAnsi="Times New Roman" w:eastAsia="仿宋_GB2312" w:cs="Times New Roman"/>
                <w:i w:val="0"/>
                <w:color w:val="000000"/>
                <w:sz w:val="21"/>
                <w:szCs w:val="21"/>
                <w:highlight w:val="none"/>
                <w:u w:val="none"/>
              </w:rPr>
            </w:pPr>
          </w:p>
        </w:tc>
        <w:tc>
          <w:tcPr>
            <w:tcW w:w="726" w:type="dxa"/>
            <w:vMerge w:val="continue"/>
            <w:tcBorders>
              <w:left w:val="single" w:color="000000" w:sz="8" w:space="0"/>
              <w:bottom w:val="single" w:color="000000" w:sz="8" w:space="0"/>
              <w:right w:val="single" w:color="000000" w:sz="8" w:space="0"/>
            </w:tcBorders>
            <w:noWrap w:val="0"/>
            <w:vAlign w:val="center"/>
          </w:tcPr>
          <w:p>
            <w:pPr>
              <w:shd w:val="clear" w:color="auto" w:fill="auto"/>
              <w:spacing w:line="360" w:lineRule="exact"/>
              <w:jc w:val="center"/>
              <w:rPr>
                <w:rFonts w:hint="default" w:ascii="Times New Roman" w:hAnsi="Times New Roman" w:eastAsia="仿宋_GB2312" w:cs="Times New Roman"/>
                <w:i w:val="0"/>
                <w:color w:val="000000"/>
                <w:sz w:val="21"/>
                <w:szCs w:val="21"/>
                <w:highlight w:val="none"/>
                <w:u w:val="none"/>
              </w:rPr>
            </w:pPr>
          </w:p>
        </w:tc>
        <w:tc>
          <w:tcPr>
            <w:tcW w:w="1199" w:type="dxa"/>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360" w:lineRule="exact"/>
              <w:jc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sz w:val="21"/>
                <w:szCs w:val="21"/>
                <w:highlight w:val="none"/>
                <w:u w:val="none"/>
              </w:rPr>
              <w:t>公共信用评价</w:t>
            </w:r>
          </w:p>
        </w:tc>
        <w:tc>
          <w:tcPr>
            <w:tcW w:w="817" w:type="dxa"/>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360" w:lineRule="exact"/>
              <w:jc w:val="center"/>
              <w:rPr>
                <w:rFonts w:hint="default" w:ascii="Times New Roman" w:hAnsi="Times New Roman" w:eastAsia="仿宋_GB2312" w:cs="Times New Roman"/>
                <w:i w:val="0"/>
                <w:color w:val="000000"/>
                <w:sz w:val="21"/>
                <w:szCs w:val="21"/>
                <w:highlight w:val="none"/>
                <w:u w:val="none"/>
                <w:lang w:val="en-US" w:eastAsia="zh-CN"/>
              </w:rPr>
            </w:pPr>
            <w:r>
              <w:rPr>
                <w:rFonts w:hint="default" w:ascii="Times New Roman" w:hAnsi="Times New Roman" w:eastAsia="仿宋_GB2312" w:cs="Times New Roman"/>
                <w:i w:val="0"/>
                <w:color w:val="000000"/>
                <w:sz w:val="21"/>
                <w:szCs w:val="21"/>
                <w:highlight w:val="none"/>
                <w:u w:val="none"/>
                <w:lang w:val="en-US" w:eastAsia="zh-CN"/>
              </w:rPr>
              <w:t>10</w:t>
            </w:r>
          </w:p>
        </w:tc>
        <w:tc>
          <w:tcPr>
            <w:tcW w:w="15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sz w:val="21"/>
                <w:szCs w:val="21"/>
                <w:highlight w:val="none"/>
                <w:u w:val="none"/>
              </w:rPr>
              <w:t>公共信用评价</w:t>
            </w:r>
            <w:r>
              <w:rPr>
                <w:rFonts w:hint="default" w:ascii="Times New Roman" w:hAnsi="Times New Roman" w:eastAsia="仿宋_GB2312" w:cs="Times New Roman"/>
                <w:i w:val="0"/>
                <w:color w:val="000000"/>
                <w:sz w:val="21"/>
                <w:szCs w:val="21"/>
                <w:highlight w:val="none"/>
                <w:u w:val="none"/>
                <w:lang w:eastAsia="zh-CN"/>
              </w:rPr>
              <w:t>结果</w:t>
            </w:r>
          </w:p>
        </w:tc>
        <w:tc>
          <w:tcPr>
            <w:tcW w:w="80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10</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浙江省信用中心提供</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浙江省信用中心提供。</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5433" w:type="dxa"/>
            <w:gridSpan w:val="5"/>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分值总计</w:t>
            </w:r>
          </w:p>
        </w:tc>
        <w:tc>
          <w:tcPr>
            <w:tcW w:w="80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30</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360" w:lineRule="exact"/>
              <w:rPr>
                <w:rFonts w:hint="default" w:ascii="Times New Roman" w:hAnsi="Times New Roman" w:eastAsia="仿宋_GB2312" w:cs="Times New Roman"/>
                <w:b/>
                <w:i w:val="0"/>
                <w:color w:val="000000"/>
                <w:sz w:val="21"/>
                <w:szCs w:val="21"/>
                <w:highlight w:val="none"/>
                <w:u w:val="none"/>
              </w:rPr>
            </w:pP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360" w:lineRule="exact"/>
              <w:rPr>
                <w:rFonts w:hint="default" w:ascii="Times New Roman" w:hAnsi="Times New Roman" w:eastAsia="仿宋_GB2312" w:cs="Times New Roman"/>
                <w:b/>
                <w:i w:val="0"/>
                <w:color w:val="000000"/>
                <w:sz w:val="21"/>
                <w:szCs w:val="21"/>
                <w:highlight w:val="none"/>
                <w:u w:val="none"/>
              </w:rPr>
            </w:pPr>
          </w:p>
        </w:tc>
      </w:tr>
    </w:tbl>
    <w:p>
      <w:pPr>
        <w:shd w:val="clear" w:color="auto" w:fill="auto"/>
        <w:rPr>
          <w:rFonts w:ascii="Times New Roman" w:hAnsi="Times New Roman" w:cs="Times New Roman"/>
          <w:highlight w:val="none"/>
        </w:rPr>
      </w:pPr>
    </w:p>
    <w:tbl>
      <w:tblPr>
        <w:tblStyle w:val="5"/>
        <w:tblW w:w="0" w:type="auto"/>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
      <w:tblGrid>
        <w:gridCol w:w="1187"/>
        <w:gridCol w:w="726"/>
        <w:gridCol w:w="1303"/>
        <w:gridCol w:w="714"/>
        <w:gridCol w:w="1596"/>
        <w:gridCol w:w="712"/>
        <w:gridCol w:w="2689"/>
        <w:gridCol w:w="581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tblHeader/>
          <w:jc w:val="center"/>
        </w:trPr>
        <w:tc>
          <w:tcPr>
            <w:tcW w:w="14740" w:type="dxa"/>
            <w:gridSpan w:val="8"/>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360" w:lineRule="exact"/>
              <w:jc w:val="left"/>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2.场内指标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tblHeader/>
          <w:jc w:val="center"/>
        </w:trPr>
        <w:tc>
          <w:tcPr>
            <w:tcW w:w="1913"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一级指标</w:t>
            </w:r>
          </w:p>
        </w:tc>
        <w:tc>
          <w:tcPr>
            <w:tcW w:w="2017"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二级指标</w:t>
            </w:r>
          </w:p>
        </w:tc>
        <w:tc>
          <w:tcPr>
            <w:tcW w:w="2308"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三级指标</w:t>
            </w:r>
          </w:p>
        </w:tc>
        <w:tc>
          <w:tcPr>
            <w:tcW w:w="2689" w:type="dxa"/>
            <w:vMerge w:val="restart"/>
            <w:tcBorders>
              <w:top w:val="single" w:color="000000" w:sz="8" w:space="0"/>
              <w:left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指标内容/计算公式</w:t>
            </w:r>
          </w:p>
        </w:tc>
        <w:tc>
          <w:tcPr>
            <w:tcW w:w="5813" w:type="dxa"/>
            <w:vMerge w:val="restart"/>
            <w:tcBorders>
              <w:top w:val="single" w:color="000000" w:sz="8" w:space="0"/>
              <w:left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评分标准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tblHeader/>
          <w:jc w:val="center"/>
        </w:trPr>
        <w:tc>
          <w:tcPr>
            <w:tcW w:w="118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名称</w:t>
            </w:r>
          </w:p>
        </w:tc>
        <w:tc>
          <w:tcPr>
            <w:tcW w:w="72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分数</w:t>
            </w:r>
          </w:p>
        </w:tc>
        <w:tc>
          <w:tcPr>
            <w:tcW w:w="13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名称</w:t>
            </w:r>
          </w:p>
        </w:tc>
        <w:tc>
          <w:tcPr>
            <w:tcW w:w="71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分数</w:t>
            </w: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名称</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分数</w:t>
            </w:r>
          </w:p>
        </w:tc>
        <w:tc>
          <w:tcPr>
            <w:tcW w:w="2689" w:type="dxa"/>
            <w:vMerge w:val="continue"/>
            <w:tcBorders>
              <w:left w:val="single" w:color="000000" w:sz="8" w:space="0"/>
              <w:bottom w:val="single" w:color="000000" w:sz="8" w:space="0"/>
              <w:right w:val="single" w:color="000000" w:sz="8" w:space="0"/>
            </w:tcBorders>
            <w:noWrap w:val="0"/>
            <w:vAlign w:val="center"/>
          </w:tcPr>
          <w:p>
            <w:pPr>
              <w:shd w:val="clear" w:color="auto" w:fill="auto"/>
              <w:spacing w:line="360" w:lineRule="exact"/>
              <w:jc w:val="center"/>
              <w:rPr>
                <w:rFonts w:hint="default" w:ascii="Times New Roman" w:hAnsi="Times New Roman" w:eastAsia="仿宋_GB2312" w:cs="Times New Roman"/>
                <w:b/>
                <w:i w:val="0"/>
                <w:color w:val="000000"/>
                <w:sz w:val="21"/>
                <w:szCs w:val="21"/>
                <w:highlight w:val="none"/>
                <w:u w:val="none"/>
              </w:rPr>
            </w:pPr>
          </w:p>
        </w:tc>
        <w:tc>
          <w:tcPr>
            <w:tcW w:w="5813" w:type="dxa"/>
            <w:vMerge w:val="continue"/>
            <w:tcBorders>
              <w:left w:val="single" w:color="000000" w:sz="8" w:space="0"/>
              <w:bottom w:val="single" w:color="000000" w:sz="8" w:space="0"/>
              <w:right w:val="single" w:color="000000" w:sz="8" w:space="0"/>
            </w:tcBorders>
            <w:noWrap w:val="0"/>
            <w:vAlign w:val="center"/>
          </w:tcPr>
          <w:p>
            <w:pPr>
              <w:shd w:val="clear" w:color="auto" w:fill="auto"/>
              <w:spacing w:line="360" w:lineRule="exact"/>
              <w:jc w:val="center"/>
              <w:rPr>
                <w:rFonts w:hint="default" w:ascii="Times New Roman" w:hAnsi="Times New Roman" w:eastAsia="仿宋_GB2312" w:cs="Times New Roman"/>
                <w:b/>
                <w:i w:val="0"/>
                <w:color w:val="000000"/>
                <w:sz w:val="21"/>
                <w:szCs w:val="21"/>
                <w:highlight w:val="none"/>
                <w:u w:val="none"/>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3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运营能力</w:t>
            </w:r>
          </w:p>
        </w:tc>
        <w:tc>
          <w:tcPr>
            <w:tcW w:w="726"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30" w:lineRule="exact"/>
              <w:jc w:val="center"/>
              <w:textAlignment w:val="center"/>
              <w:rPr>
                <w:rFonts w:hint="default" w:ascii="Times New Roman" w:hAnsi="Times New Roman" w:eastAsia="仿宋_GB2312" w:cs="Times New Roman"/>
                <w:i w:val="0"/>
                <w:color w:val="000000"/>
                <w:sz w:val="21"/>
                <w:szCs w:val="21"/>
                <w:highlight w:val="none"/>
                <w:u w:val="none"/>
                <w:lang w:val="en-US"/>
              </w:rPr>
            </w:pPr>
            <w:r>
              <w:rPr>
                <w:rFonts w:hint="default" w:ascii="Times New Roman" w:hAnsi="Times New Roman" w:eastAsia="仿宋_GB2312" w:cs="Times New Roman"/>
                <w:i w:val="0"/>
                <w:color w:val="000000"/>
                <w:kern w:val="0"/>
                <w:sz w:val="21"/>
                <w:szCs w:val="21"/>
                <w:highlight w:val="none"/>
                <w:u w:val="none"/>
                <w:lang w:val="en-US" w:eastAsia="zh-CN" w:bidi="ar"/>
              </w:rPr>
              <w:t>20</w:t>
            </w:r>
          </w:p>
        </w:tc>
        <w:tc>
          <w:tcPr>
            <w:tcW w:w="1303"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3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规模优势</w:t>
            </w:r>
          </w:p>
        </w:tc>
        <w:tc>
          <w:tcPr>
            <w:tcW w:w="714"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3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8</w:t>
            </w: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3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服务用户用电量</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3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2</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3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评价周期末的售电公司绑定用户用电量</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3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计算评价周期内售电公司累计结算电量（兆瓦时）。</w:t>
            </w:r>
          </w:p>
          <w:p>
            <w:pPr>
              <w:keepNext w:val="0"/>
              <w:keepLines w:val="0"/>
              <w:widowControl/>
              <w:suppressLineNumbers w:val="0"/>
              <w:shd w:val="clear" w:color="auto" w:fill="auto"/>
              <w:spacing w:line="33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结算电量≥平均数*2，得2分；</w:t>
            </w:r>
          </w:p>
          <w:p>
            <w:pPr>
              <w:keepNext w:val="0"/>
              <w:keepLines w:val="0"/>
              <w:widowControl/>
              <w:suppressLineNumbers w:val="0"/>
              <w:shd w:val="clear" w:color="auto" w:fill="auto"/>
              <w:spacing w:line="33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平均数≤结算电量＜平均数*2,得1.5分；</w:t>
            </w:r>
          </w:p>
          <w:p>
            <w:pPr>
              <w:keepNext w:val="0"/>
              <w:keepLines w:val="0"/>
              <w:widowControl/>
              <w:suppressLineNumbers w:val="0"/>
              <w:shd w:val="clear" w:color="auto" w:fill="auto"/>
              <w:spacing w:line="33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平均数*0.5≤结算电量＜平均数,得1分；</w:t>
            </w:r>
          </w:p>
          <w:p>
            <w:pPr>
              <w:keepNext w:val="0"/>
              <w:keepLines w:val="0"/>
              <w:widowControl/>
              <w:suppressLineNumbers w:val="0"/>
              <w:shd w:val="clear" w:color="auto" w:fill="auto"/>
              <w:spacing w:line="33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结算电量＜平均数*0.5,得0.5分。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7" w:type="dxa"/>
            <w:vMerge w:val="continue"/>
            <w:tcBorders>
              <w:left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p>
        </w:tc>
        <w:tc>
          <w:tcPr>
            <w:tcW w:w="726" w:type="dxa"/>
            <w:vMerge w:val="continue"/>
            <w:tcBorders>
              <w:left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p>
        </w:tc>
        <w:tc>
          <w:tcPr>
            <w:tcW w:w="1303" w:type="dxa"/>
            <w:vMerge w:val="continue"/>
            <w:tcBorders>
              <w:left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p>
        </w:tc>
        <w:tc>
          <w:tcPr>
            <w:tcW w:w="714" w:type="dxa"/>
            <w:vMerge w:val="continue"/>
            <w:tcBorders>
              <w:left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服务用户数</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2</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评价周期末的售电公司绑定用户数量（户）</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计算售电公司评价周期内平均代理用户数量。</w:t>
            </w:r>
          </w:p>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代理用户数≥平均数*2,得2分；</w:t>
            </w:r>
          </w:p>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平均数≤代理用户数＜平均数*2,得1.5分；</w:t>
            </w:r>
          </w:p>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平均数*0.5≤代理用户数＜平均数,得1分；</w:t>
            </w:r>
          </w:p>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代理用户数＜平均数*0.5,得0.5分。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7" w:type="dxa"/>
            <w:vMerge w:val="continue"/>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360" w:lineRule="exact"/>
              <w:jc w:val="center"/>
              <w:rPr>
                <w:rFonts w:hint="default" w:ascii="Times New Roman" w:hAnsi="Times New Roman" w:eastAsia="仿宋_GB2312" w:cs="Times New Roman"/>
                <w:i w:val="0"/>
                <w:color w:val="000000"/>
                <w:sz w:val="21"/>
                <w:szCs w:val="21"/>
                <w:highlight w:val="none"/>
                <w:u w:val="none"/>
              </w:rPr>
            </w:pPr>
          </w:p>
        </w:tc>
        <w:tc>
          <w:tcPr>
            <w:tcW w:w="726" w:type="dxa"/>
            <w:vMerge w:val="continue"/>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360" w:lineRule="exact"/>
              <w:jc w:val="center"/>
              <w:rPr>
                <w:rFonts w:hint="default" w:ascii="Times New Roman" w:hAnsi="Times New Roman" w:eastAsia="仿宋_GB2312" w:cs="Times New Roman"/>
                <w:i w:val="0"/>
                <w:color w:val="000000"/>
                <w:sz w:val="21"/>
                <w:szCs w:val="21"/>
                <w:highlight w:val="none"/>
                <w:u w:val="none"/>
              </w:rPr>
            </w:pPr>
          </w:p>
        </w:tc>
        <w:tc>
          <w:tcPr>
            <w:tcW w:w="1303" w:type="dxa"/>
            <w:vMerge w:val="continue"/>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360" w:lineRule="exact"/>
              <w:jc w:val="center"/>
              <w:rPr>
                <w:rFonts w:hint="default" w:ascii="Times New Roman" w:hAnsi="Times New Roman" w:eastAsia="仿宋_GB2312" w:cs="Times New Roman"/>
                <w:i w:val="0"/>
                <w:color w:val="000000"/>
                <w:sz w:val="21"/>
                <w:szCs w:val="21"/>
                <w:highlight w:val="none"/>
                <w:u w:val="none"/>
              </w:rPr>
            </w:pPr>
          </w:p>
        </w:tc>
        <w:tc>
          <w:tcPr>
            <w:tcW w:w="714" w:type="dxa"/>
            <w:vMerge w:val="continue"/>
            <w:tcBorders>
              <w:top w:val="single" w:color="000000" w:sz="8" w:space="0"/>
              <w:left w:val="single" w:color="000000" w:sz="8" w:space="0"/>
              <w:bottom w:val="single" w:color="000000" w:sz="8" w:space="0"/>
              <w:right w:val="single" w:color="000000" w:sz="8" w:space="0"/>
            </w:tcBorders>
            <w:noWrap w:val="0"/>
            <w:vAlign w:val="center"/>
          </w:tcPr>
          <w:p>
            <w:pPr>
              <w:shd w:val="clear" w:color="auto" w:fill="auto"/>
              <w:spacing w:line="360" w:lineRule="exact"/>
              <w:jc w:val="center"/>
              <w:rPr>
                <w:rFonts w:hint="default" w:ascii="Times New Roman" w:hAnsi="Times New Roman" w:eastAsia="仿宋_GB2312" w:cs="Times New Roman"/>
                <w:i w:val="0"/>
                <w:color w:val="000000"/>
                <w:sz w:val="21"/>
                <w:szCs w:val="21"/>
                <w:highlight w:val="none"/>
                <w:u w:val="none"/>
              </w:rPr>
            </w:pP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用户粘性</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center"/>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2</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用户粘性=（当年年度代理的用户数量-上年年度代理的用户数量）/上年年度代理的用户数量*100%</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用户粘性平均数为当年年度参与市场的所有售电公司用户粘性的算数平均值；</w:t>
            </w:r>
          </w:p>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用户粘性≥平均数*2,得2分；</w:t>
            </w:r>
          </w:p>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平均数≤用户粘性＜平均数*2,得1.5分；</w:t>
            </w:r>
          </w:p>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kern w:val="0"/>
                <w:sz w:val="21"/>
                <w:szCs w:val="21"/>
                <w:highlight w:val="none"/>
                <w:u w:val="none"/>
                <w:lang w:val="en-US" w:eastAsia="zh-CN" w:bidi="ar"/>
              </w:rPr>
            </w:pPr>
            <w:r>
              <w:rPr>
                <w:rFonts w:hint="default" w:ascii="Times New Roman" w:hAnsi="Times New Roman" w:eastAsia="仿宋_GB2312" w:cs="Times New Roman"/>
                <w:i w:val="0"/>
                <w:color w:val="000000"/>
                <w:kern w:val="0"/>
                <w:sz w:val="21"/>
                <w:szCs w:val="21"/>
                <w:highlight w:val="none"/>
                <w:u w:val="none"/>
                <w:lang w:val="en-US" w:eastAsia="zh-CN" w:bidi="ar"/>
              </w:rPr>
              <w:t>平均数*0.5≤用户粘性＜平均数,得1分；</w:t>
            </w:r>
          </w:p>
          <w:p>
            <w:pPr>
              <w:keepNext w:val="0"/>
              <w:keepLines w:val="0"/>
              <w:widowControl/>
              <w:suppressLineNumbers w:val="0"/>
              <w:shd w:val="clear" w:color="auto" w:fill="auto"/>
              <w:spacing w:line="360" w:lineRule="exact"/>
              <w:jc w:val="left"/>
              <w:textAlignment w:val="center"/>
              <w:rPr>
                <w:rFonts w:hint="default" w:ascii="Times New Roman" w:hAnsi="Times New Roman" w:eastAsia="仿宋_GB2312" w:cs="Times New Roman"/>
                <w:i w:val="0"/>
                <w:color w:val="000000"/>
                <w:sz w:val="21"/>
                <w:szCs w:val="21"/>
                <w:highlight w:val="none"/>
                <w:u w:val="none"/>
              </w:rPr>
            </w:pPr>
            <w:r>
              <w:rPr>
                <w:rFonts w:hint="default" w:ascii="Times New Roman" w:hAnsi="Times New Roman" w:eastAsia="仿宋_GB2312" w:cs="Times New Roman"/>
                <w:i w:val="0"/>
                <w:color w:val="000000"/>
                <w:kern w:val="0"/>
                <w:sz w:val="21"/>
                <w:szCs w:val="21"/>
                <w:highlight w:val="none"/>
                <w:u w:val="none"/>
                <w:lang w:val="en-US" w:eastAsia="zh-CN" w:bidi="ar"/>
              </w:rPr>
              <w:t>用户粘性＜平均数*0.5,得0.5分。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7"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7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1303"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714"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专业人员结构</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取得高级专业职称（且能够提供社保证明）的人数</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（1）专业人员职称满足1名高级职称和3名中级职称，且有额外3名人员及以上取得高级专业职称的，得2分；</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（2）专业人员职称满足1名高级职称和3名中级职称，且有额外2名人员取得高级专业职称的，得1.8分；</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（3）专业人员职称满足1名高级职称和3名中级职称，且有额外1名人员取得高级专业职称的，得1.5分；</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（4）专业人员职称满足1名高级职称和3名中级职称要求的，得1.2分。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7"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7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1303"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注册信息</w:t>
            </w:r>
          </w:p>
        </w:tc>
        <w:tc>
          <w:tcPr>
            <w:tcW w:w="714"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注册变更规范性</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注册或变更资料驳回次数和注册信息变更及时性</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注册或变更申请驳回次数2次及以下，得2分；</w:t>
            </w:r>
          </w:p>
          <w:p>
            <w:pPr>
              <w:keepNext w:val="0"/>
              <w:keepLines w:val="0"/>
              <w:widowControl/>
              <w:suppressLineNumbers w:val="0"/>
              <w:spacing w:line="38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驳回2次以上的，每驳回1次，扣1分，扣完为止。</w:t>
            </w:r>
          </w:p>
          <w:p>
            <w:pPr>
              <w:keepNext w:val="0"/>
              <w:keepLines w:val="0"/>
              <w:widowControl/>
              <w:suppressLineNumbers w:val="0"/>
              <w:spacing w:line="38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注册信息变更时，应在5个工作日内向电力交易中心申请变更。每发生一次未及时变更，扣0.5分，扣完为止。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7"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7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1303"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714"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注册信息完整性</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注册信息完整无缺失</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交易平台注册信息完整，得2分；</w:t>
            </w:r>
          </w:p>
          <w:p>
            <w:pPr>
              <w:keepNext w:val="0"/>
              <w:keepLines w:val="0"/>
              <w:widowControl/>
              <w:suppressLineNumbers w:val="0"/>
              <w:spacing w:line="38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每缺失1项信息，扣1分，扣完为止。</w:t>
            </w:r>
          </w:p>
          <w:p>
            <w:pPr>
              <w:keepNext w:val="0"/>
              <w:keepLines w:val="0"/>
              <w:widowControl/>
              <w:suppressLineNumbers w:val="0"/>
              <w:spacing w:line="38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联系人信息错误或手机号码空号，扣1分。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7"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7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13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信用优势</w:t>
            </w:r>
          </w:p>
        </w:tc>
        <w:tc>
          <w:tcPr>
            <w:tcW w:w="71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w:t>
            </w: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欠费缴纳及时性</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评价周期内售电公司欠费缴纳及时性</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8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需要支付欠费的售电公司应及时缴纳欠费，出现1次使用履约保函情况，本项得0分；</w:t>
            </w:r>
          </w:p>
          <w:p>
            <w:pPr>
              <w:keepNext w:val="0"/>
              <w:keepLines w:val="0"/>
              <w:widowControl/>
              <w:suppressLineNumbers w:val="0"/>
              <w:spacing w:line="38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发生2次使用履约保函情况，直接降为C级。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服务能力</w:t>
            </w:r>
          </w:p>
        </w:tc>
        <w:tc>
          <w:tcPr>
            <w:tcW w:w="726"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8</w:t>
            </w:r>
          </w:p>
        </w:tc>
        <w:tc>
          <w:tcPr>
            <w:tcW w:w="1303"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服务渠道</w:t>
            </w:r>
          </w:p>
        </w:tc>
        <w:tc>
          <w:tcPr>
            <w:tcW w:w="714"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线下服务渠道</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对外公布客服电话、营业场所地址</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8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交易中心抽查联络电话、客服电话工作时间能是否保持接通，每发现一次扣0.1分。抽查时间为工作日（法定节假日除外）上午9：00-11：30、下午14：00-17：00。</w:t>
            </w:r>
          </w:p>
          <w:p>
            <w:pPr>
              <w:keepNext w:val="0"/>
              <w:keepLines w:val="0"/>
              <w:widowControl/>
              <w:suppressLineNumbers w:val="0"/>
              <w:spacing w:line="38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以下情况不得分：</w:t>
            </w:r>
          </w:p>
          <w:p>
            <w:pPr>
              <w:keepNext w:val="0"/>
              <w:keepLines w:val="0"/>
              <w:widowControl/>
              <w:suppressLineNumbers w:val="0"/>
              <w:spacing w:line="38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1.未公布客服电话或营业场所地址；</w:t>
            </w:r>
          </w:p>
          <w:p>
            <w:pPr>
              <w:keepNext w:val="0"/>
              <w:keepLines w:val="0"/>
              <w:widowControl/>
              <w:suppressLineNumbers w:val="0"/>
              <w:spacing w:line="38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2.客服电话为空号；</w:t>
            </w:r>
          </w:p>
          <w:p>
            <w:pPr>
              <w:keepNext w:val="0"/>
              <w:keepLines w:val="0"/>
              <w:widowControl/>
              <w:suppressLineNumbers w:val="0"/>
              <w:spacing w:line="380" w:lineRule="exact"/>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3.营业场所人去楼空或实际为其他企业。</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7"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7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1303"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714"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线上服务渠道</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是否具备网站、APP等网上办事渠道</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8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具备网站或APP，且可以正常登录及进入办事流程，得2分；</w:t>
            </w:r>
          </w:p>
          <w:p>
            <w:pPr>
              <w:keepNext w:val="0"/>
              <w:keepLines w:val="0"/>
              <w:widowControl/>
              <w:suppressLineNumbers w:val="0"/>
              <w:spacing w:line="38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交易中心不定时登录网址或者APP，在正常服务期间（不包括系统检修）无法正常登陆或不能正常进入办事流程，每发现一次扣0.1分；</w:t>
            </w:r>
          </w:p>
          <w:p>
            <w:pPr>
              <w:keepNext w:val="0"/>
              <w:keepLines w:val="0"/>
              <w:widowControl/>
              <w:suppressLineNumbers w:val="0"/>
              <w:spacing w:line="38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不具备网站或APP的，不得分。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7"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7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1303"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服务建设</w:t>
            </w:r>
          </w:p>
        </w:tc>
        <w:tc>
          <w:tcPr>
            <w:tcW w:w="714"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7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对外服务手册</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7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7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对外公布的服务标准、规范</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70" w:lineRule="exact"/>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有对外公布的服务标准或规范手册，得1分；如没有则不得分。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7"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7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1303"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714"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7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客户服务团队</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7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7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是否有专业的客户咨询服务团队</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7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售电公司有专业的客户咨询服务团队，可以有效解答代理用户关于电力市场、注册、绑定、电费等相关问题，得2分；</w:t>
            </w:r>
          </w:p>
          <w:p>
            <w:pPr>
              <w:keepNext w:val="0"/>
              <w:keepLines w:val="0"/>
              <w:widowControl/>
              <w:suppressLineNumbers w:val="0"/>
              <w:spacing w:line="37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无法解答代理用户相关问题的，每发生1起扣0.1分，扣完为止；</w:t>
            </w:r>
          </w:p>
          <w:p>
            <w:pPr>
              <w:keepNext w:val="0"/>
              <w:keepLines w:val="0"/>
              <w:widowControl/>
              <w:suppressLineNumbers w:val="0"/>
              <w:spacing w:line="370" w:lineRule="exact"/>
              <w:jc w:val="both"/>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无客户咨询服务团队的，得0分。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7"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7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1303"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714"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7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培训参与率</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7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7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培训参与率=参加交易中心组织的培训次数/交易中心组织培训的总次数*100%</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7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培训参与率=100%，得1分；</w:t>
            </w:r>
          </w:p>
          <w:p>
            <w:pPr>
              <w:keepNext w:val="0"/>
              <w:keepLines w:val="0"/>
              <w:widowControl/>
              <w:suppressLineNumbers w:val="0"/>
              <w:spacing w:line="370" w:lineRule="exact"/>
              <w:jc w:val="both"/>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50%≤培训参与率&lt;100%，得0.5分；</w:t>
            </w:r>
          </w:p>
          <w:p>
            <w:pPr>
              <w:keepNext w:val="0"/>
              <w:keepLines w:val="0"/>
              <w:widowControl/>
              <w:suppressLineNumbers w:val="0"/>
              <w:spacing w:line="37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培训参与率＜50%，得0分。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交易管理</w:t>
            </w:r>
          </w:p>
        </w:tc>
        <w:tc>
          <w:tcPr>
            <w:tcW w:w="726"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lang w:val="en-US"/>
              </w:rPr>
            </w:pPr>
            <w:r>
              <w:rPr>
                <w:rFonts w:hint="default" w:ascii="Times New Roman" w:hAnsi="Times New Roman" w:eastAsia="仿宋_GB2312" w:cs="Times New Roman"/>
                <w:i w:val="0"/>
                <w:color w:val="000000"/>
                <w:kern w:val="0"/>
                <w:sz w:val="21"/>
                <w:szCs w:val="21"/>
                <w:u w:val="none"/>
                <w:lang w:val="en-US" w:eastAsia="zh-CN" w:bidi="ar"/>
              </w:rPr>
              <w:t>12</w:t>
            </w:r>
          </w:p>
        </w:tc>
        <w:tc>
          <w:tcPr>
            <w:tcW w:w="13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交易规范</w:t>
            </w:r>
          </w:p>
        </w:tc>
        <w:tc>
          <w:tcPr>
            <w:tcW w:w="71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7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交易规范性</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7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7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规范参与电力市场交易的能力</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7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在参与市场交易时发生不按要求申报、错误申报、不按要求提交资料等行为，每发生1次扣2分，扣完为止。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7"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7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13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市场活跃</w:t>
            </w:r>
          </w:p>
        </w:tc>
        <w:tc>
          <w:tcPr>
            <w:tcW w:w="71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7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市场活跃性</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7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7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评价周期内售电公司参与市场化交易情况</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7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售电公司成功参与市场化交易次数≥平均值*1.2，得2分；</w:t>
            </w:r>
          </w:p>
          <w:p>
            <w:pPr>
              <w:keepNext w:val="0"/>
              <w:keepLines w:val="0"/>
              <w:widowControl/>
              <w:suppressLineNumbers w:val="0"/>
              <w:spacing w:line="37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平均值*1.2＞售电公司成功参与市场化交易次数≥平均值*0.8，得1分；</w:t>
            </w:r>
          </w:p>
          <w:p>
            <w:pPr>
              <w:keepNext w:val="0"/>
              <w:keepLines w:val="0"/>
              <w:widowControl/>
              <w:suppressLineNumbers w:val="0"/>
              <w:spacing w:line="37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售电公司成功参与市场化交易次数＜平均值*0.8，得0.5分。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7"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7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13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需求申报</w:t>
            </w:r>
          </w:p>
        </w:tc>
        <w:tc>
          <w:tcPr>
            <w:tcW w:w="71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w:t>
            </w: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7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需求申报准确性</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7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7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预测用电量与实际用电量的偏差</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7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每月预测偏差在±5%以内，得0.5分；每月预测偏差在±5%至±10%之间（包含±5%和±10%），得0.3分；每月预测偏差在±10%至±15%之间（包含±15%），得0.1分；每月预测偏差在±15%以上，不得分。</w:t>
            </w:r>
          </w:p>
          <w:p>
            <w:pPr>
              <w:keepNext w:val="0"/>
              <w:keepLines w:val="0"/>
              <w:widowControl/>
              <w:suppressLineNumbers w:val="0"/>
              <w:spacing w:line="37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该指标按月评价，评价周期内得分累加；评价周期按1年计，如评价周期调整，合计分值等比例调整。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结算管理</w:t>
            </w:r>
          </w:p>
        </w:tc>
        <w:tc>
          <w:tcPr>
            <w:tcW w:w="726"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lang w:val="en-US"/>
              </w:rPr>
            </w:pPr>
            <w:r>
              <w:rPr>
                <w:rFonts w:hint="default" w:ascii="Times New Roman" w:hAnsi="Times New Roman" w:eastAsia="仿宋_GB2312" w:cs="Times New Roman"/>
                <w:i w:val="0"/>
                <w:color w:val="000000"/>
                <w:kern w:val="0"/>
                <w:sz w:val="21"/>
                <w:szCs w:val="21"/>
                <w:u w:val="none"/>
                <w:lang w:val="en-US" w:eastAsia="zh-CN" w:bidi="ar"/>
              </w:rPr>
              <w:t>9</w:t>
            </w:r>
          </w:p>
        </w:tc>
        <w:tc>
          <w:tcPr>
            <w:tcW w:w="13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合同执行</w:t>
            </w:r>
          </w:p>
        </w:tc>
        <w:tc>
          <w:tcPr>
            <w:tcW w:w="71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w:t>
            </w: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合同执行情况</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评价周期内售电公司合同执行情况</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分尖峰、高峰、低谷、一口价按月统计售电公司合同执行情况；</w:t>
            </w:r>
            <w:r>
              <w:rPr>
                <w:rFonts w:hint="default" w:ascii="Times New Roman" w:hAnsi="Times New Roman" w:eastAsia="仿宋_GB2312" w:cs="Times New Roman"/>
                <w:i w:val="0"/>
                <w:color w:val="000000"/>
                <w:kern w:val="0"/>
                <w:sz w:val="21"/>
                <w:szCs w:val="21"/>
                <w:u w:val="none"/>
                <w:lang w:val="en-US" w:eastAsia="zh-CN" w:bidi="ar"/>
              </w:rPr>
              <w:br w:type="textWrapping"/>
            </w:r>
            <w:r>
              <w:rPr>
                <w:rFonts w:hint="default" w:ascii="Times New Roman" w:hAnsi="Times New Roman" w:eastAsia="仿宋_GB2312" w:cs="Times New Roman"/>
                <w:i w:val="0"/>
                <w:color w:val="000000"/>
                <w:kern w:val="0"/>
                <w:sz w:val="21"/>
                <w:szCs w:val="21"/>
                <w:u w:val="none"/>
                <w:lang w:val="en-US" w:eastAsia="zh-CN" w:bidi="ar"/>
              </w:rPr>
              <w:t>售电公司尖峰（高峰、低谷、一口价）合同执行情况=售电公司当月尖峰（高峰、低谷、一口价）实际用电量/售电公司当月尖峰（高峰、低谷、一口价）合同电量；</w:t>
            </w:r>
          </w:p>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售电公司尖峰（高峰、低谷、一口价）合同执行情况&lt;0.8或售电公司尖峰（高峰、低谷、一口价）合同执行情况&gt;1.2，每次扣0.5分，扣完为止。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7"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7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13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结算依据确认</w:t>
            </w:r>
          </w:p>
        </w:tc>
        <w:tc>
          <w:tcPr>
            <w:tcW w:w="71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w:t>
            </w: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结算依据确认</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评价周期内售电公司结算依据确认情况</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统计周期内售电公司结算依据确认情况；</w:t>
            </w:r>
          </w:p>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每月售电公司结算依据发布后，在3个工作日内未完成结算依据确认的，每次扣0.5分，扣完为止。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信息披露</w:t>
            </w:r>
          </w:p>
        </w:tc>
        <w:tc>
          <w:tcPr>
            <w:tcW w:w="726"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lang w:val="en-US"/>
              </w:rPr>
            </w:pPr>
            <w:r>
              <w:rPr>
                <w:rFonts w:hint="default" w:ascii="Times New Roman" w:hAnsi="Times New Roman" w:eastAsia="仿宋_GB2312" w:cs="Times New Roman"/>
                <w:i w:val="0"/>
                <w:color w:val="000000"/>
                <w:kern w:val="0"/>
                <w:sz w:val="21"/>
                <w:szCs w:val="21"/>
                <w:u w:val="none"/>
                <w:lang w:val="en-US" w:eastAsia="zh-CN" w:bidi="ar"/>
              </w:rPr>
              <w:t>9</w:t>
            </w:r>
          </w:p>
        </w:tc>
        <w:tc>
          <w:tcPr>
            <w:tcW w:w="1303"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信息公开</w:t>
            </w:r>
          </w:p>
        </w:tc>
        <w:tc>
          <w:tcPr>
            <w:tcW w:w="714"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6</w:t>
            </w: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信息公开规范性</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按照信息披露管理办法要求，规范公开必须披露的信息</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必须披露的信息在电力交易平台按照标准格式规范公开，得2分；</w:t>
            </w:r>
          </w:p>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公开信息不规范、不按照国家及地方相关政策文件要求公开信息的，每发生一次扣1分，扣完为止。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7"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7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1303"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714"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信息公开及时性</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按照信息披露管理办法要求，及时公开必须披露的信息</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必须披露的信息在规定时间之前完成信息公开，得2分；</w:t>
            </w:r>
          </w:p>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公开信息不及时的，每发生一次扣0.5分，扣完为止。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7"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7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1303"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714"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信息公开完整性</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2</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按照信息披露管理办法要求，完整公开必须披露的信息</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必须披露的信息完整公开的，得2分；</w:t>
            </w:r>
          </w:p>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公开信息不完整的，每存在一项，扣0.5分，扣完为止。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7"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7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1303"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信息管理</w:t>
            </w:r>
          </w:p>
        </w:tc>
        <w:tc>
          <w:tcPr>
            <w:tcW w:w="714"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3</w:t>
            </w: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负责人信息</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各市场主体应设置专职或兼职信息披露管理人</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各市场主体上报联系人及联系方式，若有，得1分；</w:t>
            </w:r>
          </w:p>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若未设置或者设置了但联系不上得0分。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7"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7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1303"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714"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管理规范</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制定本单位信息披露工作管理规范，明确职责</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各市场主体可通过信息披露平台上报佐证材料，若有盖章版管理办法，得1分，若没有，得0分。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7"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7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1303"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714"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信息披露工作配合度</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及时回复其他市场主体、交易中心问询</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售电公司应当天回复市场主体问询，特殊问题无法回复的应当天告知市场主体无法回复的原因，最晚3个工作日内回复。电力交易中心根据市场主体反馈，及日常工作情况评分，如未及时反馈市场主体和交易中心问询，发现1次扣0.2分，扣完为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7"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合规管理</w:t>
            </w:r>
          </w:p>
        </w:tc>
        <w:tc>
          <w:tcPr>
            <w:tcW w:w="726"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lang w:val="en-US"/>
              </w:rPr>
            </w:pPr>
            <w:r>
              <w:rPr>
                <w:rFonts w:hint="default" w:ascii="Times New Roman" w:hAnsi="Times New Roman" w:eastAsia="仿宋_GB2312" w:cs="Times New Roman"/>
                <w:i w:val="0"/>
                <w:color w:val="000000"/>
                <w:kern w:val="0"/>
                <w:sz w:val="21"/>
                <w:szCs w:val="21"/>
                <w:u w:val="none"/>
                <w:lang w:val="en-US" w:eastAsia="zh-CN" w:bidi="ar"/>
              </w:rPr>
              <w:t>12</w:t>
            </w:r>
          </w:p>
        </w:tc>
        <w:tc>
          <w:tcPr>
            <w:tcW w:w="13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投诉情况</w:t>
            </w:r>
          </w:p>
        </w:tc>
        <w:tc>
          <w:tcPr>
            <w:tcW w:w="71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投诉举报</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评价周期内是否存在被投诉、被举报情形</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无被投诉、被举报记录，得4分；</w:t>
            </w:r>
          </w:p>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被匿名投诉1次且经查实的，扣0.5分；</w:t>
            </w:r>
          </w:p>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被实名投诉1次且经查实的，扣1分；扣完为止。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7"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7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13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市场秩序</w:t>
            </w:r>
          </w:p>
        </w:tc>
        <w:tc>
          <w:tcPr>
            <w:tcW w:w="71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违规记录</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评价周期内是否存在扰乱市场秩序的不良市场行为</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无不良市场行为，得4分；</w:t>
            </w:r>
          </w:p>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认定存在不良市场行为，每发生1次扣1分；</w:t>
            </w:r>
          </w:p>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发生3次及以上，评价不高于B级。</w:t>
            </w:r>
          </w:p>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经认定，存在哄抬电价、欺骗签约、威胁签约等违规行为，或存在虚假信息申报、虚假信息宣传、不正当竞争等严重扰乱市场秩序行为的，发生1次降一级。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1187"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726" w:type="dxa"/>
            <w:vMerge w:val="continue"/>
            <w:tcBorders>
              <w:top w:val="single" w:color="000000" w:sz="8" w:space="0"/>
              <w:left w:val="single" w:color="000000" w:sz="8" w:space="0"/>
              <w:bottom w:val="single" w:color="000000" w:sz="8" w:space="0"/>
              <w:right w:val="single" w:color="000000" w:sz="8" w:space="0"/>
            </w:tcBorders>
            <w:noWrap w:val="0"/>
            <w:vAlign w:val="center"/>
          </w:tcPr>
          <w:p>
            <w:pPr>
              <w:spacing w:line="360" w:lineRule="exact"/>
              <w:jc w:val="center"/>
              <w:rPr>
                <w:rFonts w:hint="default" w:ascii="Times New Roman" w:hAnsi="Times New Roman" w:eastAsia="仿宋_GB2312" w:cs="Times New Roman"/>
                <w:i w:val="0"/>
                <w:color w:val="000000"/>
                <w:sz w:val="21"/>
                <w:szCs w:val="21"/>
                <w:u w:val="none"/>
              </w:rPr>
            </w:pPr>
          </w:p>
        </w:tc>
        <w:tc>
          <w:tcPr>
            <w:tcW w:w="130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司法案件</w:t>
            </w:r>
          </w:p>
        </w:tc>
        <w:tc>
          <w:tcPr>
            <w:tcW w:w="71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159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纠纷频次</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4</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评价周期内发生司法案件的次数</w:t>
            </w: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无法律纠纷，得4分；</w:t>
            </w:r>
          </w:p>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kern w:val="0"/>
                <w:sz w:val="21"/>
                <w:szCs w:val="21"/>
                <w:u w:val="none"/>
                <w:lang w:val="en-US" w:eastAsia="zh-CN" w:bidi="ar"/>
              </w:rPr>
            </w:pPr>
            <w:r>
              <w:rPr>
                <w:rFonts w:hint="default" w:ascii="Times New Roman" w:hAnsi="Times New Roman" w:eastAsia="仿宋_GB2312" w:cs="Times New Roman"/>
                <w:i w:val="0"/>
                <w:color w:val="000000"/>
                <w:kern w:val="0"/>
                <w:sz w:val="21"/>
                <w:szCs w:val="21"/>
                <w:u w:val="none"/>
                <w:lang w:val="en-US" w:eastAsia="zh-CN" w:bidi="ar"/>
              </w:rPr>
              <w:t>每发生1次民事诉讼（仲裁）案件且被判决（裁决）承担民事责任的，扣1分；被追究行政或刑事法律责任的，扣2分；</w:t>
            </w:r>
          </w:p>
          <w:p>
            <w:pPr>
              <w:keepNext w:val="0"/>
              <w:keepLines w:val="0"/>
              <w:widowControl/>
              <w:suppressLineNumbers w:val="0"/>
              <w:spacing w:line="360" w:lineRule="exact"/>
              <w:jc w:val="left"/>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发生3次以上民事案件或者1次以上行政、刑事案件的，承担民事责任的、或被追究行政或刑事法律责任的，评价不高于B级。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5526" w:type="dxa"/>
            <w:gridSpan w:val="5"/>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b/>
                <w:i w:val="0"/>
                <w:color w:val="000000"/>
                <w:sz w:val="21"/>
                <w:szCs w:val="21"/>
                <w:highlight w:val="none"/>
                <w:u w:val="none"/>
              </w:rPr>
            </w:pPr>
            <w:r>
              <w:rPr>
                <w:rFonts w:hint="default" w:ascii="Times New Roman" w:hAnsi="Times New Roman" w:eastAsia="仿宋_GB2312" w:cs="Times New Roman"/>
                <w:b/>
                <w:i w:val="0"/>
                <w:color w:val="000000"/>
                <w:kern w:val="0"/>
                <w:sz w:val="21"/>
                <w:szCs w:val="21"/>
                <w:highlight w:val="none"/>
                <w:u w:val="none"/>
                <w:lang w:val="en-US" w:eastAsia="zh-CN" w:bidi="ar"/>
              </w:rPr>
              <w:t>分值总计</w:t>
            </w:r>
          </w:p>
        </w:tc>
        <w:tc>
          <w:tcPr>
            <w:tcW w:w="71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line="360" w:lineRule="exact"/>
              <w:jc w:val="center"/>
              <w:textAlignment w:val="center"/>
              <w:rPr>
                <w:rFonts w:hint="default" w:ascii="Times New Roman" w:hAnsi="Times New Roman" w:eastAsia="仿宋_GB2312" w:cs="Times New Roman"/>
                <w:b/>
                <w:i w:val="0"/>
                <w:color w:val="000000"/>
                <w:sz w:val="21"/>
                <w:szCs w:val="21"/>
                <w:highlight w:val="none"/>
                <w:u w:val="none"/>
                <w:lang w:val="en-US"/>
              </w:rPr>
            </w:pPr>
            <w:r>
              <w:rPr>
                <w:rFonts w:hint="default" w:ascii="Times New Roman" w:hAnsi="Times New Roman" w:eastAsia="仿宋_GB2312" w:cs="Times New Roman"/>
                <w:b/>
                <w:i w:val="0"/>
                <w:color w:val="000000"/>
                <w:kern w:val="0"/>
                <w:sz w:val="21"/>
                <w:szCs w:val="21"/>
                <w:highlight w:val="none"/>
                <w:u w:val="none"/>
                <w:lang w:val="en-US" w:eastAsia="zh-CN" w:bidi="ar"/>
              </w:rPr>
              <w:t>70</w:t>
            </w:r>
          </w:p>
        </w:tc>
        <w:tc>
          <w:tcPr>
            <w:tcW w:w="2689" w:type="dxa"/>
            <w:tcBorders>
              <w:top w:val="single" w:color="000000" w:sz="8" w:space="0"/>
              <w:left w:val="single" w:color="000000" w:sz="8" w:space="0"/>
              <w:bottom w:val="single" w:color="000000" w:sz="8" w:space="0"/>
              <w:right w:val="single" w:color="000000" w:sz="8" w:space="0"/>
            </w:tcBorders>
            <w:noWrap w:val="0"/>
            <w:vAlign w:val="center"/>
          </w:tcPr>
          <w:p>
            <w:pPr>
              <w:spacing w:line="360" w:lineRule="exact"/>
              <w:rPr>
                <w:rFonts w:hint="default" w:ascii="Times New Roman" w:hAnsi="Times New Roman" w:eastAsia="仿宋_GB2312" w:cs="Times New Roman"/>
                <w:b/>
                <w:i w:val="0"/>
                <w:color w:val="000000"/>
                <w:sz w:val="21"/>
                <w:szCs w:val="21"/>
                <w:highlight w:val="none"/>
                <w:u w:val="none"/>
              </w:rPr>
            </w:pPr>
          </w:p>
        </w:tc>
        <w:tc>
          <w:tcPr>
            <w:tcW w:w="5813" w:type="dxa"/>
            <w:tcBorders>
              <w:top w:val="single" w:color="000000" w:sz="8" w:space="0"/>
              <w:left w:val="single" w:color="000000" w:sz="8" w:space="0"/>
              <w:bottom w:val="single" w:color="000000" w:sz="8" w:space="0"/>
              <w:right w:val="single" w:color="000000" w:sz="8" w:space="0"/>
            </w:tcBorders>
            <w:noWrap w:val="0"/>
            <w:vAlign w:val="center"/>
          </w:tcPr>
          <w:p>
            <w:pPr>
              <w:spacing w:line="360" w:lineRule="exact"/>
              <w:rPr>
                <w:rFonts w:hint="default" w:ascii="Times New Roman" w:hAnsi="Times New Roman" w:eastAsia="仿宋_GB2312" w:cs="Times New Roman"/>
                <w:b/>
                <w:i w:val="0"/>
                <w:color w:val="000000"/>
                <w:sz w:val="21"/>
                <w:szCs w:val="21"/>
                <w:u w:val="none"/>
              </w:rPr>
            </w:pPr>
          </w:p>
        </w:tc>
      </w:tr>
    </w:tbl>
    <w:p>
      <w:pPr>
        <w:rPr>
          <w:rFonts w:hint="default" w:ascii="Times New Roman" w:hAnsi="Times New Roman" w:cs="Times New Roman"/>
          <w:lang w:eastAsia="zh-CN"/>
        </w:rPr>
      </w:pPr>
    </w:p>
    <w:p>
      <w:pPr>
        <w:pStyle w:val="2"/>
        <w:rPr>
          <w:rFonts w:hint="default" w:ascii="Times New Roman" w:hAnsi="Times New Roman" w:cs="Times New Roman"/>
          <w:lang w:eastAsia="zh-CN"/>
        </w:rPr>
        <w:sectPr>
          <w:footerReference r:id="rId7" w:type="default"/>
          <w:footerReference r:id="rId8" w:type="even"/>
          <w:pgSz w:w="16838" w:h="11906" w:orient="landscape"/>
          <w:pgMar w:top="1134" w:right="1134" w:bottom="1134" w:left="1134" w:header="851" w:footer="1020" w:gutter="0"/>
          <w:pgNumType w:fmt="decimal"/>
          <w:cols w:space="720" w:num="1"/>
          <w:rtlGutter w:val="0"/>
          <w:docGrid w:type="linesAndChars" w:linePitch="602" w:charSpace="1229"/>
        </w:sectPr>
      </w:pPr>
    </w:p>
    <w:p>
      <w:bookmarkStart w:id="0" w:name="_GoBack"/>
      <w:bookmarkEnd w:id="0"/>
    </w:p>
    <w:sectPr>
      <w:footerReference r:id="rId9"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308" w:rightChars="100" w:firstLine="0" w:firstLineChars="0"/>
      <w:jc w:val="right"/>
      <w:textAlignment w:val="baseline"/>
      <w:outlineLvl w:val="9"/>
      <w:rPr>
        <w:rFonts w:hint="default" w:ascii="Times New Roman" w:hAnsi="Times New Roman" w:eastAsia="宋体"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eastAsia" w:ascii="Times New Roman" w:hAnsi="Times New Roman" w:eastAsia="宋体" w:cs="Times New Roman"/>
                              <w:sz w:val="28"/>
                              <w:szCs w:val="28"/>
                              <w:lang w:val="en-US" w:eastAsia="zh-CN"/>
                            </w:rPr>
                            <w:t xml:space="preserve">  </w:t>
                          </w:r>
                          <w:r>
                            <w:rPr>
                              <w:rFonts w:hint="eastAsia" w:ascii="Times New Roman" w:hAnsi="Times New Roman" w:eastAsia="宋体"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e76mrSAQAAo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M3GwQe17/I6pVb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97vqatIBAACjAwAADgAAAAAAAAABACAAAAAi&#10;AQAAZHJzL2Uyb0RvYy54bWxQSwUGAAAAAAYABgBZAQAAZgUAAAAA&#10;">
              <v:path/>
              <v:fill on="f" focussize="0,0"/>
              <v:stroke on="f" weight="1.25pt"/>
              <v:imagedata o:title=""/>
              <o:lock v:ext="edit" aspectratio="f"/>
              <v:textbox inset="0mm,0mm,0mm,0mm" style="mso-fit-shape-to-text:t;">
                <w:txbxContent>
                  <w:p>
                    <w:pPr>
                      <w:pStyle w:val="4"/>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eastAsia" w:ascii="Times New Roman" w:hAnsi="Times New Roman" w:eastAsia="宋体" w:cs="Times New Roman"/>
                        <w:sz w:val="28"/>
                        <w:szCs w:val="28"/>
                        <w:lang w:val="en-US" w:eastAsia="zh-CN"/>
                      </w:rPr>
                      <w:t xml:space="preserve">  </w:t>
                    </w:r>
                    <w:r>
                      <w:rPr>
                        <w:rFonts w:hint="eastAsia" w:ascii="Times New Roman" w:hAnsi="Times New Roman" w:eastAsia="宋体"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Style w:val="8"/>
        <w:rFonts w:hint="eastAsia" w:ascii="宋体" w:hAnsi="宋体" w:eastAsia="宋体"/>
        <w:sz w:val="28"/>
      </w:rPr>
    </w:pPr>
    <w:r>
      <w:rPr>
        <w:sz w:val="28"/>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28"/>
                              <w:szCs w:val="28"/>
                              <w:lang w:eastAsia="zh-CN"/>
                            </w:rPr>
                          </w:pPr>
                          <w:r>
                            <w:rPr>
                              <w:rStyle w:val="8"/>
                              <w:rFonts w:hint="default" w:ascii="Times New Roman" w:hAnsi="Times New Roman" w:eastAsia="宋体" w:cs="Times New Roman"/>
                              <w:sz w:val="28"/>
                              <w:szCs w:val="28"/>
                            </w:rPr>
                            <w:t xml:space="preserve">— </w:t>
                          </w:r>
                          <w:r>
                            <w:rPr>
                              <w:rStyle w:val="8"/>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Style w:val="8"/>
                              <w:rFonts w:hint="default" w:ascii="Times New Roman" w:hAnsi="Times New Roman" w:eastAsia="宋体" w:cs="Times New Roman"/>
                              <w:sz w:val="28"/>
                              <w:szCs w:val="28"/>
                            </w:rPr>
                            <w:instrText xml:space="preserve"> PAGE </w:instrText>
                          </w:r>
                          <w:r>
                            <w:rPr>
                              <w:rFonts w:hint="default" w:ascii="Times New Roman" w:hAnsi="Times New Roman" w:eastAsia="宋体" w:cs="Times New Roman"/>
                              <w:sz w:val="28"/>
                              <w:szCs w:val="28"/>
                            </w:rPr>
                            <w:fldChar w:fldCharType="separate"/>
                          </w:r>
                          <w:r>
                            <w:rPr>
                              <w:rStyle w:val="8"/>
                              <w:rFonts w:hint="default" w:ascii="Times New Roman" w:hAnsi="Times New Roman" w:eastAsia="宋体" w:cs="Times New Roman"/>
                              <w:sz w:val="28"/>
                              <w:szCs w:val="28"/>
                            </w:rPr>
                            <w:t>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lang w:val="en-US" w:eastAsia="zh-CN"/>
                            </w:rPr>
                            <w:t xml:space="preserve"> </w:t>
                          </w:r>
                          <w:r>
                            <w:rPr>
                              <w:rStyle w:val="8"/>
                              <w:rFonts w:hint="default" w:ascii="Times New Roman" w:hAnsi="Times New Roman" w:eastAsia="宋体" w:cs="Times New Roman"/>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0pt;margin-top:0pt;height:144pt;width:144pt;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4"/>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28"/>
                        <w:szCs w:val="28"/>
                        <w:lang w:eastAsia="zh-CN"/>
                      </w:rPr>
                    </w:pPr>
                    <w:r>
                      <w:rPr>
                        <w:rStyle w:val="8"/>
                        <w:rFonts w:hint="default" w:ascii="Times New Roman" w:hAnsi="Times New Roman" w:eastAsia="宋体" w:cs="Times New Roman"/>
                        <w:sz w:val="28"/>
                        <w:szCs w:val="28"/>
                      </w:rPr>
                      <w:t xml:space="preserve">— </w:t>
                    </w:r>
                    <w:r>
                      <w:rPr>
                        <w:rStyle w:val="8"/>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Style w:val="8"/>
                        <w:rFonts w:hint="default" w:ascii="Times New Roman" w:hAnsi="Times New Roman" w:eastAsia="宋体" w:cs="Times New Roman"/>
                        <w:sz w:val="28"/>
                        <w:szCs w:val="28"/>
                      </w:rPr>
                      <w:instrText xml:space="preserve"> PAGE </w:instrText>
                    </w:r>
                    <w:r>
                      <w:rPr>
                        <w:rFonts w:hint="default" w:ascii="Times New Roman" w:hAnsi="Times New Roman" w:eastAsia="宋体" w:cs="Times New Roman"/>
                        <w:sz w:val="28"/>
                        <w:szCs w:val="28"/>
                      </w:rPr>
                      <w:fldChar w:fldCharType="separate"/>
                    </w:r>
                    <w:r>
                      <w:rPr>
                        <w:rStyle w:val="8"/>
                        <w:rFonts w:hint="default" w:ascii="Times New Roman" w:hAnsi="Times New Roman" w:eastAsia="宋体" w:cs="Times New Roman"/>
                        <w:sz w:val="28"/>
                        <w:szCs w:val="28"/>
                      </w:rPr>
                      <w:t>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lang w:val="en-US" w:eastAsia="zh-CN"/>
                      </w:rPr>
                      <w:t xml:space="preserve"> </w:t>
                    </w:r>
                    <w:r>
                      <w:rPr>
                        <w:rStyle w:val="8"/>
                        <w:rFonts w:hint="default" w:ascii="Times New Roman" w:hAnsi="Times New Roman" w:eastAsia="宋体" w:cs="Times New Roman"/>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308" w:rightChars="100" w:firstLine="0" w:firstLineChars="0"/>
      <w:jc w:val="right"/>
      <w:textAlignment w:val="baseline"/>
      <w:outlineLvl w:val="9"/>
      <w:rPr>
        <w:rFonts w:hint="default" w:ascii="Times New Roman" w:hAnsi="Times New Roman" w:eastAsia="宋体" w:cs="Times New Roman"/>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posOffset>4588510</wp:posOffset>
              </wp:positionH>
              <wp:positionV relativeFrom="paragraph">
                <wp:posOffset>0</wp:posOffset>
              </wp:positionV>
              <wp:extent cx="122555" cy="2540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22555" cy="254000"/>
                      </a:xfrm>
                      <a:prstGeom prst="rect">
                        <a:avLst/>
                      </a:prstGeom>
                      <a:noFill/>
                      <a:ln w="15875">
                        <a:noFill/>
                      </a:ln>
                    </wps:spPr>
                    <wps:txbx>
                      <w:txbxContent>
                        <w:p>
                          <w:pPr>
                            <w:pStyle w:val="4"/>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28"/>
                              <w:szCs w:val="28"/>
                              <w:lang w:eastAsia="zh-CN"/>
                            </w:rPr>
                          </w:pPr>
                          <w:r>
                            <w:rPr>
                              <w:rFonts w:hint="default" w:ascii="Times New Roman" w:hAnsi="Times New Roman" w:eastAsia="宋体" w:cs="Times New Roman"/>
                              <w:sz w:val="18"/>
                              <w:szCs w:val="18"/>
                              <w:lang w:eastAsia="zh-CN"/>
                            </w:rPr>
                            <w:fldChar w:fldCharType="begin"/>
                          </w:r>
                          <w:r>
                            <w:rPr>
                              <w:rFonts w:hint="default" w:ascii="Times New Roman" w:hAnsi="Times New Roman" w:eastAsia="宋体" w:cs="Times New Roman"/>
                              <w:sz w:val="18"/>
                              <w:szCs w:val="18"/>
                              <w:lang w:eastAsia="zh-CN"/>
                            </w:rPr>
                            <w:instrText xml:space="preserve"> PAGE  \* MERGEFORMAT </w:instrText>
                          </w:r>
                          <w:r>
                            <w:rPr>
                              <w:rFonts w:hint="default" w:ascii="Times New Roman" w:hAnsi="Times New Roman" w:eastAsia="宋体" w:cs="Times New Roman"/>
                              <w:sz w:val="18"/>
                              <w:szCs w:val="18"/>
                              <w:lang w:eastAsia="zh-CN"/>
                            </w:rPr>
                            <w:fldChar w:fldCharType="separate"/>
                          </w:r>
                          <w:r>
                            <w:rPr>
                              <w:rFonts w:hint="default" w:ascii="Times New Roman" w:hAnsi="Times New Roman" w:eastAsia="宋体" w:cs="Times New Roman"/>
                              <w:sz w:val="18"/>
                              <w:szCs w:val="18"/>
                              <w:lang w:eastAsia="zh-CN"/>
                            </w:rPr>
                            <w:t>1</w:t>
                          </w:r>
                          <w:r>
                            <w:rPr>
                              <w:rFonts w:hint="default" w:ascii="Times New Roman" w:hAnsi="Times New Roman" w:eastAsia="宋体" w:cs="Times New Roman"/>
                              <w:sz w:val="18"/>
                              <w:szCs w:val="18"/>
                              <w:lang w:eastAsia="zh-CN"/>
                            </w:rPr>
                            <w:fldChar w:fldCharType="end"/>
                          </w:r>
                        </w:p>
                      </w:txbxContent>
                    </wps:txbx>
                    <wps:bodyPr lIns="0" tIns="0" rIns="0" bIns="0" upright="0"/>
                  </wps:wsp>
                </a:graphicData>
              </a:graphic>
            </wp:anchor>
          </w:drawing>
        </mc:Choice>
        <mc:Fallback>
          <w:pict>
            <v:shape id="_x0000_s1026" o:spid="_x0000_s1026" o:spt="202" type="#_x0000_t202" style="position:absolute;left:0pt;margin-left:361.3pt;margin-top:0pt;height:20pt;width:9.65pt;mso-position-horizontal-relative:margin;z-index:251661312;mso-width-relative:page;mso-height-relative:page;" filled="f" stroked="f" coordsize="21600,21600" o:gfxdata="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C7203WAAAABwEAAA8AAAAAAAAAAQAgAAAAIgAAAGRycy9kb3ducmV2Lnht&#10;bFBLAQIUABQAAAAIAIdO4kB3daw6wgEAAHsDAAAOAAAAAAAAAAEAIAAAACUBAABkcnMvZTJvRG9j&#10;LnhtbFBLBQYAAAAABgAGAFkBAABZBQAAAAA=&#10;">
              <v:path/>
              <v:fill on="f" focussize="0,0"/>
              <v:stroke on="f" weight="1.25pt"/>
              <v:imagedata o:title=""/>
              <o:lock v:ext="edit" aspectratio="f"/>
              <v:textbox inset="0mm,0mm,0mm,0mm">
                <w:txbxContent>
                  <w:p>
                    <w:pPr>
                      <w:pStyle w:val="4"/>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28"/>
                        <w:szCs w:val="28"/>
                        <w:lang w:eastAsia="zh-CN"/>
                      </w:rPr>
                    </w:pPr>
                    <w:r>
                      <w:rPr>
                        <w:rFonts w:hint="default" w:ascii="Times New Roman" w:hAnsi="Times New Roman" w:eastAsia="宋体" w:cs="Times New Roman"/>
                        <w:sz w:val="18"/>
                        <w:szCs w:val="18"/>
                        <w:lang w:eastAsia="zh-CN"/>
                      </w:rPr>
                      <w:fldChar w:fldCharType="begin"/>
                    </w:r>
                    <w:r>
                      <w:rPr>
                        <w:rFonts w:hint="default" w:ascii="Times New Roman" w:hAnsi="Times New Roman" w:eastAsia="宋体" w:cs="Times New Roman"/>
                        <w:sz w:val="18"/>
                        <w:szCs w:val="18"/>
                        <w:lang w:eastAsia="zh-CN"/>
                      </w:rPr>
                      <w:instrText xml:space="preserve"> PAGE  \* MERGEFORMAT </w:instrText>
                    </w:r>
                    <w:r>
                      <w:rPr>
                        <w:rFonts w:hint="default" w:ascii="Times New Roman" w:hAnsi="Times New Roman" w:eastAsia="宋体" w:cs="Times New Roman"/>
                        <w:sz w:val="18"/>
                        <w:szCs w:val="18"/>
                        <w:lang w:eastAsia="zh-CN"/>
                      </w:rPr>
                      <w:fldChar w:fldCharType="separate"/>
                    </w:r>
                    <w:r>
                      <w:rPr>
                        <w:rFonts w:hint="default" w:ascii="Times New Roman" w:hAnsi="Times New Roman" w:eastAsia="宋体" w:cs="Times New Roman"/>
                        <w:sz w:val="18"/>
                        <w:szCs w:val="18"/>
                        <w:lang w:eastAsia="zh-CN"/>
                      </w:rPr>
                      <w:t>1</w:t>
                    </w:r>
                    <w:r>
                      <w:rPr>
                        <w:rFonts w:hint="default" w:ascii="Times New Roman" w:hAnsi="Times New Roman" w:eastAsia="宋体" w:cs="Times New Roman"/>
                        <w:sz w:val="18"/>
                        <w:szCs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Style w:val="8"/>
        <w:rFonts w:hint="eastAsia" w:ascii="宋体" w:hAnsi="宋体" w:eastAsia="宋体"/>
        <w:sz w:val="28"/>
      </w:rPr>
    </w:pPr>
    <w:r>
      <w:rPr>
        <w:sz w:val="28"/>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28"/>
                              <w:szCs w:val="28"/>
                              <w:lang w:eastAsia="zh-CN"/>
                            </w:rPr>
                          </w:pPr>
                          <w:r>
                            <w:rPr>
                              <w:rStyle w:val="8"/>
                              <w:rFonts w:hint="default" w:ascii="Times New Roman" w:hAnsi="Times New Roman" w:eastAsia="宋体" w:cs="Times New Roman"/>
                              <w:sz w:val="28"/>
                              <w:szCs w:val="28"/>
                            </w:rPr>
                            <w:t xml:space="preserve">— </w:t>
                          </w:r>
                          <w:r>
                            <w:rPr>
                              <w:rStyle w:val="8"/>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Style w:val="8"/>
                              <w:rFonts w:hint="default" w:ascii="Times New Roman" w:hAnsi="Times New Roman" w:eastAsia="宋体" w:cs="Times New Roman"/>
                              <w:sz w:val="28"/>
                              <w:szCs w:val="28"/>
                            </w:rPr>
                            <w:instrText xml:space="preserve"> PAGE </w:instrText>
                          </w:r>
                          <w:r>
                            <w:rPr>
                              <w:rFonts w:hint="default" w:ascii="Times New Roman" w:hAnsi="Times New Roman" w:eastAsia="宋体" w:cs="Times New Roman"/>
                              <w:sz w:val="28"/>
                              <w:szCs w:val="28"/>
                            </w:rPr>
                            <w:fldChar w:fldCharType="separate"/>
                          </w:r>
                          <w:r>
                            <w:rPr>
                              <w:rStyle w:val="8"/>
                              <w:rFonts w:hint="default" w:ascii="Times New Roman" w:hAnsi="Times New Roman" w:eastAsia="宋体" w:cs="Times New Roman"/>
                              <w:sz w:val="28"/>
                              <w:szCs w:val="28"/>
                            </w:rPr>
                            <w:t>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lang w:val="en-US" w:eastAsia="zh-CN"/>
                            </w:rPr>
                            <w:t xml:space="preserve"> </w:t>
                          </w:r>
                          <w:r>
                            <w:rPr>
                              <w:rStyle w:val="8"/>
                              <w:rFonts w:hint="default" w:ascii="Times New Roman" w:hAnsi="Times New Roman" w:eastAsia="宋体" w:cs="Times New Roman"/>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0pt;margin-top:0pt;height:144pt;width:144pt;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path/>
              <v:fill on="f" focussize="0,0"/>
              <v:stroke on="f" weight="1.25pt"/>
              <v:imagedata o:title=""/>
              <o:lock v:ext="edit" aspectratio="f"/>
              <v:textbox inset="0mm,0mm,0mm,0mm" style="mso-fit-shape-to-text:t;">
                <w:txbxContent>
                  <w:p>
                    <w:pPr>
                      <w:pStyle w:val="4"/>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28"/>
                        <w:szCs w:val="28"/>
                        <w:lang w:eastAsia="zh-CN"/>
                      </w:rPr>
                    </w:pPr>
                    <w:r>
                      <w:rPr>
                        <w:rStyle w:val="8"/>
                        <w:rFonts w:hint="default" w:ascii="Times New Roman" w:hAnsi="Times New Roman" w:eastAsia="宋体" w:cs="Times New Roman"/>
                        <w:sz w:val="28"/>
                        <w:szCs w:val="28"/>
                      </w:rPr>
                      <w:t xml:space="preserve">— </w:t>
                    </w:r>
                    <w:r>
                      <w:rPr>
                        <w:rStyle w:val="8"/>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Style w:val="8"/>
                        <w:rFonts w:hint="default" w:ascii="Times New Roman" w:hAnsi="Times New Roman" w:eastAsia="宋体" w:cs="Times New Roman"/>
                        <w:sz w:val="28"/>
                        <w:szCs w:val="28"/>
                      </w:rPr>
                      <w:instrText xml:space="preserve"> PAGE </w:instrText>
                    </w:r>
                    <w:r>
                      <w:rPr>
                        <w:rFonts w:hint="default" w:ascii="Times New Roman" w:hAnsi="Times New Roman" w:eastAsia="宋体" w:cs="Times New Roman"/>
                        <w:sz w:val="28"/>
                        <w:szCs w:val="28"/>
                      </w:rPr>
                      <w:fldChar w:fldCharType="separate"/>
                    </w:r>
                    <w:r>
                      <w:rPr>
                        <w:rStyle w:val="8"/>
                        <w:rFonts w:hint="default" w:ascii="Times New Roman" w:hAnsi="Times New Roman" w:eastAsia="宋体" w:cs="Times New Roman"/>
                        <w:sz w:val="28"/>
                        <w:szCs w:val="28"/>
                      </w:rPr>
                      <w:t>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lang w:val="en-US" w:eastAsia="zh-CN"/>
                      </w:rPr>
                      <w:t xml:space="preserve"> </w:t>
                    </w:r>
                    <w:r>
                      <w:rPr>
                        <w:rStyle w:val="8"/>
                        <w:rFonts w:hint="default" w:ascii="Times New Roman" w:hAnsi="Times New Roman" w:eastAsia="宋体" w:cs="Times New Roman"/>
                        <w:sz w:val="28"/>
                        <w:szCs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default" w:ascii="Times New Roman" w:hAnsi="Times New Roman" w:eastAsia="仿宋_GB2312" w:cs="Times New Roman"/>
                              <w:sz w:val="28"/>
                              <w:szCs w:val="28"/>
                              <w:lang w:val="en-US" w:eastAsia="zh-CN"/>
                            </w:rPr>
                          </w:pP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fldChar w:fldCharType="begin"/>
                          </w:r>
                          <w:r>
                            <w:rPr>
                              <w:rFonts w:hint="default" w:ascii="Times New Roman" w:hAnsi="Times New Roman" w:cs="Times New Roman"/>
                              <w:sz w:val="28"/>
                              <w:szCs w:val="28"/>
                              <w:lang w:val="en-US" w:eastAsia="zh-CN"/>
                            </w:rPr>
                            <w:instrText xml:space="preserve"> PAGE  \* MERGEFORMAT </w:instrText>
                          </w:r>
                          <w:r>
                            <w:rPr>
                              <w:rFonts w:hint="default" w:ascii="Times New Roman" w:hAnsi="Times New Roman" w:cs="Times New Roman"/>
                              <w:sz w:val="28"/>
                              <w:szCs w:val="28"/>
                              <w:lang w:val="en-US" w:eastAsia="zh-CN"/>
                            </w:rPr>
                            <w:fldChar w:fldCharType="separate"/>
                          </w:r>
                          <w:r>
                            <w:rPr>
                              <w:rFonts w:hint="default" w:ascii="Times New Roman" w:hAnsi="Times New Roman" w:cs="Times New Roman"/>
                              <w:sz w:val="28"/>
                              <w:szCs w:val="28"/>
                              <w:lang w:val="en-US" w:eastAsia="zh-CN"/>
                            </w:rPr>
                            <w:t>1</w:t>
                          </w:r>
                          <w:r>
                            <w:rPr>
                              <w:rFonts w:hint="default" w:ascii="Times New Roman" w:hAnsi="Times New Roman" w:cs="Times New Roman"/>
                              <w:sz w:val="28"/>
                              <w:szCs w:val="28"/>
                              <w:lang w:val="en-US" w:eastAsia="zh-CN"/>
                            </w:rPr>
                            <w:fldChar w:fldCharType="end"/>
                          </w:r>
                          <w:r>
                            <w:rPr>
                              <w:rFonts w:hint="eastAsia" w:ascii="Times New Roman" w:hAnsi="Times New Roman" w:cs="Times New Roman"/>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default" w:ascii="Times New Roman" w:hAnsi="Times New Roman" w:eastAsia="仿宋_GB2312" w:cs="Times New Roman"/>
                        <w:sz w:val="28"/>
                        <w:szCs w:val="28"/>
                        <w:lang w:val="en-US" w:eastAsia="zh-CN"/>
                      </w:rPr>
                    </w:pP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val="en-US" w:eastAsia="zh-CN"/>
                      </w:rPr>
                      <w:fldChar w:fldCharType="begin"/>
                    </w:r>
                    <w:r>
                      <w:rPr>
                        <w:rFonts w:hint="default" w:ascii="Times New Roman" w:hAnsi="Times New Roman" w:cs="Times New Roman"/>
                        <w:sz w:val="28"/>
                        <w:szCs w:val="28"/>
                        <w:lang w:val="en-US" w:eastAsia="zh-CN"/>
                      </w:rPr>
                      <w:instrText xml:space="preserve"> PAGE  \* MERGEFORMAT </w:instrText>
                    </w:r>
                    <w:r>
                      <w:rPr>
                        <w:rFonts w:hint="default" w:ascii="Times New Roman" w:hAnsi="Times New Roman" w:cs="Times New Roman"/>
                        <w:sz w:val="28"/>
                        <w:szCs w:val="28"/>
                        <w:lang w:val="en-US" w:eastAsia="zh-CN"/>
                      </w:rPr>
                      <w:fldChar w:fldCharType="separate"/>
                    </w:r>
                    <w:r>
                      <w:rPr>
                        <w:rFonts w:hint="default" w:ascii="Times New Roman" w:hAnsi="Times New Roman" w:cs="Times New Roman"/>
                        <w:sz w:val="28"/>
                        <w:szCs w:val="28"/>
                        <w:lang w:val="en-US" w:eastAsia="zh-CN"/>
                      </w:rPr>
                      <w:t>1</w:t>
                    </w:r>
                    <w:r>
                      <w:rPr>
                        <w:rFonts w:hint="default" w:ascii="Times New Roman" w:hAnsi="Times New Roman" w:cs="Times New Roman"/>
                        <w:sz w:val="28"/>
                        <w:szCs w:val="28"/>
                        <w:lang w:val="en-US"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iZTFkMjUyYWFjZTkzNDAzNDAzNmFiMTU0N2JjM2IifQ=="/>
  </w:docVars>
  <w:rsids>
    <w:rsidRoot w:val="6E40573E"/>
    <w:rsid w:val="0F9718DF"/>
    <w:rsid w:val="6E405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paragraph" w:styleId="3">
    <w:name w:val="heading 1"/>
    <w:basedOn w:val="1"/>
    <w:next w:val="1"/>
    <w:qFormat/>
    <w:uiPriority w:val="0"/>
    <w:pPr>
      <w:keepNext/>
      <w:keepLines/>
      <w:widowControl w:val="0"/>
      <w:spacing w:before="340" w:after="330" w:line="576" w:lineRule="auto"/>
      <w:outlineLvl w:val="0"/>
    </w:pPr>
    <w:rPr>
      <w:rFonts w:ascii="Calibri" w:hAnsi="Calibri" w:eastAsia="宋体" w:cs="宋体"/>
      <w:b/>
      <w:bCs/>
      <w:kern w:val="44"/>
      <w:sz w:val="44"/>
      <w:szCs w:val="44"/>
      <w:lang w:val="en-US"/>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 w:type="paragraph" w:styleId="4">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table" w:styleId="6">
    <w:name w:val="Table Grid"/>
    <w:basedOn w:val="5"/>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uiPriority w:val="0"/>
  </w:style>
  <w:style w:type="paragraph" w:customStyle="1" w:styleId="9">
    <w:name w:val="列出段落2"/>
    <w:basedOn w:val="1"/>
    <w:qFormat/>
    <w:uiPriority w:val="34"/>
    <w:pPr>
      <w:widowControl w:val="0"/>
      <w:spacing w:after="0" w:line="240" w:lineRule="auto"/>
      <w:ind w:firstLine="420" w:firstLineChars="200"/>
    </w:pPr>
    <w:rPr>
      <w:rFonts w:ascii="Calibri" w:hAnsi="Calibri" w:eastAsia="宋体" w:cs="Times New Roman"/>
      <w:kern w:val="2"/>
      <w:sz w:val="32"/>
      <w:lang w:val="en-U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8804</Words>
  <Characters>8946</Characters>
  <Lines>0</Lines>
  <Paragraphs>0</Paragraphs>
  <TotalTime>0</TotalTime>
  <ScaleCrop>false</ScaleCrop>
  <LinksUpToDate>false</LinksUpToDate>
  <CharactersWithSpaces>9245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2022-12-07T07:06:00Z</dcterms:created>
  <dc:creator>*</dc:creator>
  <cp:lastModifiedBy>*</cp:lastModifiedBy>
  <dcterms:modified xsi:type="dcterms:W3CDTF">2022-12-07T07:07:11Z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36E05E84F94D48FEBC58A99E7C9078E4</vt:lpwstr>
  </property>
</Properties>
</file>